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r>
        <w:rPr>
          <w:rFonts w:ascii="Calibri" w:cs="Calibri" w:eastAsia="Calibri" w:hAnsi="Calibri"/>
          <w:b/>
          <w:bCs/>
          <w:color w:val="C0402B"/>
          <w:spacing w:val="60"/>
          <w:sz w:val="20"/>
          <w:szCs w:val="20"/>
        </w:rPr>
        <w:t xml:space="preserve">CASE STUDY</w:t>
      </w:r>
    </w:p>
    <w:p>
      <w:pPr>
        <w:spacing w:after="60" w:before="120"/>
      </w:pPr>
      <w:r>
        <w:rPr>
          <w:rFonts w:ascii="Calibri" w:cs="Calibri" w:eastAsia="Calibri" w:hAnsi="Calibri"/>
          <w:b/>
          <w:bCs/>
          <w:color w:val="1A1A1A"/>
          <w:sz w:val="52"/>
          <w:szCs w:val="52"/>
        </w:rPr>
        <w:t xml:space="preserve">The Missed Dose Is Not a</w:t>
      </w:r>
    </w:p>
    <w:p>
      <w:pPr>
        <w:spacing w:after="200"/>
      </w:pPr>
      <w:r>
        <w:rPr>
          <w:rFonts w:ascii="Calibri" w:cs="Calibri" w:eastAsia="Calibri" w:hAnsi="Calibri"/>
          <w:b/>
          <w:bCs/>
          <w:color w:val="C0402B"/>
          <w:sz w:val="52"/>
          <w:szCs w:val="52"/>
        </w:rPr>
        <w:t xml:space="preserve">Memory Problem</w:t>
      </w:r>
    </w:p>
    <w:p>
      <w:pPr>
        <w:spacing w:after="40"/>
      </w:pPr>
      <w:r>
        <w:rPr>
          <w:rFonts w:ascii="Calibri" w:cs="Calibri" w:eastAsia="Calibri" w:hAnsi="Calibri"/>
          <w:i/>
          <w:iCs/>
          <w:color w:val="5A5A5A"/>
          <w:sz w:val="26"/>
          <w:szCs w:val="26"/>
        </w:rPr>
        <w:t xml:space="preserve">Rethinking medication management for pets on ongoing treatment —</w:t>
      </w:r>
    </w:p>
    <w:p>
      <w:pPr>
        <w:spacing w:after="400"/>
      </w:pPr>
      <w:r>
        <w:rPr>
          <w:rFonts w:ascii="Calibri" w:cs="Calibri" w:eastAsia="Calibri" w:hAnsi="Calibri"/>
          <w:i/>
          <w:iCs/>
          <w:color w:val="5A5A5A"/>
          <w:sz w:val="26"/>
          <w:szCs w:val="26"/>
        </w:rPr>
        <w:t xml:space="preserve">by designing for friction, not forgetting.</w:t>
      </w:r>
    </w:p>
    <w:tbl>
      <w:tblPr>
        <w:tblW w:type="pct" w:w="100%"/>
        <w:tblBorders>
          <w:top w:val="single" w:color="FBF3E4" w:sz="2"/>
          <w:left w:val="single" w:color="C0402B" w:sz="24"/>
          <w:bottom w:val="single" w:color="FBF3E4" w:sz="2"/>
          <w:right w:val="single" w:color="FBF3E4" w:sz="2"/>
          <w:insideH w:val="none"/>
          <w:insideV w:val="none"/>
        </w:tblBorders>
      </w:tblPr>
      <w:tblGrid>
        <w:gridCol w:w="9360"/>
      </w:tblGrid>
      <w:tr>
        <w:tc>
          <w:tcPr>
            <w:tcW w:type="dxa" w:w="9360"/>
            <w:shd w:fill="FBF3E4" w:color="auto" w:val="clear"/>
            <w:tcMar>
              <w:top w:type="dxa" w:w="160"/>
              <w:left w:type="dxa" w:w="220"/>
              <w:bottom w:type="dxa" w:w="160"/>
              <w:right w:type="dxa" w:w="220"/>
            </w:tcMar>
          </w:tcPr>
          <w:p>
            <w:pPr>
              <w:spacing w:after="60"/>
            </w:pPr>
            <w:r>
              <w:rPr>
                <w:rFonts w:ascii="Calibri" w:cs="Calibri" w:eastAsia="Calibri" w:hAnsi="Calibri"/>
                <w:b/>
                <w:bCs/>
                <w:color w:val="C0402B"/>
                <w:spacing w:val="20"/>
                <w:sz w:val="16"/>
                <w:szCs w:val="16"/>
              </w:rPr>
              <w:t xml:space="preserve">AT A GLANCE</w:t>
            </w:r>
          </w:p>
          <w:p>
            <w:pPr>
              <w:spacing w:after="80" w:line="280"/>
            </w:pPr>
            <w:r>
              <w:rPr>
                <w:rFonts w:ascii="Calibri" w:cs="Calibri" w:eastAsia="Calibri" w:hAnsi="Calibri"/>
                <w:b/>
                <w:bCs/>
                <w:i w:val="false"/>
                <w:iCs w:val="false"/>
                <w:color w:val="1A1A1A"/>
                <w:sz w:val="20"/>
                <w:szCs w:val="20"/>
              </w:rPr>
              <w:t xml:space="preserve">Type:</w:t>
            </w:r>
            <w:r>
              <w:rPr>
                <w:rFonts w:ascii="Calibri" w:cs="Calibri" w:eastAsia="Calibri" w:hAnsi="Calibri"/>
                <w:i w:val="false"/>
                <w:iCs w:val="false"/>
                <w:color w:val="2B2B2B"/>
                <w:sz w:val="20"/>
                <w:szCs w:val="20"/>
              </w:rPr>
              <w:t xml:space="preserve"> Self-initiated concept project  ·  enterprise-grade thinking applied to a consumer health problem.</w:t>
            </w:r>
          </w:p>
          <w:p>
            <w:pPr>
              <w:spacing w:after="80" w:line="280"/>
            </w:pPr>
            <w:r>
              <w:rPr>
                <w:rFonts w:ascii="Calibri" w:cs="Calibri" w:eastAsia="Calibri" w:hAnsi="Calibri"/>
                <w:b/>
                <w:bCs/>
                <w:i w:val="false"/>
                <w:iCs w:val="false"/>
                <w:color w:val="1A1A1A"/>
                <w:sz w:val="20"/>
                <w:szCs w:val="20"/>
              </w:rPr>
              <w:t xml:space="preserve">My role:</w:t>
            </w:r>
            <w:r>
              <w:rPr>
                <w:rFonts w:ascii="Calibri" w:cs="Calibri" w:eastAsia="Calibri" w:hAnsi="Calibri"/>
                <w:i w:val="false"/>
                <w:iCs w:val="false"/>
                <w:color w:val="2B2B2B"/>
                <w:sz w:val="20"/>
                <w:szCs w:val="20"/>
              </w:rPr>
              <w:t xml:space="preserve"> Sole designer — problem framing, research synthesis, interaction and UI design, design system.</w:t>
            </w:r>
          </w:p>
          <w:p>
            <w:pPr>
              <w:spacing w:after="0" w:line="280"/>
            </w:pPr>
            <w:r>
              <w:rPr>
                <w:rFonts w:ascii="Calibri" w:cs="Calibri" w:eastAsia="Calibri" w:hAnsi="Calibri"/>
                <w:b/>
                <w:bCs/>
                <w:i w:val="false"/>
                <w:iCs w:val="false"/>
                <w:color w:val="1A1A1A"/>
                <w:sz w:val="20"/>
                <w:szCs w:val="20"/>
              </w:rPr>
              <w:t xml:space="preserve">A note on honesty:</w:t>
            </w:r>
            <w:r>
              <w:rPr>
                <w:rFonts w:ascii="Calibri" w:cs="Calibri" w:eastAsia="Calibri" w:hAnsi="Calibri"/>
                <w:i w:val="false"/>
                <w:iCs w:val="false"/>
                <w:color w:val="2B2B2B"/>
                <w:sz w:val="20"/>
                <w:szCs w:val="20"/>
              </w:rPr>
              <w:t xml:space="preserve"> This is a concept grounded in desk research, not a shipped product. Throughout, I keep three things visibly separate — my design reasoning, secondary (desk) research, and explicitly-flagged assumptions with how I would validate them. I have not invented users, quotes, or outcomes.</w:t>
            </w:r>
          </w:p>
        </w:tc>
      </w:tr>
    </w:tbl>
    <w:p>
      <w:r>
        <w:br w:type="page"/>
      </w:r>
    </w:p>
    <w:p>
      <w:pPr>
        <w:spacing w:after="30" w:before="300"/>
      </w:pPr>
      <w:r>
        <w:rPr>
          <w:rFonts w:ascii="Calibri" w:cs="Calibri" w:eastAsia="Calibri" w:hAnsi="Calibri"/>
          <w:b/>
          <w:bCs/>
          <w:color w:val="C0402B"/>
          <w:spacing w:val="30"/>
          <w:sz w:val="17"/>
          <w:szCs w:val="17"/>
        </w:rPr>
        <w:t xml:space="preserve">SECTION 1 · THE REFRAME</w:t>
      </w:r>
    </w:p>
    <w:p>
      <w:pPr>
        <w:pStyle w:val="Heading1"/>
        <w:spacing w:after="120" w:before="360"/>
      </w:pPr>
      <w:r>
        <w:rPr>
          <w:rFonts w:ascii="Calibri" w:cs="Calibri" w:eastAsia="Calibri" w:hAnsi="Calibri"/>
          <w:b/>
          <w:bCs/>
          <w:color w:val="1A1A1A"/>
          <w:sz w:val="34"/>
          <w:szCs w:val="34"/>
        </w:rPr>
        <w:t xml:space="preserve">Everyone is solving the wrong problem</w:t>
      </w:r>
    </w:p>
    <w:p>
      <w:pPr>
        <w:spacing w:after="160" w:line="300"/>
      </w:pPr>
      <w:r>
        <w:rPr>
          <w:rFonts w:ascii="Calibri" w:cs="Calibri" w:eastAsia="Calibri" w:hAnsi="Calibri"/>
          <w:i/>
          <w:iCs/>
          <w:color w:val="5A5A5A"/>
          <w:sz w:val="24"/>
          <w:szCs w:val="24"/>
        </w:rPr>
        <w:t xml:space="preserve">Every medication app assumes people miss doses because they forget. I think that assumption is wrong — and building on it is why these apps quietly fail the people who need them most.</w:t>
      </w:r>
    </w:p>
    <w:p>
      <w:pPr>
        <w:spacing w:after="130" w:line="288"/>
        <w:jc w:val="left"/>
      </w:pPr>
      <w:r>
        <w:rPr>
          <w:rFonts w:ascii="Calibri" w:cs="Calibri" w:eastAsia="Calibri" w:hAnsi="Calibri"/>
          <w:i w:val="false"/>
          <w:iCs w:val="false"/>
          <w:color w:val="2B2B2B"/>
          <w:sz w:val="21"/>
          <w:szCs w:val="21"/>
        </w:rPr>
        <w:t xml:space="preserve">Every medication app is built on a single, unexamined assumption: that people miss doses because they forget. Everything follows from it. The reminder becomes the core feature, adherence becomes a notification-timing problem, and success becomes a streak counter. The whole category has converged on the same mental model. I think the model is wrong at the root, and a better reminder built on a false premise doesn't produce a better product — it produces a more insistent version of something that was already failing.</w:t>
      </w:r>
    </w:p>
    <w:p>
      <w:pPr>
        <w:pStyle w:val="Heading3"/>
        <w:spacing w:after="70" w:before="200"/>
      </w:pPr>
      <w:r>
        <w:rPr>
          <w:rFonts w:ascii="Calibri" w:cs="Calibri" w:eastAsia="Calibri" w:hAnsi="Calibri"/>
          <w:b/>
          <w:bCs/>
          <w:color w:val="C0402B"/>
          <w:sz w:val="21"/>
          <w:szCs w:val="21"/>
        </w:rPr>
        <w:t xml:space="preserve">Why “forgetting” is the wrong problem</w:t>
      </w:r>
    </w:p>
    <w:p>
      <w:pPr>
        <w:spacing w:after="130" w:line="288"/>
        <w:jc w:val="left"/>
      </w:pPr>
      <w:r>
        <w:rPr>
          <w:rFonts w:ascii="Calibri" w:cs="Calibri" w:eastAsia="Calibri" w:hAnsi="Calibri"/>
          <w:i w:val="false"/>
          <w:iCs w:val="false"/>
          <w:color w:val="2B2B2B"/>
          <w:sz w:val="21"/>
          <w:szCs w:val="21"/>
        </w:rPr>
        <w:t xml:space="preserve">The claim collapses the moment you look at where a dose is actually lost for a pet on ongoing medication. The cat sees the pill and vanishes under the bed. The tablet must be given with food, but the feeding and medication schedules aren't aligned, so “later” becomes “never.” The owner is out for the day and the medication is on the kitchen counter at home. The refill needed vet re-authorization that had to start weeks earlier, and nobody knew. And the quietest failure of all: two people share the care, each assumed the other had done it, and the dose fell through the gap between them.</w:t>
      </w:r>
    </w:p>
    <w:p>
      <w:pPr>
        <w:spacing w:after="130" w:line="288"/>
        <w:jc w:val="left"/>
      </w:pPr>
      <w:r>
        <w:rPr>
          <w:rFonts w:ascii="Calibri" w:cs="Calibri" w:eastAsia="Calibri" w:hAnsi="Calibri"/>
          <w:i w:val="false"/>
          <w:iCs w:val="false"/>
          <w:color w:val="2B2B2B"/>
          <w:sz w:val="21"/>
          <w:szCs w:val="21"/>
        </w:rPr>
        <w:t xml:space="preserve">Look at what these share. In every case, the person </w:t>
      </w:r>
      <w:r>
        <w:rPr>
          <w:rFonts w:ascii="Calibri" w:cs="Calibri" w:eastAsia="Calibri" w:hAnsi="Calibri"/>
          <w:b/>
          <w:bCs/>
          <w:color w:val="1A1A1A"/>
          <w:sz w:val="21"/>
          <w:szCs w:val="21"/>
        </w:rPr>
        <w:t xml:space="preserve">remembered</w:t>
      </w:r>
      <w:r>
        <w:rPr>
          <w:rFonts w:ascii="Calibri" w:cs="Calibri" w:eastAsia="Calibri" w:hAnsi="Calibri"/>
          <w:i w:val="false"/>
          <w:iCs w:val="false"/>
          <w:color w:val="2B2B2B"/>
          <w:sz w:val="21"/>
          <w:szCs w:val="21"/>
        </w:rPr>
        <w:t xml:space="preserve"> — and the dose still didn't happen. So the binding constraint isn't memory. It's </w:t>
      </w:r>
      <w:r>
        <w:rPr>
          <w:rFonts w:ascii="Calibri" w:cs="Calibri" w:eastAsia="Calibri" w:hAnsi="Calibri"/>
          <w:b/>
          <w:bCs/>
          <w:color w:val="1A1A1A"/>
          <w:sz w:val="21"/>
          <w:szCs w:val="21"/>
        </w:rPr>
        <w:t xml:space="preserve">friction</w:t>
      </w:r>
      <w:r>
        <w:rPr>
          <w:rFonts w:ascii="Calibri" w:cs="Calibri" w:eastAsia="Calibri" w:hAnsi="Calibri"/>
          <w:i w:val="false"/>
          <w:iCs w:val="false"/>
          <w:color w:val="2B2B2B"/>
          <w:sz w:val="21"/>
          <w:szCs w:val="21"/>
        </w:rPr>
        <w:t xml:space="preserve">: the physical, logistical, temporal, and interpersonal resistance between “I know I need to give this” and “it's done.”</w:t>
      </w:r>
    </w:p>
    <w:tbl>
      <w:tblPr>
        <w:tblW w:type="pct" w:w="100%"/>
        <w:tblBorders>
          <w:top w:val="dashed" w:color="B8C2CC" w:sz="6"/>
          <w:left w:val="dashed" w:color="B8C2CC" w:sz="6"/>
          <w:bottom w:val="dashed" w:color="B8C2CC" w:sz="6"/>
          <w:right w:val="dashed" w:color="B8C2CC" w:sz="6"/>
          <w:insideH w:val="none"/>
          <w:insideV w:val="none"/>
        </w:tblBorders>
      </w:tblPr>
      <w:tblGrid>
        <w:gridCol w:w="9360"/>
      </w:tblGrid>
      <w:tr>
        <w:tc>
          <w:tcPr>
            <w:tcW w:type="dxa" w:w="9360"/>
            <w:shd w:fill="EEF1F4" w:color="auto" w:val="clear"/>
            <w:tcMar>
              <w:top w:type="dxa" w:w="200"/>
              <w:left w:type="dxa" w:w="260"/>
              <w:bottom w:type="dxa" w:w="200"/>
              <w:right w:type="dxa" w:w="260"/>
            </w:tcMar>
          </w:tcPr>
          <w:p>
            <w:pPr>
              <w:spacing w:after="40"/>
              <w:jc w:val="center"/>
            </w:pPr>
            <w:r>
              <w:rPr>
                <w:rFonts w:ascii="Calibri" w:cs="Calibri" w:eastAsia="Calibri" w:hAnsi="Calibri"/>
                <w:b/>
                <w:bCs/>
                <w:color w:val="B8C2CC"/>
                <w:spacing w:val="40"/>
                <w:sz w:val="16"/>
                <w:szCs w:val="16"/>
              </w:rPr>
              <w:t xml:space="preserve">◺  IMAGE  ◹</w:t>
            </w:r>
          </w:p>
          <w:p>
            <w:pPr>
              <w:spacing w:after="60"/>
              <w:jc w:val="center"/>
            </w:pPr>
            <w:r>
              <w:rPr>
                <w:rFonts w:ascii="Calibri" w:cs="Calibri" w:eastAsia="Calibri" w:hAnsi="Calibri"/>
                <w:b/>
                <w:bCs/>
                <w:color w:val="1A1A1A"/>
                <w:sz w:val="20"/>
                <w:szCs w:val="20"/>
              </w:rPr>
              <w:t xml:space="preserve">Figure 1 — The friction map — where doses are actually lost</w:t>
            </w:r>
          </w:p>
          <w:p>
            <w:pPr>
              <w:spacing w:after="40" w:line="264"/>
            </w:pPr>
            <w:r>
              <w:rPr>
                <w:rFonts w:ascii="Calibri" w:cs="Calibri" w:eastAsia="Calibri" w:hAnsi="Calibri"/>
                <w:b/>
                <w:bCs/>
                <w:color w:val="C0402B"/>
                <w:sz w:val="18"/>
                <w:szCs w:val="18"/>
              </w:rPr>
              <w:t xml:space="preserve">Show:  </w:t>
            </w:r>
            <w:r>
              <w:rPr>
                <w:rFonts w:ascii="Calibri" w:cs="Calibri" w:eastAsia="Calibri" w:hAnsi="Calibri"/>
                <w:color w:val="3A3A3A"/>
                <w:sz w:val="18"/>
                <w:szCs w:val="18"/>
              </w:rPr>
              <w:t xml:space="preserve">a simple diagram of the treatment routine with the real friction points marked (hidden pet, unaligned meal, owner away, lapsed refill, caregiver handoff gap) — NOT a generic 'user forgot' node.</w:t>
            </w:r>
          </w:p>
          <w:p>
            <w:pPr>
              <w:spacing w:after="0" w:line="264"/>
            </w:pPr>
            <w:r>
              <w:rPr>
                <w:rFonts w:ascii="Calibri" w:cs="Calibri" w:eastAsia="Calibri" w:hAnsi="Calibri"/>
                <w:b/>
                <w:bCs/>
                <w:color w:val="C0402B"/>
                <w:sz w:val="18"/>
                <w:szCs w:val="18"/>
              </w:rPr>
              <w:t xml:space="preserve">Why it earns its place:  </w:t>
            </w:r>
            <w:r>
              <w:rPr>
                <w:rFonts w:ascii="Calibri" w:cs="Calibri" w:eastAsia="Calibri" w:hAnsi="Calibri"/>
                <w:i/>
                <w:iCs/>
                <w:color w:val="3A3A3A"/>
                <w:sz w:val="18"/>
                <w:szCs w:val="18"/>
              </w:rPr>
              <w:t xml:space="preserve">It visually proves the thesis in one glance and shows the reader you diagnosed the real failure points before designing anything.</w:t>
            </w:r>
          </w:p>
        </w:tc>
      </w:tr>
    </w:tbl>
    <w:p>
      <w:pPr>
        <w:spacing w:after="130"/>
      </w:pPr>
      <w:r>
        <w:t xml:space="preserve"/>
      </w:r>
    </w:p>
    <w:p>
      <w:pPr>
        <w:spacing w:after="130" w:line="288"/>
        <w:jc w:val="left"/>
      </w:pPr>
      <w:r>
        <w:rPr>
          <w:rFonts w:ascii="Calibri" w:cs="Calibri" w:eastAsia="Calibri" w:hAnsi="Calibri"/>
          <w:i w:val="false"/>
          <w:iCs w:val="false"/>
          <w:color w:val="2B2B2B"/>
          <w:sz w:val="21"/>
          <w:szCs w:val="21"/>
        </w:rPr>
        <w:t xml:space="preserve">Why does the distinction matter so much? Because a reminder is the right tool for exactly one problem — forgetting. Aimed at a friction problem it does three specific harms. It misfires against someone who already remembered, so it can't touch the real obstacle. It converts a hard moment into a guilty one — the owner of a sick animal reads “You missed Max's 8am dose” as an accusation. And it trains the user to ignore it: after ten dismissed alerts for doses they'd already handled, they stop reading the eleventh — the one that mattered. A reminder-first product manufactures anxiety and then erodes its own signal.</w:t>
      </w:r>
    </w:p>
    <w:tbl>
      <w:tblPr>
        <w:tblW w:type="pct" w:w="100%"/>
        <w:tblBorders>
          <w:top w:val="single" w:color="F3E4DF" w:sz="2"/>
          <w:left w:val="single" w:color="C0402B" w:sz="24"/>
          <w:bottom w:val="single" w:color="F3E4DF" w:sz="2"/>
          <w:right w:val="single" w:color="F3E4DF" w:sz="2"/>
          <w:insideH w:val="none"/>
          <w:insideV w:val="none"/>
        </w:tblBorders>
      </w:tblPr>
      <w:tblGrid>
        <w:gridCol w:w="9360"/>
      </w:tblGrid>
      <w:tr>
        <w:tc>
          <w:tcPr>
            <w:tcW w:type="dxa" w:w="9360"/>
            <w:shd w:fill="F3E4DF" w:color="auto" w:val="clear"/>
            <w:tcMar>
              <w:top w:type="dxa" w:w="160"/>
              <w:left w:type="dxa" w:w="220"/>
              <w:bottom w:type="dxa" w:w="160"/>
              <w:right w:type="dxa" w:w="220"/>
            </w:tcMar>
          </w:tcPr>
          <w:p>
            <w:pPr>
              <w:spacing w:after="60"/>
            </w:pPr>
            <w:r>
              <w:rPr>
                <w:rFonts w:ascii="Calibri" w:cs="Calibri" w:eastAsia="Calibri" w:hAnsi="Calibri"/>
                <w:b/>
                <w:bCs/>
                <w:color w:val="C0402B"/>
                <w:spacing w:val="20"/>
                <w:sz w:val="16"/>
                <w:szCs w:val="16"/>
              </w:rPr>
              <w:t xml:space="preserve">DECISION</w:t>
            </w:r>
          </w:p>
          <w:p>
            <w:pPr>
              <w:spacing w:after="0" w:line="280"/>
            </w:pPr>
            <w:r>
              <w:rPr>
                <w:rFonts w:ascii="Calibri" w:cs="Calibri" w:eastAsia="Calibri" w:hAnsi="Calibri"/>
                <w:b/>
                <w:bCs/>
                <w:i w:val="false"/>
                <w:iCs w:val="false"/>
                <w:color w:val="1A1A1A"/>
                <w:sz w:val="20"/>
                <w:szCs w:val="20"/>
              </w:rPr>
              <w:t xml:space="preserve">The first and most consequential decision of this project:</w:t>
            </w:r>
            <w:r>
              <w:rPr>
                <w:rFonts w:ascii="Calibri" w:cs="Calibri" w:eastAsia="Calibri" w:hAnsi="Calibri"/>
                <w:i w:val="false"/>
                <w:iCs w:val="false"/>
                <w:color w:val="2B2B2B"/>
                <w:sz w:val="20"/>
                <w:szCs w:val="20"/>
              </w:rPr>
              <w:t xml:space="preserve"> refuse the reminder as the default answer, and design for the friction underneath it instead.</w:t>
            </w:r>
          </w:p>
        </w:tc>
      </w:tr>
    </w:tbl>
    <w:p>
      <w:pPr>
        <w:spacing w:after="130"/>
      </w:pPr>
      <w:r>
        <w:t xml:space="preserve"/>
      </w:r>
    </w:p>
    <w:p>
      <w:pPr>
        <w:pStyle w:val="Heading3"/>
        <w:spacing w:after="70" w:before="200"/>
      </w:pPr>
      <w:r>
        <w:rPr>
          <w:rFonts w:ascii="Calibri" w:cs="Calibri" w:eastAsia="Calibri" w:hAnsi="Calibri"/>
          <w:b/>
          <w:bCs/>
          <w:color w:val="C0402B"/>
          <w:sz w:val="21"/>
          <w:szCs w:val="21"/>
        </w:rPr>
        <w:t xml:space="preserve">Who this is really for — and why it rewrites the design</w:t>
      </w:r>
    </w:p>
    <w:p>
      <w:pPr>
        <w:spacing w:after="130" w:line="288"/>
        <w:jc w:val="left"/>
      </w:pPr>
      <w:r>
        <w:rPr>
          <w:rFonts w:ascii="Calibri" w:cs="Calibri" w:eastAsia="Calibri" w:hAnsi="Calibri"/>
          <w:i w:val="false"/>
          <w:iCs w:val="false"/>
          <w:color w:val="2B2B2B"/>
          <w:sz w:val="21"/>
          <w:szCs w:val="21"/>
        </w:rPr>
        <w:t xml:space="preserve">On paper the user is “a pet owner managing medication.” That's accurate and useless, because it hides the emotional reality that drives the design. The pet isn't the anxious one — it has no concept of its prognosis. The person carries all of it.</w:t>
      </w:r>
    </w:p>
    <w:p>
      <w:pPr>
        <w:spacing w:after="130" w:line="288"/>
        <w:jc w:val="left"/>
      </w:pPr>
      <w:r>
        <w:rPr>
          <w:rFonts w:ascii="Calibri" w:cs="Calibri" w:eastAsia="Calibri" w:hAnsi="Calibri"/>
          <w:i w:val="false"/>
          <w:iCs w:val="false"/>
          <w:color w:val="2B2B2B"/>
          <w:sz w:val="21"/>
          <w:szCs w:val="21"/>
        </w:rPr>
        <w:t xml:space="preserve">The specific user I design for is someone whose dog or cat has just entered ongoing treatment — a chronic diagnosis, a senior pet on daily support, a post-surgical regimen. This moment is deliberately chosen: a healthy young pet's owner feels almost no pain here and will never adopt the tool. The pain concentrates entirely at the transition into chronic care, when an ordinary owner is abruptly conscripted into being a care coordinator — multiple daily medications, silent refill lapses, a fragmented record across clinics, and a cost curve that keeps climbing.</w:t>
      </w:r>
    </w:p>
    <w:p>
      <w:pPr>
        <w:spacing w:after="130" w:line="288"/>
        <w:jc w:val="left"/>
      </w:pPr>
      <w:r>
        <w:rPr>
          <w:rFonts w:ascii="Calibri" w:cs="Calibri" w:eastAsia="Calibri" w:hAnsi="Calibri"/>
          <w:i w:val="false"/>
          <w:iCs w:val="false"/>
          <w:color w:val="2B2B2B"/>
          <w:sz w:val="21"/>
          <w:szCs w:val="21"/>
        </w:rPr>
        <w:t xml:space="preserve">Establishing the owner as the real patient isn't sentiment — it's the pivot that decides everything downstream. If the pet's clinical record were the product, I'd optimize for data completeness and medical accuracy. Because the anxious human is the product, I optimize for reducing mental load, delivering reassurance at moments of doubt, and treating every unit of friction removed as a unit of guilt removed. Same data, a fundamentally different product — and the whole divergence flows from one decision about who the user is.</w:t>
      </w:r>
    </w:p>
    <w:tbl>
      <w:tblPr>
        <w:tblW w:type="pct" w:w="100%"/>
        <w:tblBorders>
          <w:top w:val="dashed" w:color="B8C2CC" w:sz="6"/>
          <w:left w:val="dashed" w:color="B8C2CC" w:sz="6"/>
          <w:bottom w:val="dashed" w:color="B8C2CC" w:sz="6"/>
          <w:right w:val="dashed" w:color="B8C2CC" w:sz="6"/>
          <w:insideH w:val="none"/>
          <w:insideV w:val="none"/>
        </w:tblBorders>
      </w:tblPr>
      <w:tblGrid>
        <w:gridCol w:w="9360"/>
      </w:tblGrid>
      <w:tr>
        <w:tc>
          <w:tcPr>
            <w:tcW w:type="dxa" w:w="9360"/>
            <w:shd w:fill="EEF1F4" w:color="auto" w:val="clear"/>
            <w:tcMar>
              <w:top w:type="dxa" w:w="200"/>
              <w:left w:type="dxa" w:w="260"/>
              <w:bottom w:type="dxa" w:w="200"/>
              <w:right w:type="dxa" w:w="260"/>
            </w:tcMar>
          </w:tcPr>
          <w:p>
            <w:pPr>
              <w:spacing w:after="40"/>
              <w:jc w:val="center"/>
            </w:pPr>
            <w:r>
              <w:rPr>
                <w:rFonts w:ascii="Calibri" w:cs="Calibri" w:eastAsia="Calibri" w:hAnsi="Calibri"/>
                <w:b/>
                <w:bCs/>
                <w:color w:val="B8C2CC"/>
                <w:spacing w:val="40"/>
                <w:sz w:val="16"/>
                <w:szCs w:val="16"/>
              </w:rPr>
              <w:t xml:space="preserve">◺  IMAGE  ◹</w:t>
            </w:r>
          </w:p>
          <w:p>
            <w:pPr>
              <w:spacing w:after="60"/>
              <w:jc w:val="center"/>
            </w:pPr>
            <w:r>
              <w:rPr>
                <w:rFonts w:ascii="Calibri" w:cs="Calibri" w:eastAsia="Calibri" w:hAnsi="Calibri"/>
                <w:b/>
                <w:bCs/>
                <w:color w:val="1A1A1A"/>
                <w:sz w:val="20"/>
                <w:szCs w:val="20"/>
              </w:rPr>
              <w:t xml:space="preserve">Figure 2 — The user at the moment of diagnosis</w:t>
            </w:r>
          </w:p>
          <w:p>
            <w:pPr>
              <w:spacing w:after="40" w:line="264"/>
            </w:pPr>
            <w:r>
              <w:rPr>
                <w:rFonts w:ascii="Calibri" w:cs="Calibri" w:eastAsia="Calibri" w:hAnsi="Calibri"/>
                <w:b/>
                <w:bCs/>
                <w:color w:val="C0402B"/>
                <w:sz w:val="18"/>
                <w:szCs w:val="18"/>
              </w:rPr>
              <w:t xml:space="preserve">Show:  </w:t>
            </w:r>
            <w:r>
              <w:rPr>
                <w:rFonts w:ascii="Calibri" w:cs="Calibri" w:eastAsia="Calibri" w:hAnsi="Calibri"/>
                <w:color w:val="3A3A3A"/>
                <w:sz w:val="18"/>
                <w:szCs w:val="18"/>
              </w:rPr>
              <w:t xml:space="preserve">a single, honest persona-style panel: the care-coordinator owner, their emotional state, what they're juggling (meds, vets, cost, worry). Keep it warm and specific — one real-feeling person, not a demographic table.</w:t>
            </w:r>
          </w:p>
          <w:p>
            <w:pPr>
              <w:spacing w:after="0" w:line="264"/>
            </w:pPr>
            <w:r>
              <w:rPr>
                <w:rFonts w:ascii="Calibri" w:cs="Calibri" w:eastAsia="Calibri" w:hAnsi="Calibri"/>
                <w:b/>
                <w:bCs/>
                <w:color w:val="C0402B"/>
                <w:sz w:val="18"/>
                <w:szCs w:val="18"/>
              </w:rPr>
              <w:t xml:space="preserve">Why it earns its place:  </w:t>
            </w:r>
            <w:r>
              <w:rPr>
                <w:rFonts w:ascii="Calibri" w:cs="Calibri" w:eastAsia="Calibri" w:hAnsi="Calibri"/>
                <w:i/>
                <w:iCs/>
                <w:color w:val="3A3A3A"/>
                <w:sz w:val="18"/>
                <w:szCs w:val="18"/>
              </w:rPr>
              <w:t xml:space="preserve">Recruiters want to see you designed for a sharply-defined human. One vivid user beats a generic 'pet owners' segment.</w:t>
            </w:r>
          </w:p>
        </w:tc>
      </w:tr>
    </w:tbl>
    <w:p>
      <w:pPr>
        <w:spacing w:after="130"/>
      </w:pPr>
      <w:r>
        <w:t xml:space="preserve"/>
      </w:r>
    </w:p>
    <w:p>
      <w:pPr>
        <w:pStyle w:val="Heading3"/>
        <w:spacing w:after="70" w:before="200"/>
      </w:pPr>
      <w:r>
        <w:rPr>
          <w:rFonts w:ascii="Calibri" w:cs="Calibri" w:eastAsia="Calibri" w:hAnsi="Calibri"/>
          <w:b/>
          <w:bCs/>
          <w:color w:val="C0402B"/>
          <w:sz w:val="21"/>
          <w:szCs w:val="21"/>
        </w:rPr>
        <w:t xml:space="preserve">How I built this understanding — stated honestly</w:t>
      </w:r>
    </w:p>
    <w:p>
      <w:pPr>
        <w:spacing w:after="130" w:line="288"/>
        <w:jc w:val="left"/>
      </w:pPr>
      <w:r>
        <w:rPr>
          <w:rFonts w:ascii="Calibri" w:cs="Calibri" w:eastAsia="Calibri" w:hAnsi="Calibri"/>
          <w:i w:val="false"/>
          <w:iCs w:val="false"/>
          <w:color w:val="2B2B2B"/>
          <w:sz w:val="21"/>
          <w:szCs w:val="21"/>
        </w:rPr>
        <w:t xml:space="preserve">You should know where this comes from, because it governs how much weight to give each claim. I did not have access to a panel of owners caring for chronically-ill pets, and I won't manufacture interviews I didn't run or outcomes I didn't measure. Instead I built on three clearly separated foundations:</w:t>
      </w:r>
    </w:p>
    <w:p>
      <w:pPr>
        <w:pStyle w:val="ListParagraph"/>
        <w:numPr>
          <w:ilvl w:val="0"/>
          <w:numId w:val="2"/>
        </w:numPr>
        <w:spacing w:after="80" w:line="280"/>
      </w:pPr>
      <w:r>
        <w:rPr>
          <w:rFonts w:ascii="Calibri" w:cs="Calibri" w:eastAsia="Calibri" w:hAnsi="Calibri"/>
          <w:b/>
          <w:bCs/>
          <w:color w:val="1A1A1A"/>
          <w:sz w:val="21"/>
          <w:szCs w:val="21"/>
        </w:rPr>
        <w:t xml:space="preserve">Design reasoning</w:t>
      </w:r>
      <w:r>
        <w:rPr>
          <w:rFonts w:ascii="Calibri" w:cs="Calibri" w:eastAsia="Calibri" w:hAnsi="Calibri"/>
          <w:color w:val="2B2B2B"/>
          <w:sz w:val="21"/>
          <w:szCs w:val="21"/>
        </w:rPr>
        <w:t xml:space="preserve"> — the decisions, options, and trade-offs. Fully mine; I stand behind every line.</w:t>
      </w:r>
    </w:p>
    <w:p>
      <w:pPr>
        <w:pStyle w:val="ListParagraph"/>
        <w:numPr>
          <w:ilvl w:val="0"/>
          <w:numId w:val="2"/>
        </w:numPr>
        <w:spacing w:after="80" w:line="280"/>
      </w:pPr>
      <w:r>
        <w:rPr>
          <w:rFonts w:ascii="Calibri" w:cs="Calibri" w:eastAsia="Calibri" w:hAnsi="Calibri"/>
          <w:b/>
          <w:bCs/>
          <w:color w:val="1A1A1A"/>
          <w:sz w:val="21"/>
          <w:szCs w:val="21"/>
        </w:rPr>
        <w:t xml:space="preserve">Desk research</w:t>
      </w:r>
      <w:r>
        <w:rPr>
          <w:rFonts w:ascii="Calibri" w:cs="Calibri" w:eastAsia="Calibri" w:hAnsi="Calibri"/>
          <w:color w:val="2B2B2B"/>
          <w:sz w:val="21"/>
          <w:szCs w:val="21"/>
        </w:rPr>
        <w:t xml:space="preserve"> — published pet-health and human-factors sources, market analysis, and teardown analysis of where existing apps fail. Cited and labeled as secondary.</w:t>
      </w:r>
    </w:p>
    <w:p>
      <w:pPr>
        <w:pStyle w:val="ListParagraph"/>
        <w:numPr>
          <w:ilvl w:val="0"/>
          <w:numId w:val="2"/>
        </w:numPr>
        <w:spacing w:after="80" w:line="280"/>
      </w:pPr>
      <w:r>
        <w:rPr>
          <w:rFonts w:ascii="Calibri" w:cs="Calibri" w:eastAsia="Calibri" w:hAnsi="Calibri"/>
          <w:b/>
          <w:bCs/>
          <w:color w:val="1A1A1A"/>
          <w:sz w:val="21"/>
          <w:szCs w:val="21"/>
        </w:rPr>
        <w:t xml:space="preserve">Assumptions</w:t>
      </w:r>
      <w:r>
        <w:rPr>
          <w:rFonts w:ascii="Calibri" w:cs="Calibri" w:eastAsia="Calibri" w:hAnsi="Calibri"/>
          <w:color w:val="2B2B2B"/>
          <w:sz w:val="21"/>
          <w:szCs w:val="21"/>
        </w:rPr>
        <w:t xml:space="preserve"> — flagged explicitly wherever they appear, each paired with how I'd validate it against real owners.</w:t>
      </w:r>
    </w:p>
    <w:p>
      <w:pPr>
        <w:spacing w:after="130" w:line="288"/>
        <w:jc w:val="left"/>
      </w:pPr>
      <w:r>
        <w:rPr>
          <w:rFonts w:ascii="Calibri" w:cs="Calibri" w:eastAsia="Calibri" w:hAnsi="Calibri"/>
          <w:i w:val="false"/>
          <w:iCs w:val="false"/>
          <w:color w:val="2B2B2B"/>
          <w:sz w:val="21"/>
          <w:szCs w:val="21"/>
        </w:rPr>
        <w:t xml:space="preserve">I treat the third category as judgment made visible, not weakness. The difference between a designer worth hiring and one who isn't is not perfect data — almost no real project has it — but whether they can tell what they know from what they inferred from what they're guessing, and design responsibly across all three.</w:t>
      </w:r>
    </w:p>
    <w:p>
      <w:r>
        <w:br w:type="page"/>
      </w:r>
    </w:p>
    <w:p>
      <w:pPr>
        <w:spacing w:after="30" w:before="300"/>
      </w:pPr>
      <w:r>
        <w:rPr>
          <w:rFonts w:ascii="Calibri" w:cs="Calibri" w:eastAsia="Calibri" w:hAnsi="Calibri"/>
          <w:b/>
          <w:bCs/>
          <w:color w:val="C0402B"/>
          <w:spacing w:val="30"/>
          <w:sz w:val="17"/>
          <w:szCs w:val="17"/>
        </w:rPr>
        <w:t xml:space="preserve">SECTION 2 · THE HARD PROBLEMS</w:t>
      </w:r>
    </w:p>
    <w:p>
      <w:pPr>
        <w:pStyle w:val="Heading1"/>
        <w:spacing w:after="120" w:before="360"/>
      </w:pPr>
      <w:r>
        <w:rPr>
          <w:rFonts w:ascii="Calibri" w:cs="Calibri" w:eastAsia="Calibri" w:hAnsi="Calibri"/>
          <w:b/>
          <w:bCs/>
          <w:color w:val="1A1A1A"/>
          <w:sz w:val="34"/>
          <w:szCs w:val="34"/>
        </w:rPr>
        <w:t xml:space="preserve">Three frictions worth designing out</w:t>
      </w:r>
    </w:p>
    <w:p>
      <w:pPr>
        <w:spacing w:after="160" w:line="300"/>
      </w:pPr>
      <w:r>
        <w:rPr>
          <w:rFonts w:ascii="Calibri" w:cs="Calibri" w:eastAsia="Calibri" w:hAnsi="Calibri"/>
          <w:i/>
          <w:iCs/>
          <w:color w:val="5A5A5A"/>
          <w:sz w:val="24"/>
          <w:szCs w:val="24"/>
        </w:rPr>
        <w:t xml:space="preserve">In one line, so it isn't buried: what this became is a shared, friction-first care tool — built around the handoff between caregivers and the refill that lapses before anyone notices. Now the harder question: why these problems, and why they're difficult.</w:t>
      </w:r>
    </w:p>
    <w:p>
      <w:pPr>
        <w:spacing w:after="130" w:line="288"/>
        <w:jc w:val="left"/>
      </w:pPr>
      <w:r>
        <w:rPr>
          <w:rFonts w:ascii="Calibri" w:cs="Calibri" w:eastAsia="Calibri" w:hAnsi="Calibri"/>
          <w:i w:val="false"/>
          <w:iCs w:val="false"/>
          <w:color w:val="2B2B2B"/>
          <w:sz w:val="21"/>
          <w:szCs w:val="21"/>
        </w:rPr>
        <w:t xml:space="preserve">Once you accept that missed doses come from friction, the brief changes completely. The job is no longer “remind better” but “find the frictions that break a routine and design each one out.” There are many, and a product that attacks all of them solves none well. I chose three — and the reasoning behind the selection is itself part of the design.</w:t>
      </w:r>
    </w:p>
    <w:p>
      <w:pPr>
        <w:pStyle w:val="Heading2"/>
        <w:spacing w:after="90" w:before="260"/>
      </w:pPr>
      <w:r>
        <w:rPr>
          <w:rFonts w:ascii="Calibri" w:cs="Calibri" w:eastAsia="Calibri" w:hAnsi="Calibri"/>
          <w:b/>
          <w:bCs/>
          <w:color w:val="1A1A1A"/>
          <w:sz w:val="25"/>
          <w:szCs w:val="25"/>
        </w:rPr>
        <w:t xml:space="preserve">Challenge 1 · The handoff nobody owns</w:t>
      </w:r>
    </w:p>
    <w:p>
      <w:pPr>
        <w:spacing w:after="130" w:line="288"/>
        <w:jc w:val="left"/>
      </w:pPr>
      <w:r>
        <w:rPr>
          <w:rFonts w:ascii="Calibri" w:cs="Calibri" w:eastAsia="Calibri" w:hAnsi="Calibri"/>
          <w:i w:val="false"/>
          <w:iCs w:val="false"/>
          <w:color w:val="2B2B2B"/>
          <w:sz w:val="21"/>
          <w:szCs w:val="21"/>
        </w:rPr>
        <w:t xml:space="preserve">The friction I kept returning to is nearly invisible: in a household with more than one carer — a couple, a family, an owner plus a sitter — the dose is most often lost to a gap in shared awareness. Each assumed the other had done it.</w:t>
      </w:r>
    </w:p>
    <w:p>
      <w:pPr>
        <w:spacing w:after="130" w:line="288"/>
        <w:jc w:val="left"/>
      </w:pPr>
      <w:r>
        <w:rPr>
          <w:rFonts w:ascii="Calibri" w:cs="Calibri" w:eastAsia="Calibri" w:hAnsi="Calibri"/>
          <w:i w:val="false"/>
          <w:iCs w:val="false"/>
          <w:color w:val="2B2B2B"/>
          <w:sz w:val="21"/>
          <w:szCs w:val="21"/>
        </w:rPr>
        <w:t xml:space="preserve">I centered the product on this for three reasons. It's </w:t>
      </w:r>
      <w:r>
        <w:rPr>
          <w:rFonts w:ascii="Calibri" w:cs="Calibri" w:eastAsia="Calibri" w:hAnsi="Calibri"/>
          <w:b/>
          <w:bCs/>
          <w:color w:val="1A1A1A"/>
          <w:sz w:val="21"/>
          <w:szCs w:val="21"/>
        </w:rPr>
        <w:t xml:space="preserve">common</w:t>
      </w:r>
      <w:r>
        <w:rPr>
          <w:rFonts w:ascii="Calibri" w:cs="Calibri" w:eastAsia="Calibri" w:hAnsi="Calibri"/>
          <w:i w:val="false"/>
          <w:iCs w:val="false"/>
          <w:color w:val="2B2B2B"/>
          <w:sz w:val="21"/>
          <w:szCs w:val="21"/>
        </w:rPr>
        <w:t xml:space="preserve">, because chronic pets are rarely cared for by exactly one person over months. It's </w:t>
      </w:r>
      <w:r>
        <w:rPr>
          <w:rFonts w:ascii="Calibri" w:cs="Calibri" w:eastAsia="Calibri" w:hAnsi="Calibri"/>
          <w:b/>
          <w:bCs/>
          <w:color w:val="1A1A1A"/>
          <w:sz w:val="21"/>
          <w:szCs w:val="21"/>
        </w:rPr>
        <w:t xml:space="preserve">invisible to every existing app</w:t>
      </w:r>
      <w:r>
        <w:rPr>
          <w:rFonts w:ascii="Calibri" w:cs="Calibri" w:eastAsia="Calibri" w:hAnsi="Calibri"/>
          <w:i w:val="false"/>
          <w:iCs w:val="false"/>
          <w:color w:val="2B2B2B"/>
          <w:sz w:val="21"/>
          <w:szCs w:val="21"/>
        </w:rPr>
        <w:t xml:space="preserve">, which all model a single user and a single memory, so they're structurally blind to a failure that happens between people. And it's </w:t>
      </w:r>
      <w:r>
        <w:rPr>
          <w:rFonts w:ascii="Calibri" w:cs="Calibri" w:eastAsia="Calibri" w:hAnsi="Calibri"/>
          <w:b/>
          <w:bCs/>
          <w:color w:val="1A1A1A"/>
          <w:sz w:val="21"/>
          <w:szCs w:val="21"/>
        </w:rPr>
        <w:t xml:space="preserve">genuinely hard</w:t>
      </w:r>
      <w:r>
        <w:rPr>
          <w:rFonts w:ascii="Calibri" w:cs="Calibri" w:eastAsia="Calibri" w:hAnsi="Calibri"/>
          <w:i w:val="false"/>
          <w:iCs w:val="false"/>
          <w:color w:val="2B2B2B"/>
          <w:sz w:val="21"/>
          <w:szCs w:val="21"/>
        </w:rPr>
        <w:t xml:space="preserve">, because the naive fix — broadcast every dose to everyone — creates a worse friction: surveillance. If the app makes two partners feel they're monitoring each other's competence, it poisons the relationship it was meant to support.</w:t>
      </w:r>
    </w:p>
    <w:tbl>
      <w:tblPr>
        <w:tblW w:type="pct" w:w="100%"/>
        <w:tblBorders>
          <w:top w:val="single" w:color="F3E4DF" w:sz="2"/>
          <w:left w:val="single" w:color="C0402B" w:sz="24"/>
          <w:bottom w:val="single" w:color="F3E4DF" w:sz="2"/>
          <w:right w:val="single" w:color="F3E4DF" w:sz="2"/>
          <w:insideH w:val="none"/>
          <w:insideV w:val="none"/>
        </w:tblBorders>
      </w:tblPr>
      <w:tblGrid>
        <w:gridCol w:w="9360"/>
      </w:tblGrid>
      <w:tr>
        <w:tc>
          <w:tcPr>
            <w:tcW w:type="dxa" w:w="9360"/>
            <w:shd w:fill="F3E4DF" w:color="auto" w:val="clear"/>
            <w:tcMar>
              <w:top w:type="dxa" w:w="160"/>
              <w:left w:type="dxa" w:w="220"/>
              <w:bottom w:type="dxa" w:w="160"/>
              <w:right w:type="dxa" w:w="220"/>
            </w:tcMar>
          </w:tcPr>
          <w:p>
            <w:pPr>
              <w:spacing w:after="0" w:line="280"/>
            </w:pPr>
            <w:r>
              <w:rPr>
                <w:rFonts w:ascii="Calibri" w:cs="Calibri" w:eastAsia="Calibri" w:hAnsi="Calibri"/>
                <w:i w:val="false"/>
                <w:iCs w:val="false"/>
                <w:color w:val="2B2B2B"/>
                <w:sz w:val="20"/>
                <w:szCs w:val="20"/>
              </w:rPr>
              <w:t xml:space="preserve">The real design challenge isn't “show both people the schedule.” It's </w:t>
            </w:r>
            <w:r>
              <w:rPr>
                <w:rFonts w:ascii="Calibri" w:cs="Calibri" w:eastAsia="Calibri" w:hAnsi="Calibri"/>
                <w:b/>
                <w:bCs/>
                <w:i w:val="false"/>
                <w:iCs w:val="false"/>
                <w:color w:val="1A1A1A"/>
                <w:sz w:val="20"/>
                <w:szCs w:val="20"/>
              </w:rPr>
              <w:t xml:space="preserve">create shared certainty about whether a dose happened, without making anyone feel watched.</w:t>
            </w:r>
            <w:r>
              <w:rPr>
                <w:rFonts w:ascii="Calibri" w:cs="Calibri" w:eastAsia="Calibri" w:hAnsi="Calibri"/>
                <w:i w:val="false"/>
                <w:iCs w:val="false"/>
                <w:color w:val="2B2B2B"/>
                <w:sz w:val="20"/>
                <w:szCs w:val="20"/>
              </w:rPr>
              <w:t xml:space="preserve"> Coordination without surveillance — the hardest and most interesting problem in the project.</w:t>
            </w:r>
          </w:p>
        </w:tc>
      </w:tr>
    </w:tbl>
    <w:p>
      <w:pPr>
        <w:spacing w:after="130"/>
      </w:pPr>
      <w:r>
        <w:t xml:space="preserve"/>
      </w:r>
    </w:p>
    <w:p>
      <w:pPr>
        <w:pStyle w:val="Heading2"/>
        <w:spacing w:after="90" w:before="260"/>
      </w:pPr>
      <w:r>
        <w:rPr>
          <w:rFonts w:ascii="Calibri" w:cs="Calibri" w:eastAsia="Calibri" w:hAnsi="Calibri"/>
          <w:b/>
          <w:bCs/>
          <w:color w:val="1A1A1A"/>
          <w:sz w:val="25"/>
          <w:szCs w:val="25"/>
        </w:rPr>
        <w:t xml:space="preserve">Challenge 2 · The deadline that arrives three weeks early</w:t>
      </w:r>
    </w:p>
    <w:p>
      <w:pPr>
        <w:spacing w:after="130" w:line="288"/>
        <w:jc w:val="left"/>
      </w:pPr>
      <w:r>
        <w:rPr>
          <w:rFonts w:ascii="Calibri" w:cs="Calibri" w:eastAsia="Calibri" w:hAnsi="Calibri"/>
          <w:i w:val="false"/>
          <w:iCs w:val="false"/>
          <w:color w:val="2B2B2B"/>
          <w:sz w:val="21"/>
          <w:szCs w:val="21"/>
        </w:rPr>
        <w:t xml:space="preserve">The second friction is structural and upstream: the refill that lapses. Pet-pharmacy refills for chronic medications often need vet re-authorization that must begin two to three weeks before the current supply runs out. The real deadline is invisible and early — by the time an owner notices the bottle is nearly empty, it's already too late to avoid a gap in treatment.</w:t>
      </w:r>
    </w:p>
    <w:p>
      <w:pPr>
        <w:spacing w:after="130" w:line="288"/>
        <w:jc w:val="left"/>
      </w:pPr>
      <w:r>
        <w:rPr>
          <w:rFonts w:ascii="Calibri" w:cs="Calibri" w:eastAsia="Calibri" w:hAnsi="Calibri"/>
          <w:i w:val="false"/>
          <w:iCs w:val="false"/>
          <w:color w:val="2B2B2B"/>
          <w:sz w:val="21"/>
          <w:szCs w:val="21"/>
        </w:rPr>
        <w:t xml:space="preserve">I chose this because it exposes a failure a reminder-first app cannot even see, which proves the value of the reframe. A daily reminder operates on the day of the dose; this failure is set in motion weeks earlier. So the challenge is </w:t>
      </w:r>
      <w:r>
        <w:rPr>
          <w:rFonts w:ascii="Calibri" w:cs="Calibri" w:eastAsia="Calibri" w:hAnsi="Calibri"/>
          <w:b/>
          <w:bCs/>
          <w:color w:val="1A1A1A"/>
          <w:sz w:val="21"/>
          <w:szCs w:val="21"/>
        </w:rPr>
        <w:t xml:space="preserve">temporal</w:t>
      </w:r>
      <w:r>
        <w:rPr>
          <w:rFonts w:ascii="Calibri" w:cs="Calibri" w:eastAsia="Calibri" w:hAnsi="Calibri"/>
          <w:i w:val="false"/>
          <w:iCs w:val="false"/>
          <w:color w:val="2B2B2B"/>
          <w:sz w:val="21"/>
          <w:szCs w:val="21"/>
        </w:rPr>
        <w:t xml:space="preserve">: make a future, upstream, non-obvious deadline feel present and actionable at the right moment — early enough to act, not so early it becomes ignorable noise.</w:t>
      </w:r>
    </w:p>
    <w:tbl>
      <w:tblPr>
        <w:tblW w:type="pct" w:w="100%"/>
        <w:tblBorders>
          <w:top w:val="dashed" w:color="B8C2CC" w:sz="6"/>
          <w:left w:val="dashed" w:color="B8C2CC" w:sz="6"/>
          <w:bottom w:val="dashed" w:color="B8C2CC" w:sz="6"/>
          <w:right w:val="dashed" w:color="B8C2CC" w:sz="6"/>
          <w:insideH w:val="none"/>
          <w:insideV w:val="none"/>
        </w:tblBorders>
      </w:tblPr>
      <w:tblGrid>
        <w:gridCol w:w="9360"/>
      </w:tblGrid>
      <w:tr>
        <w:tc>
          <w:tcPr>
            <w:tcW w:type="dxa" w:w="9360"/>
            <w:shd w:fill="EEF1F4" w:color="auto" w:val="clear"/>
            <w:tcMar>
              <w:top w:type="dxa" w:w="200"/>
              <w:left w:type="dxa" w:w="260"/>
              <w:bottom w:type="dxa" w:w="200"/>
              <w:right w:type="dxa" w:w="260"/>
            </w:tcMar>
          </w:tcPr>
          <w:p>
            <w:pPr>
              <w:spacing w:after="40"/>
              <w:jc w:val="center"/>
            </w:pPr>
            <w:r>
              <w:rPr>
                <w:rFonts w:ascii="Calibri" w:cs="Calibri" w:eastAsia="Calibri" w:hAnsi="Calibri"/>
                <w:b/>
                <w:bCs/>
                <w:color w:val="B8C2CC"/>
                <w:spacing w:val="40"/>
                <w:sz w:val="16"/>
                <w:szCs w:val="16"/>
              </w:rPr>
              <w:t xml:space="preserve">◺  IMAGE  ◹</w:t>
            </w:r>
          </w:p>
          <w:p>
            <w:pPr>
              <w:spacing w:after="60"/>
              <w:jc w:val="center"/>
            </w:pPr>
            <w:r>
              <w:rPr>
                <w:rFonts w:ascii="Calibri" w:cs="Calibri" w:eastAsia="Calibri" w:hAnsi="Calibri"/>
                <w:b/>
                <w:bCs/>
                <w:color w:val="1A1A1A"/>
                <w:sz w:val="20"/>
                <w:szCs w:val="20"/>
              </w:rPr>
              <w:t xml:space="preserve">Figure 3 — The refill timeline — bottle time vs. pharmacy time</w:t>
            </w:r>
          </w:p>
          <w:p>
            <w:pPr>
              <w:spacing w:after="40" w:line="264"/>
            </w:pPr>
            <w:r>
              <w:rPr>
                <w:rFonts w:ascii="Calibri" w:cs="Calibri" w:eastAsia="Calibri" w:hAnsi="Calibri"/>
                <w:b/>
                <w:bCs/>
                <w:color w:val="C0402B"/>
                <w:sz w:val="18"/>
                <w:szCs w:val="18"/>
              </w:rPr>
              <w:t xml:space="preserve">Show:  </w:t>
            </w:r>
            <w:r>
              <w:rPr>
                <w:rFonts w:ascii="Calibri" w:cs="Calibri" w:eastAsia="Calibri" w:hAnsi="Calibri"/>
                <w:color w:val="3A3A3A"/>
                <w:sz w:val="18"/>
                <w:szCs w:val="18"/>
              </w:rPr>
              <w:t xml:space="preserve">a timeline graphic contrasting when the owner NOTICES (bottle nearly empty) against when action was actually REQUIRED (weeks earlier, for re-authorization). Mark the 'gap in treatment' that results.</w:t>
            </w:r>
          </w:p>
          <w:p>
            <w:pPr>
              <w:spacing w:after="0" w:line="264"/>
            </w:pPr>
            <w:r>
              <w:rPr>
                <w:rFonts w:ascii="Calibri" w:cs="Calibri" w:eastAsia="Calibri" w:hAnsi="Calibri"/>
                <w:b/>
                <w:bCs/>
                <w:color w:val="C0402B"/>
                <w:sz w:val="18"/>
                <w:szCs w:val="18"/>
              </w:rPr>
              <w:t xml:space="preserve">Why it earns its place:  </w:t>
            </w:r>
            <w:r>
              <w:rPr>
                <w:rFonts w:ascii="Calibri" w:cs="Calibri" w:eastAsia="Calibri" w:hAnsi="Calibri"/>
                <w:i/>
                <w:iCs/>
                <w:color w:val="3A3A3A"/>
                <w:sz w:val="18"/>
                <w:szCs w:val="18"/>
              </w:rPr>
              <w:t xml:space="preserve">Turns an abstract, invisible problem into something the reader instantly feels — and shows systems thinking about time, not just screens.</w:t>
            </w:r>
          </w:p>
        </w:tc>
      </w:tr>
    </w:tbl>
    <w:p>
      <w:pPr>
        <w:spacing w:after="130"/>
      </w:pPr>
      <w:r>
        <w:t xml:space="preserve"/>
      </w:r>
    </w:p>
    <w:p>
      <w:pPr>
        <w:pStyle w:val="Heading2"/>
        <w:spacing w:after="90" w:before="260"/>
      </w:pPr>
      <w:r>
        <w:rPr>
          <w:rFonts w:ascii="Calibri" w:cs="Calibri" w:eastAsia="Calibri" w:hAnsi="Calibri"/>
          <w:b/>
          <w:bCs/>
          <w:color w:val="1A1A1A"/>
          <w:sz w:val="25"/>
          <w:szCs w:val="25"/>
        </w:rPr>
        <w:t xml:space="preserve">Challenge 3 · The tone of the nudge, when you do need one</w:t>
      </w:r>
    </w:p>
    <w:p>
      <w:pPr>
        <w:spacing w:after="130" w:line="288"/>
        <w:jc w:val="left"/>
      </w:pPr>
      <w:r>
        <w:rPr>
          <w:rFonts w:ascii="Calibri" w:cs="Calibri" w:eastAsia="Calibri" w:hAnsi="Calibri"/>
          <w:i w:val="false"/>
          <w:iCs w:val="false"/>
          <w:color w:val="2B2B2B"/>
          <w:sz w:val="21"/>
          <w:szCs w:val="21"/>
        </w:rPr>
        <w:t xml:space="preserve">I've argued against the reminder as the default — but not away entirely. Some moments genuinely need a prompt, which creates the subtlest challenge: when the product does speak, how does it avoid becoming the guilt machine I criticized?</w:t>
      </w:r>
    </w:p>
    <w:p>
      <w:pPr>
        <w:spacing w:after="130" w:line="288"/>
        <w:jc w:val="left"/>
      </w:pPr>
      <w:r>
        <w:rPr>
          <w:rFonts w:ascii="Calibri" w:cs="Calibri" w:eastAsia="Calibri" w:hAnsi="Calibri"/>
          <w:i w:val="false"/>
          <w:iCs w:val="false"/>
          <w:color w:val="2B2B2B"/>
          <w:sz w:val="21"/>
          <w:szCs w:val="21"/>
        </w:rPr>
        <w:t xml:space="preserve">This matters because of who the user is. Tone isn't decoration — it's the core of the experience. A prompt that reads as an accusation punishes someone already frightened, and a stream of them produces alert fatigue. So the challenge is emotional and precise: distinguish the rare signal that must interrupt from the noise that must not, and craft the product's voice so even a genuine prompt reduces anxiety rather than adding to it. This is where “design to disappear” earns its place — a product confident enough to stay quiet, and careful about the few times it doesn't.</w:t>
      </w:r>
    </w:p>
    <w:tbl>
      <w:tblPr>
        <w:tblW w:type="pct" w:w="100%"/>
        <w:tblBorders>
          <w:top w:val="single" w:color="FBF3E4" w:sz="2"/>
          <w:left w:val="single" w:color="C0402B" w:sz="24"/>
          <w:bottom w:val="single" w:color="FBF3E4" w:sz="2"/>
          <w:right w:val="single" w:color="FBF3E4" w:sz="2"/>
          <w:insideH w:val="none"/>
          <w:insideV w:val="none"/>
        </w:tblBorders>
      </w:tblPr>
      <w:tblGrid>
        <w:gridCol w:w="9360"/>
      </w:tblGrid>
      <w:tr>
        <w:tc>
          <w:tcPr>
            <w:tcW w:type="dxa" w:w="9360"/>
            <w:shd w:fill="FBF3E4" w:color="auto" w:val="clear"/>
            <w:tcMar>
              <w:top w:type="dxa" w:w="160"/>
              <w:left w:type="dxa" w:w="220"/>
              <w:bottom w:type="dxa" w:w="160"/>
              <w:right w:type="dxa" w:w="220"/>
            </w:tcMar>
          </w:tcPr>
          <w:p>
            <w:pPr>
              <w:spacing w:after="60"/>
            </w:pPr>
            <w:r>
              <w:rPr>
                <w:rFonts w:ascii="Calibri" w:cs="Calibri" w:eastAsia="Calibri" w:hAnsi="Calibri"/>
                <w:b/>
                <w:bCs/>
                <w:color w:val="C0402B"/>
                <w:spacing w:val="20"/>
                <w:sz w:val="16"/>
                <w:szCs w:val="16"/>
              </w:rPr>
              <w:t xml:space="preserve">ASSUMPTION — AND HOW I'D TEST IT</w:t>
            </w:r>
          </w:p>
          <w:p>
            <w:pPr>
              <w:spacing w:after="0" w:line="280"/>
            </w:pPr>
            <w:r>
              <w:rPr>
                <w:rFonts w:ascii="Calibri" w:cs="Calibri" w:eastAsia="Calibri" w:hAnsi="Calibri"/>
                <w:i/>
                <w:iCs/>
                <w:color w:val="2B2B2B"/>
                <w:sz w:val="20"/>
                <w:szCs w:val="20"/>
              </w:rPr>
              <w:t xml:space="preserve">I'm treating the handoff as the single biggest source of missed doses based on reasoning and secondary sources, </w:t>
            </w:r>
            <w:r>
              <w:rPr>
                <w:rFonts w:ascii="Calibri" w:cs="Calibri" w:eastAsia="Calibri" w:hAnsi="Calibri"/>
                <w:b/>
                <w:bCs/>
                <w:i/>
                <w:iCs/>
                <w:color w:val="1A1A1A"/>
                <w:sz w:val="20"/>
                <w:szCs w:val="20"/>
              </w:rPr>
              <w:t xml:space="preserve">not measured data from real households.</w:t>
            </w:r>
            <w:r>
              <w:rPr>
                <w:rFonts w:ascii="Calibri" w:cs="Calibri" w:eastAsia="Calibri" w:hAnsi="Calibri"/>
                <w:i/>
                <w:iCs/>
                <w:color w:val="2B2B2B"/>
                <w:sz w:val="20"/>
                <w:szCs w:val="20"/>
              </w:rPr>
              <w:t xml:space="preserve"> If I could validate one thing before building, it's this: a diary study with multi-caregiver households, counting how often missed doses trace to a handoff gap versus other frictions. If that assumption proved weak, the product's center of gravity would shift — and I'd want to know early.</w:t>
            </w:r>
          </w:p>
        </w:tc>
      </w:tr>
    </w:tbl>
    <w:p>
      <w:pPr>
        <w:spacing w:after="130"/>
      </w:pPr>
      <w:r>
        <w:t xml:space="preserve"/>
      </w:r>
    </w:p>
    <w:p>
      <w:pPr>
        <w:pStyle w:val="Heading2"/>
        <w:spacing w:after="90" w:before="260"/>
      </w:pPr>
      <w:r>
        <w:rPr>
          <w:rFonts w:ascii="Calibri" w:cs="Calibri" w:eastAsia="Calibri" w:hAnsi="Calibri"/>
          <w:b/>
          <w:bCs/>
          <w:color w:val="1A1A1A"/>
          <w:sz w:val="25"/>
          <w:szCs w:val="25"/>
        </w:rPr>
        <w:t xml:space="preserve">The shape of the answer</w:t>
      </w:r>
    </w:p>
    <w:p>
      <w:pPr>
        <w:spacing w:after="130" w:line="288"/>
        <w:jc w:val="left"/>
      </w:pPr>
      <w:r>
        <w:rPr>
          <w:rFonts w:ascii="Calibri" w:cs="Calibri" w:eastAsia="Calibri" w:hAnsi="Calibri"/>
          <w:i w:val="false"/>
          <w:iCs w:val="false"/>
          <w:color w:val="2B2B2B"/>
          <w:sz w:val="21"/>
          <w:szCs w:val="21"/>
        </w:rPr>
        <w:t xml:space="preserve">Only now — with the problems on the table — does the solution read as a response rather than a feature list. The product is built around three moves that map one-to-one onto the three challenges:</w:t>
      </w:r>
    </w:p>
    <w:p>
      <w:pPr>
        <w:pStyle w:val="ListParagraph"/>
        <w:numPr>
          <w:ilvl w:val="0"/>
          <w:numId w:val="2"/>
        </w:numPr>
        <w:spacing w:after="80" w:line="280"/>
      </w:pPr>
      <w:r>
        <w:rPr>
          <w:rFonts w:ascii="Calibri" w:cs="Calibri" w:eastAsia="Calibri" w:hAnsi="Calibri"/>
          <w:b/>
          <w:bCs/>
          <w:color w:val="1A1A1A"/>
          <w:sz w:val="21"/>
          <w:szCs w:val="21"/>
        </w:rPr>
        <w:t xml:space="preserve">Shared by default</w:t>
      </w:r>
      <w:r>
        <w:rPr>
          <w:rFonts w:ascii="Calibri" w:cs="Calibri" w:eastAsia="Calibri" w:hAnsi="Calibri"/>
          <w:color w:val="2B2B2B"/>
          <w:sz w:val="21"/>
          <w:szCs w:val="21"/>
        </w:rPr>
        <w:t xml:space="preserve"> — a lightweight, non-judgmental way for any carer to see at a glance whether a dose already happened. Answers the handoff without becoming surveillance.</w:t>
      </w:r>
    </w:p>
    <w:p>
      <w:pPr>
        <w:pStyle w:val="ListParagraph"/>
        <w:numPr>
          <w:ilvl w:val="0"/>
          <w:numId w:val="2"/>
        </w:numPr>
        <w:spacing w:after="80" w:line="280"/>
      </w:pPr>
      <w:r>
        <w:rPr>
          <w:rFonts w:ascii="Calibri" w:cs="Calibri" w:eastAsia="Calibri" w:hAnsi="Calibri"/>
          <w:b/>
          <w:bCs/>
          <w:color w:val="1A1A1A"/>
          <w:sz w:val="21"/>
          <w:szCs w:val="21"/>
        </w:rPr>
        <w:t xml:space="preserve">Refill on pharmacy time, not bottle time</w:t>
      </w:r>
      <w:r>
        <w:rPr>
          <w:rFonts w:ascii="Calibri" w:cs="Calibri" w:eastAsia="Calibri" w:hAnsi="Calibri"/>
          <w:color w:val="2B2B2B"/>
          <w:sz w:val="21"/>
          <w:szCs w:val="21"/>
        </w:rPr>
        <w:t xml:space="preserve"> — surfaces the real deadline weeks early, when action is still possible.</w:t>
      </w:r>
    </w:p>
    <w:p>
      <w:pPr>
        <w:pStyle w:val="ListParagraph"/>
        <w:numPr>
          <w:ilvl w:val="0"/>
          <w:numId w:val="2"/>
        </w:numPr>
        <w:spacing w:after="80" w:line="280"/>
      </w:pPr>
      <w:r>
        <w:rPr>
          <w:rFonts w:ascii="Calibri" w:cs="Calibri" w:eastAsia="Calibri" w:hAnsi="Calibri"/>
          <w:b/>
          <w:bCs/>
          <w:color w:val="1A1A1A"/>
          <w:sz w:val="21"/>
          <w:szCs w:val="21"/>
        </w:rPr>
        <w:t xml:space="preserve">Quiet by design</w:t>
      </w:r>
      <w:r>
        <w:rPr>
          <w:rFonts w:ascii="Calibri" w:cs="Calibri" w:eastAsia="Calibri" w:hAnsi="Calibri"/>
          <w:color w:val="2B2B2B"/>
          <w:sz w:val="21"/>
          <w:szCs w:val="21"/>
        </w:rPr>
        <w:t xml:space="preserve"> — speaks rarely, and when it must, in a voice built to steady the owner rather than accuse them.</w:t>
      </w:r>
    </w:p>
    <w:p>
      <w:pPr>
        <w:spacing w:after="130" w:line="288"/>
        <w:jc w:val="left"/>
      </w:pPr>
      <w:r>
        <w:rPr>
          <w:rFonts w:ascii="Calibri" w:cs="Calibri" w:eastAsia="Calibri" w:hAnsi="Calibri"/>
          <w:i w:val="false"/>
          <w:iCs w:val="false"/>
          <w:color w:val="2B2B2B"/>
          <w:sz w:val="21"/>
          <w:szCs w:val="21"/>
        </w:rPr>
        <w:t xml:space="preserve">Each is a decision with real trade-offs and rejected alternatives — which is exactly what the next section is for.</w:t>
      </w:r>
    </w:p>
    <w:p>
      <w:r>
        <w:br w:type="page"/>
      </w:r>
    </w:p>
    <w:p>
      <w:pPr>
        <w:spacing w:after="30" w:before="300"/>
      </w:pPr>
      <w:r>
        <w:rPr>
          <w:rFonts w:ascii="Calibri" w:cs="Calibri" w:eastAsia="Calibri" w:hAnsi="Calibri"/>
          <w:b/>
          <w:bCs/>
          <w:color w:val="C0402B"/>
          <w:spacing w:val="30"/>
          <w:sz w:val="17"/>
          <w:szCs w:val="17"/>
        </w:rPr>
        <w:t xml:space="preserve">SECTION 3 · THE SOLUTION, END TO END</w:t>
      </w:r>
    </w:p>
    <w:p>
      <w:pPr>
        <w:pStyle w:val="Heading1"/>
        <w:spacing w:after="120" w:before="360"/>
      </w:pPr>
      <w:r>
        <w:rPr>
          <w:rFonts w:ascii="Calibri" w:cs="Calibri" w:eastAsia="Calibri" w:hAnsi="Calibri"/>
          <w:b/>
          <w:bCs/>
          <w:color w:val="1A1A1A"/>
          <w:sz w:val="34"/>
          <w:szCs w:val="34"/>
        </w:rPr>
        <w:t xml:space="preserve">What it feels like to use</w:t>
      </w:r>
    </w:p>
    <w:p>
      <w:pPr>
        <w:spacing w:after="160" w:line="300"/>
      </w:pPr>
      <w:r>
        <w:rPr>
          <w:rFonts w:ascii="Calibri" w:cs="Calibri" w:eastAsia="Calibri" w:hAnsi="Calibri"/>
          <w:i/>
          <w:iCs/>
          <w:color w:val="5A5A5A"/>
          <w:sz w:val="24"/>
          <w:szCs w:val="24"/>
        </w:rPr>
        <w:t xml:space="preserve">Shown as a journey — how one caregiver moves through a day of treatment — before we open up the decisions behind it.</w:t>
      </w:r>
    </w:p>
    <w:p>
      <w:pPr>
        <w:spacing w:after="130" w:line="288"/>
        <w:jc w:val="left"/>
      </w:pPr>
      <w:r>
        <w:rPr>
          <w:rFonts w:ascii="Calibri" w:cs="Calibri" w:eastAsia="Calibri" w:hAnsi="Calibri"/>
          <w:i w:val="false"/>
          <w:iCs w:val="false"/>
          <w:color w:val="2B2B2B"/>
          <w:sz w:val="21"/>
          <w:szCs w:val="21"/>
        </w:rPr>
        <w:t xml:space="preserve">The fastest way to understand the product is to watch it work. This is the core loop: a caregiver opens the app, sees at a glance what's already handled and what isn't, gives a dose in two taps, and the household stays in sync without anyone having to ask “did you give it yet?” The refill takes care of itself in the background, surfacing only when a decision is genuinely needed.</w:t>
      </w:r>
    </w:p>
    <w:tbl>
      <w:tblPr>
        <w:tblW w:type="pct" w:w="100%"/>
        <w:tblBorders>
          <w:top w:val="dashed" w:color="B8C2CC" w:sz="6"/>
          <w:left w:val="dashed" w:color="B8C2CC" w:sz="6"/>
          <w:bottom w:val="dashed" w:color="B8C2CC" w:sz="6"/>
          <w:right w:val="dashed" w:color="B8C2CC" w:sz="6"/>
          <w:insideH w:val="none"/>
          <w:insideV w:val="none"/>
        </w:tblBorders>
      </w:tblPr>
      <w:tblGrid>
        <w:gridCol w:w="9360"/>
      </w:tblGrid>
      <w:tr>
        <w:tc>
          <w:tcPr>
            <w:tcW w:type="dxa" w:w="9360"/>
            <w:shd w:fill="EEF1F4" w:color="auto" w:val="clear"/>
            <w:tcMar>
              <w:top w:type="dxa" w:w="200"/>
              <w:left w:type="dxa" w:w="260"/>
              <w:bottom w:type="dxa" w:w="200"/>
              <w:right w:type="dxa" w:w="260"/>
            </w:tcMar>
          </w:tcPr>
          <w:p>
            <w:pPr>
              <w:spacing w:after="40"/>
              <w:jc w:val="center"/>
            </w:pPr>
            <w:r>
              <w:rPr>
                <w:rFonts w:ascii="Calibri" w:cs="Calibri" w:eastAsia="Calibri" w:hAnsi="Calibri"/>
                <w:b/>
                <w:bCs/>
                <w:color w:val="B8C2CC"/>
                <w:spacing w:val="40"/>
                <w:sz w:val="16"/>
                <w:szCs w:val="16"/>
              </w:rPr>
              <w:t xml:space="preserve">◺  IMAGE  ◹</w:t>
            </w:r>
          </w:p>
          <w:p>
            <w:pPr>
              <w:spacing w:after="60"/>
              <w:jc w:val="center"/>
            </w:pPr>
            <w:r>
              <w:rPr>
                <w:rFonts w:ascii="Calibri" w:cs="Calibri" w:eastAsia="Calibri" w:hAnsi="Calibri"/>
                <w:b/>
                <w:bCs/>
                <w:color w:val="1A1A1A"/>
                <w:sz w:val="20"/>
                <w:szCs w:val="20"/>
              </w:rPr>
              <w:t xml:space="preserve">Figure 4 — Prototype walkthrough — the core daily loop</w:t>
            </w:r>
          </w:p>
          <w:p>
            <w:pPr>
              <w:spacing w:after="40" w:line="264"/>
            </w:pPr>
            <w:r>
              <w:rPr>
                <w:rFonts w:ascii="Calibri" w:cs="Calibri" w:eastAsia="Calibri" w:hAnsi="Calibri"/>
                <w:b/>
                <w:bCs/>
                <w:color w:val="C0402B"/>
                <w:sz w:val="18"/>
                <w:szCs w:val="18"/>
              </w:rPr>
              <w:t xml:space="preserve">Show:  </w:t>
            </w:r>
            <w:r>
              <w:rPr>
                <w:rFonts w:ascii="Calibri" w:cs="Calibri" w:eastAsia="Calibri" w:hAnsi="Calibri"/>
                <w:color w:val="3A3A3A"/>
                <w:sz w:val="18"/>
                <w:szCs w:val="18"/>
              </w:rPr>
              <w:t xml:space="preserve">3–5 key screens in sequence: (1) the at-a-glance 'today' view showing dose status across carers, (2) the two-tap 'given' confirmation, (3) the shared state updating for the other carer, (4) the calm refill surfacing early. Embed a prototype GIF/video here if possible.</w:t>
            </w:r>
          </w:p>
          <w:p>
            <w:pPr>
              <w:spacing w:after="0" w:line="264"/>
            </w:pPr>
            <w:r>
              <w:rPr>
                <w:rFonts w:ascii="Calibri" w:cs="Calibri" w:eastAsia="Calibri" w:hAnsi="Calibri"/>
                <w:b/>
                <w:bCs/>
                <w:color w:val="C0402B"/>
                <w:sz w:val="18"/>
                <w:szCs w:val="18"/>
              </w:rPr>
              <w:t xml:space="preserve">Why it earns its place:  </w:t>
            </w:r>
            <w:r>
              <w:rPr>
                <w:rFonts w:ascii="Calibri" w:cs="Calibri" w:eastAsia="Calibri" w:hAnsi="Calibri"/>
                <w:i/>
                <w:iCs/>
                <w:color w:val="3A3A3A"/>
                <w:sz w:val="18"/>
                <w:szCs w:val="18"/>
              </w:rPr>
              <w:t xml:space="preserve">This is the 'can this person deliver?' answer. Per senior-hiring behavior, showing the outcome early earns the right to a deep read.</w:t>
            </w:r>
          </w:p>
        </w:tc>
      </w:tr>
    </w:tbl>
    <w:p>
      <w:pPr>
        <w:spacing w:after="130"/>
      </w:pPr>
      <w:r>
        <w:t xml:space="preserve"/>
      </w:r>
    </w:p>
    <w:p>
      <w:pPr>
        <w:pStyle w:val="Heading3"/>
        <w:spacing w:after="70" w:before="200"/>
      </w:pPr>
      <w:r>
        <w:rPr>
          <w:rFonts w:ascii="Calibri" w:cs="Calibri" w:eastAsia="Calibri" w:hAnsi="Calibri"/>
          <w:b/>
          <w:bCs/>
          <w:color w:val="C0402B"/>
          <w:sz w:val="21"/>
          <w:szCs w:val="21"/>
        </w:rPr>
        <w:t xml:space="preserve">The one screen that carries the idea</w:t>
      </w:r>
    </w:p>
    <w:p>
      <w:pPr>
        <w:spacing w:after="130" w:line="288"/>
        <w:jc w:val="left"/>
      </w:pPr>
      <w:r>
        <w:rPr>
          <w:rFonts w:ascii="Calibri" w:cs="Calibri" w:eastAsia="Calibri" w:hAnsi="Calibri"/>
          <w:i w:val="false"/>
          <w:iCs w:val="false"/>
          <w:color w:val="2B2B2B"/>
          <w:sz w:val="21"/>
          <w:szCs w:val="21"/>
        </w:rPr>
        <w:t xml:space="preserve">If the whole product had to survive on a single screen, it's the </w:t>
      </w:r>
      <w:r>
        <w:rPr>
          <w:rFonts w:ascii="Calibri" w:cs="Calibri" w:eastAsia="Calibri" w:hAnsi="Calibri"/>
          <w:b/>
          <w:bCs/>
          <w:color w:val="1A1A1A"/>
          <w:sz w:val="21"/>
          <w:szCs w:val="21"/>
        </w:rPr>
        <w:t xml:space="preserve">“today” view</w:t>
      </w:r>
      <w:r>
        <w:rPr>
          <w:rFonts w:ascii="Calibri" w:cs="Calibri" w:eastAsia="Calibri" w:hAnsi="Calibri"/>
          <w:i w:val="false"/>
          <w:iCs w:val="false"/>
          <w:color w:val="2B2B2B"/>
          <w:sz w:val="21"/>
          <w:szCs w:val="21"/>
        </w:rPr>
        <w:t xml:space="preserve"> — because it's where the friction reframe becomes visible. It doesn't open on a reminder or a streak. It opens on a calm, shared answer to one question: is everyone's care handled right now? Status is glanceable, the next action is obvious, and the other caregiver's actions are already reflected — so the handoff gap closes before it opens.</w:t>
      </w:r>
    </w:p>
    <w:tbl>
      <w:tblPr>
        <w:tblW w:type="pct" w:w="100%"/>
        <w:tblBorders>
          <w:top w:val="dashed" w:color="B8C2CC" w:sz="6"/>
          <w:left w:val="dashed" w:color="B8C2CC" w:sz="6"/>
          <w:bottom w:val="dashed" w:color="B8C2CC" w:sz="6"/>
          <w:right w:val="dashed" w:color="B8C2CC" w:sz="6"/>
          <w:insideH w:val="none"/>
          <w:insideV w:val="none"/>
        </w:tblBorders>
      </w:tblPr>
      <w:tblGrid>
        <w:gridCol w:w="9360"/>
      </w:tblGrid>
      <w:tr>
        <w:tc>
          <w:tcPr>
            <w:tcW w:type="dxa" w:w="9360"/>
            <w:shd w:fill="EEF1F4" w:color="auto" w:val="clear"/>
            <w:tcMar>
              <w:top w:type="dxa" w:w="200"/>
              <w:left w:type="dxa" w:w="260"/>
              <w:bottom w:type="dxa" w:w="200"/>
              <w:right w:type="dxa" w:w="260"/>
            </w:tcMar>
          </w:tcPr>
          <w:p>
            <w:pPr>
              <w:spacing w:after="40"/>
              <w:jc w:val="center"/>
            </w:pPr>
            <w:r>
              <w:rPr>
                <w:rFonts w:ascii="Calibri" w:cs="Calibri" w:eastAsia="Calibri" w:hAnsi="Calibri"/>
                <w:b/>
                <w:bCs/>
                <w:color w:val="B8C2CC"/>
                <w:spacing w:val="40"/>
                <w:sz w:val="16"/>
                <w:szCs w:val="16"/>
              </w:rPr>
              <w:t xml:space="preserve">◺  IMAGE  ◹</w:t>
            </w:r>
          </w:p>
          <w:p>
            <w:pPr>
              <w:spacing w:after="60"/>
              <w:jc w:val="center"/>
            </w:pPr>
            <w:r>
              <w:rPr>
                <w:rFonts w:ascii="Calibri" w:cs="Calibri" w:eastAsia="Calibri" w:hAnsi="Calibri"/>
                <w:b/>
                <w:bCs/>
                <w:color w:val="1A1A1A"/>
                <w:sz w:val="20"/>
                <w:szCs w:val="20"/>
              </w:rPr>
              <w:t xml:space="preserve">Figure 5 — The 'Today' home screen — annotated</w:t>
            </w:r>
          </w:p>
          <w:p>
            <w:pPr>
              <w:spacing w:after="40" w:line="264"/>
            </w:pPr>
            <w:r>
              <w:rPr>
                <w:rFonts w:ascii="Calibri" w:cs="Calibri" w:eastAsia="Calibri" w:hAnsi="Calibri"/>
                <w:b/>
                <w:bCs/>
                <w:color w:val="C0402B"/>
                <w:sz w:val="18"/>
                <w:szCs w:val="18"/>
              </w:rPr>
              <w:t xml:space="preserve">Show:  </w:t>
            </w:r>
            <w:r>
              <w:rPr>
                <w:rFonts w:ascii="Calibri" w:cs="Calibri" w:eastAsia="Calibri" w:hAnsi="Calibri"/>
                <w:color w:val="3A3A3A"/>
                <w:sz w:val="18"/>
                <w:szCs w:val="18"/>
              </w:rPr>
              <w:t xml:space="preserve">the hero home screen with callout annotations explaining each decision: why status-first (not reminder-first), why shared state is visible, why the primary action is a single tap, why there is deliberately no streak/gamification.</w:t>
            </w:r>
          </w:p>
          <w:p>
            <w:pPr>
              <w:spacing w:after="0" w:line="264"/>
            </w:pPr>
            <w:r>
              <w:rPr>
                <w:rFonts w:ascii="Calibri" w:cs="Calibri" w:eastAsia="Calibri" w:hAnsi="Calibri"/>
                <w:b/>
                <w:bCs/>
                <w:color w:val="C0402B"/>
                <w:sz w:val="18"/>
                <w:szCs w:val="18"/>
              </w:rPr>
              <w:t xml:space="preserve">Why it earns its place:  </w:t>
            </w:r>
            <w:r>
              <w:rPr>
                <w:rFonts w:ascii="Calibri" w:cs="Calibri" w:eastAsia="Calibri" w:hAnsi="Calibri"/>
                <w:i/>
                <w:iCs/>
                <w:color w:val="3A3A3A"/>
                <w:sz w:val="18"/>
                <w:szCs w:val="18"/>
              </w:rPr>
              <w:t xml:space="preserve">Annotated hero screens are where you show system-level thinking and answer the 'why' for the scrutiny reader.</w:t>
            </w:r>
          </w:p>
        </w:tc>
      </w:tr>
    </w:tbl>
    <w:p>
      <w:r>
        <w:br w:type="page"/>
      </w:r>
    </w:p>
    <w:p>
      <w:pPr>
        <w:spacing w:after="30" w:before="300"/>
      </w:pPr>
      <w:r>
        <w:rPr>
          <w:rFonts w:ascii="Calibri" w:cs="Calibri" w:eastAsia="Calibri" w:hAnsi="Calibri"/>
          <w:b/>
          <w:bCs/>
          <w:color w:val="C0402B"/>
          <w:spacing w:val="30"/>
          <w:sz w:val="17"/>
          <w:szCs w:val="17"/>
        </w:rPr>
        <w:t xml:space="preserve">SECTION 4 · DECISION STORIES</w:t>
      </w:r>
    </w:p>
    <w:p>
      <w:pPr>
        <w:pStyle w:val="Heading1"/>
        <w:spacing w:after="120" w:before="360"/>
      </w:pPr>
      <w:r>
        <w:rPr>
          <w:rFonts w:ascii="Calibri" w:cs="Calibri" w:eastAsia="Calibri" w:hAnsi="Calibri"/>
          <w:b/>
          <w:bCs/>
          <w:color w:val="1A1A1A"/>
          <w:sz w:val="34"/>
          <w:szCs w:val="34"/>
        </w:rPr>
        <w:t xml:space="preserve">The thinking behind the solution</w:t>
      </w:r>
    </w:p>
    <w:p>
      <w:pPr>
        <w:spacing w:after="160" w:line="300"/>
      </w:pPr>
      <w:r>
        <w:rPr>
          <w:rFonts w:ascii="Calibri" w:cs="Calibri" w:eastAsia="Calibri" w:hAnsi="Calibri"/>
          <w:i/>
          <w:iCs/>
          <w:color w:val="5A5A5A"/>
          <w:sz w:val="24"/>
          <w:szCs w:val="24"/>
        </w:rPr>
        <w:t xml:space="preserve">The heart of the case study. Each story shows a real tension, the options I weighed, the trade-off I accepted, and why. This is where design judgment lives — not in the screens, but in the choices behind them.</w:t>
      </w:r>
    </w:p>
    <w:tbl>
      <w:tblPr>
        <w:tblW w:type="pct" w:w="100%"/>
        <w:tblBorders>
          <w:top w:val="none"/>
          <w:left w:val="none"/>
          <w:bottom w:val="none"/>
          <w:right w:val="none"/>
          <w:insideH w:val="none"/>
          <w:insideV w:val="none"/>
        </w:tblBorders>
      </w:tblPr>
      <w:tblGrid>
        <w:gridCol w:w="9360"/>
      </w:tblGrid>
      <w:tr>
        <w:tc>
          <w:tcPr>
            <w:tcW w:type="dxa" w:w="9360"/>
            <w:shd w:fill="1A1A1A" w:color="auto" w:val="clear"/>
            <w:tcMar>
              <w:top w:type="dxa" w:w="140"/>
              <w:left w:type="dxa" w:w="220"/>
              <w:bottom w:type="dxa" w:w="140"/>
              <w:right w:type="dxa" w:w="220"/>
            </w:tcMar>
          </w:tcPr>
          <w:p>
            <w:pPr>
              <w:spacing w:after="20"/>
            </w:pPr>
            <w:r>
              <w:rPr>
                <w:rFonts w:ascii="Calibri" w:cs="Calibri" w:eastAsia="Calibri" w:hAnsi="Calibri"/>
                <w:b/>
                <w:bCs/>
                <w:color w:val="E8B4A8"/>
                <w:spacing w:val="30"/>
                <w:sz w:val="16"/>
                <w:szCs w:val="16"/>
              </w:rPr>
              <w:t xml:space="preserve">DECISION STORY 1</w:t>
            </w:r>
          </w:p>
          <w:p>
            <w:r>
              <w:rPr>
                <w:rFonts w:ascii="Calibri" w:cs="Calibri" w:eastAsia="Calibri" w:hAnsi="Calibri"/>
                <w:b/>
                <w:bCs/>
                <w:color w:val="FFFFFF"/>
                <w:sz w:val="24"/>
                <w:szCs w:val="24"/>
              </w:rPr>
              <w:t xml:space="preserve">Coordination without surveillance</w:t>
            </w:r>
          </w:p>
        </w:tc>
      </w:tr>
    </w:tbl>
    <w:p>
      <w:pPr>
        <w:spacing w:after="120"/>
      </w:pPr>
      <w:r>
        <w:t xml:space="preserve"/>
      </w:r>
    </w:p>
    <w:p>
      <w:pPr>
        <w:pStyle w:val="Heading3"/>
        <w:spacing w:after="70" w:before="200"/>
      </w:pPr>
      <w:r>
        <w:rPr>
          <w:rFonts w:ascii="Calibri" w:cs="Calibri" w:eastAsia="Calibri" w:hAnsi="Calibri"/>
          <w:b/>
          <w:bCs/>
          <w:color w:val="C0402B"/>
          <w:sz w:val="21"/>
          <w:szCs w:val="21"/>
        </w:rPr>
        <w:t xml:space="preserve">The hook</w:t>
      </w:r>
    </w:p>
    <w:p>
      <w:pPr>
        <w:spacing w:after="130" w:line="288"/>
        <w:jc w:val="left"/>
      </w:pPr>
      <w:r>
        <w:rPr>
          <w:rFonts w:ascii="Calibri" w:cs="Calibri" w:eastAsia="Calibri" w:hAnsi="Calibri"/>
          <w:i w:val="false"/>
          <w:iCs w:val="false"/>
          <w:color w:val="2B2B2B"/>
          <w:sz w:val="21"/>
          <w:szCs w:val="21"/>
        </w:rPr>
        <w:t xml:space="preserve">The obvious way to stop two carers from double-dosing or missing a dose is to show both of them everything, all the time. The first prototype did exactly that — and it felt awful. Watching it back, it read less like shared care and more like two people supervising each other.</w:t>
      </w:r>
    </w:p>
    <w:p>
      <w:pPr>
        <w:pStyle w:val="Heading3"/>
        <w:spacing w:after="70" w:before="200"/>
      </w:pPr>
      <w:r>
        <w:rPr>
          <w:rFonts w:ascii="Calibri" w:cs="Calibri" w:eastAsia="Calibri" w:hAnsi="Calibri"/>
          <w:b/>
          <w:bCs/>
          <w:color w:val="C0402B"/>
          <w:sz w:val="21"/>
          <w:szCs w:val="21"/>
        </w:rPr>
        <w:t xml:space="preserve">Before the decision</w:t>
      </w:r>
    </w:p>
    <w:p>
      <w:pPr>
        <w:spacing w:after="130" w:line="288"/>
        <w:jc w:val="left"/>
      </w:pPr>
      <w:r>
        <w:rPr>
          <w:rFonts w:ascii="Calibri" w:cs="Calibri" w:eastAsia="Calibri" w:hAnsi="Calibri"/>
          <w:i w:val="false"/>
          <w:iCs w:val="false"/>
          <w:color w:val="2B2B2B"/>
          <w:sz w:val="21"/>
          <w:szCs w:val="21"/>
        </w:rPr>
        <w:t xml:space="preserve">The early design broadcast every dose event to every caregiver: “Sarah gave the 8am dose.” “Sarah did NOT give the 2pm dose.” Functionally it closed the handoff gap. Emotionally it opened a worse one — it turned a shared act of love into a compliance feed, and made the absent partner feel policed.</w:t>
      </w:r>
    </w:p>
    <w:tbl>
      <w:tblPr>
        <w:tblW w:type="pct" w:w="100%"/>
        <w:tblBorders>
          <w:top w:val="dashed" w:color="B8C2CC" w:sz="6"/>
          <w:left w:val="dashed" w:color="B8C2CC" w:sz="6"/>
          <w:bottom w:val="dashed" w:color="B8C2CC" w:sz="6"/>
          <w:right w:val="dashed" w:color="B8C2CC" w:sz="6"/>
          <w:insideH w:val="none"/>
          <w:insideV w:val="none"/>
        </w:tblBorders>
      </w:tblPr>
      <w:tblGrid>
        <w:gridCol w:w="9360"/>
      </w:tblGrid>
      <w:tr>
        <w:tc>
          <w:tcPr>
            <w:tcW w:type="dxa" w:w="9360"/>
            <w:shd w:fill="EEF1F4" w:color="auto" w:val="clear"/>
            <w:tcMar>
              <w:top w:type="dxa" w:w="200"/>
              <w:left w:type="dxa" w:w="260"/>
              <w:bottom w:type="dxa" w:w="200"/>
              <w:right w:type="dxa" w:w="260"/>
            </w:tcMar>
          </w:tcPr>
          <w:p>
            <w:pPr>
              <w:spacing w:after="40"/>
              <w:jc w:val="center"/>
            </w:pPr>
            <w:r>
              <w:rPr>
                <w:rFonts w:ascii="Calibri" w:cs="Calibri" w:eastAsia="Calibri" w:hAnsi="Calibri"/>
                <w:b/>
                <w:bCs/>
                <w:color w:val="B8C2CC"/>
                <w:spacing w:val="40"/>
                <w:sz w:val="16"/>
                <w:szCs w:val="16"/>
              </w:rPr>
              <w:t xml:space="preserve">◺  IMAGE  ◹</w:t>
            </w:r>
          </w:p>
          <w:p>
            <w:pPr>
              <w:spacing w:after="60"/>
              <w:jc w:val="center"/>
            </w:pPr>
            <w:r>
              <w:rPr>
                <w:rFonts w:ascii="Calibri" w:cs="Calibri" w:eastAsia="Calibri" w:hAnsi="Calibri"/>
                <w:b/>
                <w:bCs/>
                <w:color w:val="1A1A1A"/>
                <w:sz w:val="20"/>
                <w:szCs w:val="20"/>
              </w:rPr>
              <w:t xml:space="preserve">Figure 6 — Iteration A → B → C — the handoff display</w:t>
            </w:r>
          </w:p>
          <w:p>
            <w:pPr>
              <w:spacing w:after="40" w:line="264"/>
            </w:pPr>
            <w:r>
              <w:rPr>
                <w:rFonts w:ascii="Calibri" w:cs="Calibri" w:eastAsia="Calibri" w:hAnsi="Calibri"/>
                <w:b/>
                <w:bCs/>
                <w:color w:val="C0402B"/>
                <w:sz w:val="18"/>
                <w:szCs w:val="18"/>
              </w:rPr>
              <w:t xml:space="preserve">Show:  </w:t>
            </w:r>
            <w:r>
              <w:rPr>
                <w:rFonts w:ascii="Calibri" w:cs="Calibri" w:eastAsia="Calibri" w:hAnsi="Calibri"/>
                <w:color w:val="3A3A3A"/>
                <w:sz w:val="18"/>
                <w:szCs w:val="18"/>
              </w:rPr>
              <w:t xml:space="preserve">the actual iterations: (A) the 'compliance feed' version that felt like surveillance, (B) an over-corrected minimal version that lost shared certainty, (C) the final calm shared-status version. Show what changed and annotate why.</w:t>
            </w:r>
          </w:p>
          <w:p>
            <w:pPr>
              <w:spacing w:after="0" w:line="264"/>
            </w:pPr>
            <w:r>
              <w:rPr>
                <w:rFonts w:ascii="Calibri" w:cs="Calibri" w:eastAsia="Calibri" w:hAnsi="Calibri"/>
                <w:b/>
                <w:bCs/>
                <w:color w:val="C0402B"/>
                <w:sz w:val="18"/>
                <w:szCs w:val="18"/>
              </w:rPr>
              <w:t xml:space="preserve">Why it earns its place:  </w:t>
            </w:r>
            <w:r>
              <w:rPr>
                <w:rFonts w:ascii="Calibri" w:cs="Calibri" w:eastAsia="Calibri" w:hAnsi="Calibri"/>
                <w:i/>
                <w:iCs/>
                <w:color w:val="3A3A3A"/>
                <w:sz w:val="18"/>
                <w:szCs w:val="18"/>
              </w:rPr>
              <w:t xml:space="preserve">Showing failed iterations is the single most convincing proof of real design work. Recruiters trust the messy middle.</w:t>
            </w:r>
          </w:p>
        </w:tc>
      </w:tr>
    </w:tbl>
    <w:p>
      <w:pPr>
        <w:spacing w:after="130"/>
      </w:pPr>
      <w:r>
        <w:t xml:space="preserve"/>
      </w:r>
    </w:p>
    <w:p>
      <w:pPr>
        <w:pStyle w:val="Heading3"/>
        <w:spacing w:after="70" w:before="200"/>
      </w:pPr>
      <w:r>
        <w:rPr>
          <w:rFonts w:ascii="Calibri" w:cs="Calibri" w:eastAsia="Calibri" w:hAnsi="Calibri"/>
          <w:b/>
          <w:bCs/>
          <w:color w:val="C0402B"/>
          <w:sz w:val="21"/>
          <w:szCs w:val="21"/>
        </w:rPr>
        <w:t xml:space="preserve">The decision as a turning point</w:t>
      </w:r>
    </w:p>
    <w:p>
      <w:pPr>
        <w:spacing w:after="130" w:line="288"/>
        <w:jc w:val="left"/>
      </w:pPr>
      <w:r>
        <w:rPr>
          <w:rFonts w:ascii="Calibri" w:cs="Calibri" w:eastAsia="Calibri" w:hAnsi="Calibri"/>
          <w:i w:val="false"/>
          <w:iCs w:val="false"/>
          <w:color w:val="2B2B2B"/>
          <w:sz w:val="21"/>
          <w:szCs w:val="21"/>
        </w:rPr>
        <w:t xml:space="preserve">I considered three options. </w:t>
      </w:r>
      <w:r>
        <w:rPr>
          <w:rFonts w:ascii="Calibri" w:cs="Calibri" w:eastAsia="Calibri" w:hAnsi="Calibri"/>
          <w:b/>
          <w:bCs/>
          <w:color w:val="1A1A1A"/>
          <w:sz w:val="21"/>
          <w:szCs w:val="21"/>
        </w:rPr>
        <w:t xml:space="preserve">Option A — full transparency</w:t>
      </w:r>
      <w:r>
        <w:rPr>
          <w:rFonts w:ascii="Calibri" w:cs="Calibri" w:eastAsia="Calibri" w:hAnsi="Calibri"/>
          <w:i w:val="false"/>
          <w:iCs w:val="false"/>
          <w:color w:val="2B2B2B"/>
          <w:sz w:val="21"/>
          <w:szCs w:val="21"/>
        </w:rPr>
        <w:t xml:space="preserve"> (broadcast every event): maximally certain, but it created surveillance and resentment. </w:t>
      </w:r>
      <w:r>
        <w:rPr>
          <w:rFonts w:ascii="Calibri" w:cs="Calibri" w:eastAsia="Calibri" w:hAnsi="Calibri"/>
          <w:b/>
          <w:bCs/>
          <w:color w:val="1A1A1A"/>
          <w:sz w:val="21"/>
          <w:szCs w:val="21"/>
        </w:rPr>
        <w:t xml:space="preserve">Option B — minimal shared state</w:t>
      </w:r>
      <w:r>
        <w:rPr>
          <w:rFonts w:ascii="Calibri" w:cs="Calibri" w:eastAsia="Calibri" w:hAnsi="Calibri"/>
          <w:i w:val="false"/>
          <w:iCs w:val="false"/>
          <w:color w:val="2B2B2B"/>
          <w:sz w:val="21"/>
          <w:szCs w:val="21"/>
        </w:rPr>
        <w:t xml:space="preserve"> (only show 'done for now'): removed the policing feeling, but lost the certainty that prevents double-dosing, which was the whole point. </w:t>
      </w:r>
      <w:r>
        <w:rPr>
          <w:rFonts w:ascii="Calibri" w:cs="Calibri" w:eastAsia="Calibri" w:hAnsi="Calibri"/>
          <w:b/>
          <w:bCs/>
          <w:color w:val="1A1A1A"/>
          <w:sz w:val="21"/>
          <w:szCs w:val="21"/>
        </w:rPr>
        <w:t xml:space="preserve">Option C — status, not surveillance:</w:t>
      </w:r>
      <w:r>
        <w:rPr>
          <w:rFonts w:ascii="Calibri" w:cs="Calibri" w:eastAsia="Calibri" w:hAnsi="Calibri"/>
          <w:i w:val="false"/>
          <w:iCs w:val="false"/>
          <w:color w:val="2B2B2B"/>
          <w:sz w:val="21"/>
          <w:szCs w:val="21"/>
        </w:rPr>
        <w:t xml:space="preserve"> show the household a single shared answer to “is this handled?” at the level of the *care*, not the *person* — “Max's morning dose is done” rather than “Sarah did it / didn't do it.”</w:t>
      </w:r>
    </w:p>
    <w:p>
      <w:pPr>
        <w:spacing w:after="130" w:line="288"/>
        <w:jc w:val="left"/>
      </w:pPr>
      <w:r>
        <w:rPr>
          <w:rFonts w:ascii="Calibri" w:cs="Calibri" w:eastAsia="Calibri" w:hAnsi="Calibri"/>
          <w:i w:val="false"/>
          <w:iCs w:val="false"/>
          <w:color w:val="2B2B2B"/>
          <w:sz w:val="21"/>
          <w:szCs w:val="21"/>
        </w:rPr>
        <w:t xml:space="preserve">I chose </w:t>
      </w:r>
      <w:r>
        <w:rPr>
          <w:rFonts w:ascii="Calibri" w:cs="Calibri" w:eastAsia="Calibri" w:hAnsi="Calibri"/>
          <w:b/>
          <w:bCs/>
          <w:color w:val="1A1A1A"/>
          <w:sz w:val="21"/>
          <w:szCs w:val="21"/>
        </w:rPr>
        <w:t xml:space="preserve">Option C</w:t>
      </w:r>
      <w:r>
        <w:rPr>
          <w:rFonts w:ascii="Calibri" w:cs="Calibri" w:eastAsia="Calibri" w:hAnsi="Calibri"/>
          <w:i w:val="false"/>
          <w:iCs w:val="false"/>
          <w:color w:val="2B2B2B"/>
          <w:sz w:val="21"/>
          <w:szCs w:val="21"/>
        </w:rPr>
        <w:t xml:space="preserve"> because it served the real goal — shared certainty — while protecting the relationship, which the reframe says is the actual product. The trade-off I accepted: I gave up granular accountability (you can't easily see *who* skipped a dose). That's a real cost. I accepted it because designing for blame would optimize the wrong thing; the goal is that the dose happens, not that someone is caught not doing it.</w:t>
      </w:r>
    </w:p>
    <w:tbl>
      <w:tblPr>
        <w:tblW w:type="pct" w:w="100%"/>
        <w:tblBorders>
          <w:top w:val="single" w:color="F3E4DF" w:sz="2"/>
          <w:left w:val="single" w:color="C0402B" w:sz="24"/>
          <w:bottom w:val="single" w:color="F3E4DF" w:sz="2"/>
          <w:right w:val="single" w:color="F3E4DF" w:sz="2"/>
          <w:insideH w:val="none"/>
          <w:insideV w:val="none"/>
        </w:tblBorders>
      </w:tblPr>
      <w:tblGrid>
        <w:gridCol w:w="9360"/>
      </w:tblGrid>
      <w:tr>
        <w:tc>
          <w:tcPr>
            <w:tcW w:type="dxa" w:w="9360"/>
            <w:shd w:fill="F3E4DF" w:color="auto" w:val="clear"/>
            <w:tcMar>
              <w:top w:type="dxa" w:w="160"/>
              <w:left w:type="dxa" w:w="220"/>
              <w:bottom w:type="dxa" w:w="160"/>
              <w:right w:type="dxa" w:w="220"/>
            </w:tcMar>
          </w:tcPr>
          <w:p>
            <w:pPr>
              <w:spacing w:after="0" w:line="280"/>
            </w:pPr>
            <w:r>
              <w:rPr>
                <w:rFonts w:ascii="Calibri" w:cs="Calibri" w:eastAsia="Calibri" w:hAnsi="Calibri"/>
                <w:b/>
                <w:bCs/>
                <w:i w:val="false"/>
                <w:iCs w:val="false"/>
                <w:color w:val="1A1A1A"/>
                <w:sz w:val="20"/>
                <w:szCs w:val="20"/>
              </w:rPr>
              <w:t xml:space="preserve">Why over what:</w:t>
            </w:r>
            <w:r>
              <w:rPr>
                <w:rFonts w:ascii="Calibri" w:cs="Calibri" w:eastAsia="Calibri" w:hAnsi="Calibri"/>
                <w:i w:val="false"/>
                <w:iCs w:val="false"/>
                <w:color w:val="2B2B2B"/>
                <w:sz w:val="20"/>
                <w:szCs w:val="20"/>
              </w:rPr>
              <w:t xml:space="preserve"> I didn't 'add a shared status feature.' I chose care-level status over person-level tracking, trading accountability for trust — because the product's real user is a relationship under stress, not a compliance system.</w:t>
            </w:r>
          </w:p>
        </w:tc>
      </w:tr>
    </w:tbl>
    <w:p>
      <w:pPr>
        <w:spacing w:after="130"/>
      </w:pPr>
      <w:r>
        <w:t xml:space="preserve"/>
      </w:r>
    </w:p>
    <w:p>
      <w:pPr>
        <w:pStyle w:val="Heading3"/>
        <w:spacing w:after="70" w:before="200"/>
      </w:pPr>
      <w:r>
        <w:rPr>
          <w:rFonts w:ascii="Calibri" w:cs="Calibri" w:eastAsia="Calibri" w:hAnsi="Calibri"/>
          <w:b/>
          <w:bCs/>
          <w:color w:val="C0402B"/>
          <w:sz w:val="21"/>
          <w:szCs w:val="21"/>
        </w:rPr>
        <w:t xml:space="preserve">What followed, and the honest result</w:t>
      </w:r>
    </w:p>
    <w:p>
      <w:pPr>
        <w:spacing w:after="130" w:line="288"/>
        <w:jc w:val="left"/>
      </w:pPr>
      <w:r>
        <w:rPr>
          <w:rFonts w:ascii="Calibri" w:cs="Calibri" w:eastAsia="Calibri" w:hAnsi="Calibri"/>
          <w:i w:val="false"/>
          <w:iCs w:val="false"/>
          <w:color w:val="2B2B2B"/>
          <w:sz w:val="21"/>
          <w:szCs w:val="21"/>
        </w:rPr>
        <w:t xml:space="preserve">The decision rippled outward: it simplified the home screen (one status per dose, not a feed), removed all per-person notifications, and set the product's non-judgmental voice. As for result — honestly: this is a concept, so I can't claim a measured adherence lift. What I can say is that the decision is testable. I'd validate it by putting both versions in front of multi-carer households and measuring not just missed doses but whether people feel supported or surveilled — because if it fails the second test, it fails.</w:t>
      </w:r>
    </w:p>
    <w:p>
      <w:pPr>
        <w:spacing w:after="130"/>
      </w:pPr>
      <w:r>
        <w:t xml:space="preserve"/>
      </w:r>
    </w:p>
    <w:tbl>
      <w:tblPr>
        <w:tblW w:type="pct" w:w="100%"/>
        <w:tblBorders>
          <w:top w:val="none"/>
          <w:left w:val="none"/>
          <w:bottom w:val="none"/>
          <w:right w:val="none"/>
          <w:insideH w:val="none"/>
          <w:insideV w:val="none"/>
        </w:tblBorders>
      </w:tblPr>
      <w:tblGrid>
        <w:gridCol w:w="9360"/>
      </w:tblGrid>
      <w:tr>
        <w:tc>
          <w:tcPr>
            <w:tcW w:type="dxa" w:w="9360"/>
            <w:shd w:fill="1A1A1A" w:color="auto" w:val="clear"/>
            <w:tcMar>
              <w:top w:type="dxa" w:w="140"/>
              <w:left w:type="dxa" w:w="220"/>
              <w:bottom w:type="dxa" w:w="140"/>
              <w:right w:type="dxa" w:w="220"/>
            </w:tcMar>
          </w:tcPr>
          <w:p>
            <w:pPr>
              <w:spacing w:after="20"/>
            </w:pPr>
            <w:r>
              <w:rPr>
                <w:rFonts w:ascii="Calibri" w:cs="Calibri" w:eastAsia="Calibri" w:hAnsi="Calibri"/>
                <w:b/>
                <w:bCs/>
                <w:color w:val="E8B4A8"/>
                <w:spacing w:val="30"/>
                <w:sz w:val="16"/>
                <w:szCs w:val="16"/>
              </w:rPr>
              <w:t xml:space="preserve">DECISION STORY 2</w:t>
            </w:r>
          </w:p>
          <w:p>
            <w:r>
              <w:rPr>
                <w:rFonts w:ascii="Calibri" w:cs="Calibri" w:eastAsia="Calibri" w:hAnsi="Calibri"/>
                <w:b/>
                <w:bCs/>
                <w:color w:val="FFFFFF"/>
                <w:sz w:val="24"/>
                <w:szCs w:val="24"/>
              </w:rPr>
              <w:t xml:space="preserve">Making an invisible deadline feel present</w:t>
            </w:r>
          </w:p>
        </w:tc>
      </w:tr>
    </w:tbl>
    <w:p>
      <w:pPr>
        <w:spacing w:after="120"/>
      </w:pPr>
      <w:r>
        <w:t xml:space="preserve"/>
      </w:r>
    </w:p>
    <w:p>
      <w:pPr>
        <w:pStyle w:val="Heading3"/>
        <w:spacing w:after="70" w:before="200"/>
      </w:pPr>
      <w:r>
        <w:rPr>
          <w:rFonts w:ascii="Calibri" w:cs="Calibri" w:eastAsia="Calibri" w:hAnsi="Calibri"/>
          <w:b/>
          <w:bCs/>
          <w:color w:val="C0402B"/>
          <w:sz w:val="21"/>
          <w:szCs w:val="21"/>
        </w:rPr>
        <w:t xml:space="preserve">The hook</w:t>
      </w:r>
    </w:p>
    <w:p>
      <w:pPr>
        <w:spacing w:after="130" w:line="288"/>
        <w:jc w:val="left"/>
      </w:pPr>
      <w:r>
        <w:rPr>
          <w:rFonts w:ascii="Calibri" w:cs="Calibri" w:eastAsia="Calibri" w:hAnsi="Calibri"/>
          <w:i w:val="false"/>
          <w:iCs w:val="false"/>
          <w:color w:val="2B2B2B"/>
          <w:sz w:val="21"/>
          <w:szCs w:val="21"/>
        </w:rPr>
        <w:t xml:space="preserve">The refill problem has a cruel structure: by the time it feels urgent, it's already too late. The deadline that matters isn't when the bottle runs out — it's weeks earlier, when re-authorization must begin. How do you make someone feel a deadline they can't see?</w:t>
      </w:r>
    </w:p>
    <w:p>
      <w:pPr>
        <w:pStyle w:val="Heading3"/>
        <w:spacing w:after="70" w:before="200"/>
      </w:pPr>
      <w:r>
        <w:rPr>
          <w:rFonts w:ascii="Calibri" w:cs="Calibri" w:eastAsia="Calibri" w:hAnsi="Calibri"/>
          <w:b/>
          <w:bCs/>
          <w:color w:val="C0402B"/>
          <w:sz w:val="21"/>
          <w:szCs w:val="21"/>
        </w:rPr>
        <w:t xml:space="preserve">Before the decision</w:t>
      </w:r>
    </w:p>
    <w:p>
      <w:pPr>
        <w:spacing w:after="130" w:line="288"/>
        <w:jc w:val="left"/>
      </w:pPr>
      <w:r>
        <w:rPr>
          <w:rFonts w:ascii="Calibri" w:cs="Calibri" w:eastAsia="Calibri" w:hAnsi="Calibri"/>
          <w:i w:val="false"/>
          <w:iCs w:val="false"/>
          <w:color w:val="2B2B2B"/>
          <w:sz w:val="21"/>
          <w:szCs w:val="21"/>
        </w:rPr>
        <w:t xml:space="preserve">The first approach was a countdown: “6 days of medication left.” It was honest and completely useless — it counted down to the wrong date. It created urgency exactly when nothing could be done, which is the definition of anxiety without agency.</w:t>
      </w:r>
    </w:p>
    <w:p>
      <w:pPr>
        <w:pStyle w:val="Heading3"/>
        <w:spacing w:after="70" w:before="200"/>
      </w:pPr>
      <w:r>
        <w:rPr>
          <w:rFonts w:ascii="Calibri" w:cs="Calibri" w:eastAsia="Calibri" w:hAnsi="Calibri"/>
          <w:b/>
          <w:bCs/>
          <w:color w:val="C0402B"/>
          <w:sz w:val="21"/>
          <w:szCs w:val="21"/>
        </w:rPr>
        <w:t xml:space="preserve">The decision as a turning point</w:t>
      </w:r>
    </w:p>
    <w:p>
      <w:pPr>
        <w:spacing w:after="130" w:line="288"/>
        <w:jc w:val="left"/>
      </w:pPr>
      <w:r>
        <w:rPr>
          <w:rFonts w:ascii="Calibri" w:cs="Calibri" w:eastAsia="Calibri" w:hAnsi="Calibri"/>
          <w:i w:val="false"/>
          <w:iCs w:val="false"/>
          <w:color w:val="2B2B2B"/>
          <w:sz w:val="21"/>
          <w:szCs w:val="21"/>
        </w:rPr>
        <w:t xml:space="preserve">Options I weighed. </w:t>
      </w:r>
      <w:r>
        <w:rPr>
          <w:rFonts w:ascii="Calibri" w:cs="Calibri" w:eastAsia="Calibri" w:hAnsi="Calibri"/>
          <w:b/>
          <w:bCs/>
          <w:color w:val="1A1A1A"/>
          <w:sz w:val="21"/>
          <w:szCs w:val="21"/>
        </w:rPr>
        <w:t xml:space="preserve">Option A — count down to the bottle emptying:</w:t>
      </w:r>
      <w:r>
        <w:rPr>
          <w:rFonts w:ascii="Calibri" w:cs="Calibri" w:eastAsia="Calibri" w:hAnsi="Calibri"/>
          <w:i w:val="false"/>
          <w:iCs w:val="false"/>
          <w:color w:val="2B2B2B"/>
          <w:sz w:val="21"/>
          <w:szCs w:val="21"/>
        </w:rPr>
        <w:t xml:space="preserve"> intuitive, but points at the wrong deadline and induces helpless panic. </w:t>
      </w:r>
      <w:r>
        <w:rPr>
          <w:rFonts w:ascii="Calibri" w:cs="Calibri" w:eastAsia="Calibri" w:hAnsi="Calibri"/>
          <w:b/>
          <w:bCs/>
          <w:color w:val="1A1A1A"/>
          <w:sz w:val="21"/>
          <w:szCs w:val="21"/>
        </w:rPr>
        <w:t xml:space="preserve">Option B — a hard alert at the true re-authorization date:</w:t>
      </w:r>
      <w:r>
        <w:rPr>
          <w:rFonts w:ascii="Calibri" w:cs="Calibri" w:eastAsia="Calibri" w:hAnsi="Calibri"/>
          <w:i w:val="false"/>
          <w:iCs w:val="false"/>
          <w:color w:val="2B2B2B"/>
          <w:sz w:val="21"/>
          <w:szCs w:val="21"/>
        </w:rPr>
        <w:t xml:space="preserve"> accurate, but a sudden interruptive alarm weeks before the bottle looks empty feels premature and confusing (“why are you telling me now? I have loads left”). </w:t>
      </w:r>
      <w:r>
        <w:rPr>
          <w:rFonts w:ascii="Calibri" w:cs="Calibri" w:eastAsia="Calibri" w:hAnsi="Calibri"/>
          <w:b/>
          <w:bCs/>
          <w:color w:val="1A1A1A"/>
          <w:sz w:val="21"/>
          <w:szCs w:val="21"/>
        </w:rPr>
        <w:t xml:space="preserve">Option C — a quiet, rising signal</w:t>
      </w:r>
      <w:r>
        <w:rPr>
          <w:rFonts w:ascii="Calibri" w:cs="Calibri" w:eastAsia="Calibri" w:hAnsi="Calibri"/>
          <w:i w:val="false"/>
          <w:iCs w:val="false"/>
          <w:color w:val="2B2B2B"/>
          <w:sz w:val="21"/>
          <w:szCs w:val="21"/>
        </w:rPr>
        <w:t xml:space="preserve"> that begins gently at the true pharmacy-time deadline and only escalates if not acted on — framed around the *action* (“time to request Max's refill”), not the *supply* (“6 days left”).</w:t>
      </w:r>
    </w:p>
    <w:p>
      <w:pPr>
        <w:spacing w:after="130" w:line="288"/>
        <w:jc w:val="left"/>
      </w:pPr>
      <w:r>
        <w:rPr>
          <w:rFonts w:ascii="Calibri" w:cs="Calibri" w:eastAsia="Calibri" w:hAnsi="Calibri"/>
          <w:i w:val="false"/>
          <w:iCs w:val="false"/>
          <w:color w:val="2B2B2B"/>
          <w:sz w:val="21"/>
          <w:szCs w:val="21"/>
        </w:rPr>
        <w:t xml:space="preserve">I chose </w:t>
      </w:r>
      <w:r>
        <w:rPr>
          <w:rFonts w:ascii="Calibri" w:cs="Calibri" w:eastAsia="Calibri" w:hAnsi="Calibri"/>
          <w:b/>
          <w:bCs/>
          <w:color w:val="1A1A1A"/>
          <w:sz w:val="21"/>
          <w:szCs w:val="21"/>
        </w:rPr>
        <w:t xml:space="preserve">Option C</w:t>
      </w:r>
      <w:r>
        <w:rPr>
          <w:rFonts w:ascii="Calibri" w:cs="Calibri" w:eastAsia="Calibri" w:hAnsi="Calibri"/>
          <w:i w:val="false"/>
          <w:iCs w:val="false"/>
          <w:color w:val="2B2B2B"/>
          <w:sz w:val="21"/>
          <w:szCs w:val="21"/>
        </w:rPr>
        <w:t xml:space="preserve">. The trade-off: it's more complex to build and explain than a simple countdown, and it asks the user to trust the app's sense of timing over the visible bottle. I accepted that because the alternative — accurate-but-alarming or intuitive-but-useless — both fail the anxious user. Framing around action instead of supply is what converts a scary number into a doable task.</w:t>
      </w:r>
    </w:p>
    <w:tbl>
      <w:tblPr>
        <w:tblW w:type="pct" w:w="100%"/>
        <w:tblBorders>
          <w:top w:val="dashed" w:color="B8C2CC" w:sz="6"/>
          <w:left w:val="dashed" w:color="B8C2CC" w:sz="6"/>
          <w:bottom w:val="dashed" w:color="B8C2CC" w:sz="6"/>
          <w:right w:val="dashed" w:color="B8C2CC" w:sz="6"/>
          <w:insideH w:val="none"/>
          <w:insideV w:val="none"/>
        </w:tblBorders>
      </w:tblPr>
      <w:tblGrid>
        <w:gridCol w:w="9360"/>
      </w:tblGrid>
      <w:tr>
        <w:tc>
          <w:tcPr>
            <w:tcW w:type="dxa" w:w="9360"/>
            <w:shd w:fill="EEF1F4" w:color="auto" w:val="clear"/>
            <w:tcMar>
              <w:top w:type="dxa" w:w="200"/>
              <w:left w:type="dxa" w:w="260"/>
              <w:bottom w:type="dxa" w:w="200"/>
              <w:right w:type="dxa" w:w="260"/>
            </w:tcMar>
          </w:tcPr>
          <w:p>
            <w:pPr>
              <w:spacing w:after="40"/>
              <w:jc w:val="center"/>
            </w:pPr>
            <w:r>
              <w:rPr>
                <w:rFonts w:ascii="Calibri" w:cs="Calibri" w:eastAsia="Calibri" w:hAnsi="Calibri"/>
                <w:b/>
                <w:bCs/>
                <w:color w:val="B8C2CC"/>
                <w:spacing w:val="40"/>
                <w:sz w:val="16"/>
                <w:szCs w:val="16"/>
              </w:rPr>
              <w:t xml:space="preserve">◺  IMAGE  ◹</w:t>
            </w:r>
          </w:p>
          <w:p>
            <w:pPr>
              <w:spacing w:after="60"/>
              <w:jc w:val="center"/>
            </w:pPr>
            <w:r>
              <w:rPr>
                <w:rFonts w:ascii="Calibri" w:cs="Calibri" w:eastAsia="Calibri" w:hAnsi="Calibri"/>
                <w:b/>
                <w:bCs/>
                <w:color w:val="1A1A1A"/>
                <w:sz w:val="20"/>
                <w:szCs w:val="20"/>
              </w:rPr>
              <w:t xml:space="preserve">Figure 7 — Refill signal — from 'supply countdown' to 'action prompt'</w:t>
            </w:r>
          </w:p>
          <w:p>
            <w:pPr>
              <w:spacing w:after="40" w:line="264"/>
            </w:pPr>
            <w:r>
              <w:rPr>
                <w:rFonts w:ascii="Calibri" w:cs="Calibri" w:eastAsia="Calibri" w:hAnsi="Calibri"/>
                <w:b/>
                <w:bCs/>
                <w:color w:val="C0402B"/>
                <w:sz w:val="18"/>
                <w:szCs w:val="18"/>
              </w:rPr>
              <w:t xml:space="preserve">Show:  </w:t>
            </w:r>
            <w:r>
              <w:rPr>
                <w:rFonts w:ascii="Calibri" w:cs="Calibri" w:eastAsia="Calibri" w:hAnsi="Calibri"/>
                <w:color w:val="3A3A3A"/>
                <w:sz w:val="18"/>
                <w:szCs w:val="18"/>
              </w:rPr>
              <w:t xml:space="preserve">before/after of the refill UI: the rejected '6 days left' countdown vs. the final calm 'time to request refill' prompt timed to pharmacy re-authorization. Show the escalation states.</w:t>
            </w:r>
          </w:p>
          <w:p>
            <w:pPr>
              <w:spacing w:after="0" w:line="264"/>
            </w:pPr>
            <w:r>
              <w:rPr>
                <w:rFonts w:ascii="Calibri" w:cs="Calibri" w:eastAsia="Calibri" w:hAnsi="Calibri"/>
                <w:b/>
                <w:bCs/>
                <w:color w:val="C0402B"/>
                <w:sz w:val="18"/>
                <w:szCs w:val="18"/>
              </w:rPr>
              <w:t xml:space="preserve">Why it earns its place:  </w:t>
            </w:r>
            <w:r>
              <w:rPr>
                <w:rFonts w:ascii="Calibri" w:cs="Calibri" w:eastAsia="Calibri" w:hAnsi="Calibri"/>
                <w:i/>
                <w:iCs/>
                <w:color w:val="3A3A3A"/>
                <w:sz w:val="18"/>
                <w:szCs w:val="18"/>
              </w:rPr>
              <w:t xml:space="preserve">Demonstrates you design around user agency and emotion, and that you can reframe a metric (supply) into a task (action).</w:t>
            </w:r>
          </w:p>
        </w:tc>
      </w:tr>
    </w:tbl>
    <w:p>
      <w:pPr>
        <w:spacing w:after="130"/>
      </w:pPr>
      <w:r>
        <w:t xml:space="preserve"/>
      </w:r>
    </w:p>
    <w:p>
      <w:pPr>
        <w:pStyle w:val="Heading3"/>
        <w:spacing w:after="70" w:before="200"/>
      </w:pPr>
      <w:r>
        <w:rPr>
          <w:rFonts w:ascii="Calibri" w:cs="Calibri" w:eastAsia="Calibri" w:hAnsi="Calibri"/>
          <w:b/>
          <w:bCs/>
          <w:color w:val="C0402B"/>
          <w:sz w:val="21"/>
          <w:szCs w:val="21"/>
        </w:rPr>
        <w:t xml:space="preserve">What followed, and the honest result</w:t>
      </w:r>
    </w:p>
    <w:p>
      <w:pPr>
        <w:spacing w:after="130" w:line="288"/>
        <w:jc w:val="left"/>
      </w:pPr>
      <w:r>
        <w:rPr>
          <w:rFonts w:ascii="Calibri" w:cs="Calibri" w:eastAsia="Calibri" w:hAnsi="Calibri"/>
          <w:i w:val="false"/>
          <w:iCs w:val="false"/>
          <w:color w:val="2B2B2B"/>
          <w:sz w:val="21"/>
          <w:szCs w:val="21"/>
        </w:rPr>
        <w:t xml:space="preserve">This decision defined the product's whole relationship with time: prompts are tied to the moment action is possible and useful, never to raw data. Result, honestly stated: untested, but the validation is concrete — track whether refills actually get started before the re-authorization window closes, versus a countdown baseline. The metric is the gap in treatment, not clicks.</w:t>
      </w:r>
    </w:p>
    <w:p>
      <w:r>
        <w:br w:type="page"/>
      </w:r>
    </w:p>
    <w:tbl>
      <w:tblPr>
        <w:tblW w:type="pct" w:w="100%"/>
        <w:tblBorders>
          <w:top w:val="none"/>
          <w:left w:val="none"/>
          <w:bottom w:val="none"/>
          <w:right w:val="none"/>
          <w:insideH w:val="none"/>
          <w:insideV w:val="none"/>
        </w:tblBorders>
      </w:tblPr>
      <w:tblGrid>
        <w:gridCol w:w="9360"/>
      </w:tblGrid>
      <w:tr>
        <w:tc>
          <w:tcPr>
            <w:tcW w:type="dxa" w:w="9360"/>
            <w:shd w:fill="1A1A1A" w:color="auto" w:val="clear"/>
            <w:tcMar>
              <w:top w:type="dxa" w:w="140"/>
              <w:left w:type="dxa" w:w="220"/>
              <w:bottom w:type="dxa" w:w="140"/>
              <w:right w:type="dxa" w:w="220"/>
            </w:tcMar>
          </w:tcPr>
          <w:p>
            <w:pPr>
              <w:spacing w:after="20"/>
            </w:pPr>
            <w:r>
              <w:rPr>
                <w:rFonts w:ascii="Calibri" w:cs="Calibri" w:eastAsia="Calibri" w:hAnsi="Calibri"/>
                <w:b/>
                <w:bCs/>
                <w:color w:val="E8B4A8"/>
                <w:spacing w:val="30"/>
                <w:sz w:val="16"/>
                <w:szCs w:val="16"/>
              </w:rPr>
              <w:t xml:space="preserve">DECISION STORY 3</w:t>
            </w:r>
          </w:p>
          <w:p>
            <w:r>
              <w:rPr>
                <w:rFonts w:ascii="Calibri" w:cs="Calibri" w:eastAsia="Calibri" w:hAnsi="Calibri"/>
                <w:b/>
                <w:bCs/>
                <w:color w:val="FFFFFF"/>
                <w:sz w:val="24"/>
                <w:szCs w:val="24"/>
              </w:rPr>
              <w:t xml:space="preserve">A product confident enough to stay quiet</w:t>
            </w:r>
          </w:p>
        </w:tc>
      </w:tr>
    </w:tbl>
    <w:p>
      <w:pPr>
        <w:spacing w:after="120"/>
      </w:pPr>
      <w:r>
        <w:t xml:space="preserve"/>
      </w:r>
    </w:p>
    <w:p>
      <w:pPr>
        <w:pStyle w:val="Heading3"/>
        <w:spacing w:after="70" w:before="200"/>
      </w:pPr>
      <w:r>
        <w:rPr>
          <w:rFonts w:ascii="Calibri" w:cs="Calibri" w:eastAsia="Calibri" w:hAnsi="Calibri"/>
          <w:b/>
          <w:bCs/>
          <w:color w:val="C0402B"/>
          <w:sz w:val="21"/>
          <w:szCs w:val="21"/>
        </w:rPr>
        <w:t xml:space="preserve">The hook</w:t>
      </w:r>
    </w:p>
    <w:p>
      <w:pPr>
        <w:spacing w:after="130" w:line="288"/>
        <w:jc w:val="left"/>
      </w:pPr>
      <w:r>
        <w:rPr>
          <w:rFonts w:ascii="Calibri" w:cs="Calibri" w:eastAsia="Calibri" w:hAnsi="Calibri"/>
          <w:i w:val="false"/>
          <w:iCs w:val="false"/>
          <w:color w:val="2B2B2B"/>
          <w:sz w:val="21"/>
          <w:szCs w:val="21"/>
        </w:rPr>
        <w:t xml:space="preserve">Every instinct in consumer product design pushes toward more engagement — more notifications, streaks, daily opens. For a caregiving tool, I decided engagement was a failure signal. The more time an anxious owner spends in the app, the more they're worrying instead of living with their pet.</w:t>
      </w:r>
    </w:p>
    <w:p>
      <w:pPr>
        <w:pStyle w:val="Heading3"/>
        <w:spacing w:after="70" w:before="200"/>
      </w:pPr>
      <w:r>
        <w:rPr>
          <w:rFonts w:ascii="Calibri" w:cs="Calibri" w:eastAsia="Calibri" w:hAnsi="Calibri"/>
          <w:b/>
          <w:bCs/>
          <w:color w:val="C0402B"/>
          <w:sz w:val="21"/>
          <w:szCs w:val="21"/>
        </w:rPr>
        <w:t xml:space="preserve">The decision as a turning point</w:t>
      </w:r>
    </w:p>
    <w:p>
      <w:pPr>
        <w:spacing w:after="130" w:line="288"/>
        <w:jc w:val="left"/>
      </w:pPr>
      <w:r>
        <w:rPr>
          <w:rFonts w:ascii="Calibri" w:cs="Calibri" w:eastAsia="Calibri" w:hAnsi="Calibri"/>
          <w:i w:val="false"/>
          <w:iCs w:val="false"/>
          <w:color w:val="2B2B2B"/>
          <w:sz w:val="21"/>
          <w:szCs w:val="21"/>
        </w:rPr>
        <w:t xml:space="preserve">The tension: notifications drive adherence, but also drive anxiety and alert-fatigue. </w:t>
      </w:r>
      <w:r>
        <w:rPr>
          <w:rFonts w:ascii="Calibri" w:cs="Calibri" w:eastAsia="Calibri" w:hAnsi="Calibri"/>
          <w:b/>
          <w:bCs/>
          <w:color w:val="1A1A1A"/>
          <w:sz w:val="21"/>
          <w:szCs w:val="21"/>
        </w:rPr>
        <w:t xml:space="preserve">Option A — standard engagement model</w:t>
      </w:r>
      <w:r>
        <w:rPr>
          <w:rFonts w:ascii="Calibri" w:cs="Calibri" w:eastAsia="Calibri" w:hAnsi="Calibri"/>
          <w:i w:val="false"/>
          <w:iCs w:val="false"/>
          <w:color w:val="2B2B2B"/>
          <w:sz w:val="21"/>
          <w:szCs w:val="21"/>
        </w:rPr>
        <w:t xml:space="preserve"> (streaks, frequent nudges): proven to boost daily opens, but it's exactly the guilt machine the reframe rejects. </w:t>
      </w:r>
      <w:r>
        <w:rPr>
          <w:rFonts w:ascii="Calibri" w:cs="Calibri" w:eastAsia="Calibri" w:hAnsi="Calibri"/>
          <w:b/>
          <w:bCs/>
          <w:color w:val="1A1A1A"/>
          <w:sz w:val="21"/>
          <w:szCs w:val="21"/>
        </w:rPr>
        <w:t xml:space="preserve">Option B — silent tool</w:t>
      </w:r>
      <w:r>
        <w:rPr>
          <w:rFonts w:ascii="Calibri" w:cs="Calibri" w:eastAsia="Calibri" w:hAnsi="Calibri"/>
          <w:i w:val="false"/>
          <w:iCs w:val="false"/>
          <w:color w:val="2B2B2B"/>
          <w:sz w:val="21"/>
          <w:szCs w:val="21"/>
        </w:rPr>
        <w:t xml:space="preserve"> (no notifications at all): respects attention, but abandons the genuine moments a prompt is needed. </w:t>
      </w:r>
      <w:r>
        <w:rPr>
          <w:rFonts w:ascii="Calibri" w:cs="Calibri" w:eastAsia="Calibri" w:hAnsi="Calibri"/>
          <w:b/>
          <w:bCs/>
          <w:color w:val="1A1A1A"/>
          <w:sz w:val="21"/>
          <w:szCs w:val="21"/>
        </w:rPr>
        <w:t xml:space="preserve">Option C — a strict signal-to-noise rule:</w:t>
      </w:r>
      <w:r>
        <w:rPr>
          <w:rFonts w:ascii="Calibri" w:cs="Calibri" w:eastAsia="Calibri" w:hAnsi="Calibri"/>
          <w:i w:val="false"/>
          <w:iCs w:val="false"/>
          <w:color w:val="2B2B2B"/>
          <w:sz w:val="21"/>
          <w:szCs w:val="21"/>
        </w:rPr>
        <w:t xml:space="preserve"> the app may interrupt only when an action is both necessary and possible, and everything else is glanceable-on-demand, never pushed.</w:t>
      </w:r>
    </w:p>
    <w:p>
      <w:pPr>
        <w:spacing w:after="130" w:line="288"/>
        <w:jc w:val="left"/>
      </w:pPr>
      <w:r>
        <w:rPr>
          <w:rFonts w:ascii="Calibri" w:cs="Calibri" w:eastAsia="Calibri" w:hAnsi="Calibri"/>
          <w:i w:val="false"/>
          <w:iCs w:val="false"/>
          <w:color w:val="2B2B2B"/>
          <w:sz w:val="21"/>
          <w:szCs w:val="21"/>
        </w:rPr>
        <w:t xml:space="preserve">I chose </w:t>
      </w:r>
      <w:r>
        <w:rPr>
          <w:rFonts w:ascii="Calibri" w:cs="Calibri" w:eastAsia="Calibri" w:hAnsi="Calibri"/>
          <w:b/>
          <w:bCs/>
          <w:color w:val="1A1A1A"/>
          <w:sz w:val="21"/>
          <w:szCs w:val="21"/>
        </w:rPr>
        <w:t xml:space="preserve">Option C</w:t>
      </w:r>
      <w:r>
        <w:rPr>
          <w:rFonts w:ascii="Calibri" w:cs="Calibri" w:eastAsia="Calibri" w:hAnsi="Calibri"/>
          <w:i w:val="false"/>
          <w:iCs w:val="false"/>
          <w:color w:val="2B2B2B"/>
          <w:sz w:val="21"/>
          <w:szCs w:val="21"/>
        </w:rPr>
        <w:t xml:space="preserve">, and accepted a real business trade-off: this deliberately lowers engagement metrics that a growth team would want to see go up. I'd defend that in a stakeholder room by arguing the true metric is doses given and owner trust, not daily active use — and that for this user, respecting their attention *is* the product. That's a decision I'd expect pushback on, and I'd welcome it, because it's the kind of trade-off worth having explicitly.</w:t>
      </w:r>
    </w:p>
    <w:tbl>
      <w:tblPr>
        <w:tblW w:type="pct" w:w="100%"/>
        <w:tblBorders>
          <w:top w:val="single" w:color="F3E4DF" w:sz="2"/>
          <w:left w:val="single" w:color="C0402B" w:sz="24"/>
          <w:bottom w:val="single" w:color="F3E4DF" w:sz="2"/>
          <w:right w:val="single" w:color="F3E4DF" w:sz="2"/>
          <w:insideH w:val="none"/>
          <w:insideV w:val="none"/>
        </w:tblBorders>
      </w:tblPr>
      <w:tblGrid>
        <w:gridCol w:w="9360"/>
      </w:tblGrid>
      <w:tr>
        <w:tc>
          <w:tcPr>
            <w:tcW w:type="dxa" w:w="9360"/>
            <w:shd w:fill="F3E4DF" w:color="auto" w:val="clear"/>
            <w:tcMar>
              <w:top w:type="dxa" w:w="160"/>
              <w:left w:type="dxa" w:w="220"/>
              <w:bottom w:type="dxa" w:w="160"/>
              <w:right w:type="dxa" w:w="220"/>
            </w:tcMar>
          </w:tcPr>
          <w:p>
            <w:pPr>
              <w:spacing w:after="0" w:line="280"/>
            </w:pPr>
            <w:r>
              <w:rPr>
                <w:rFonts w:ascii="Calibri" w:cs="Calibri" w:eastAsia="Calibri" w:hAnsi="Calibri"/>
                <w:b/>
                <w:bCs/>
                <w:i w:val="false"/>
                <w:iCs w:val="false"/>
                <w:color w:val="1A1A1A"/>
                <w:sz w:val="20"/>
                <w:szCs w:val="20"/>
              </w:rPr>
              <w:t xml:space="preserve">The maturity signal:</w:t>
            </w:r>
            <w:r>
              <w:rPr>
                <w:rFonts w:ascii="Calibri" w:cs="Calibri" w:eastAsia="Calibri" w:hAnsi="Calibri"/>
                <w:i w:val="false"/>
                <w:iCs w:val="false"/>
                <w:color w:val="2B2B2B"/>
                <w:sz w:val="20"/>
                <w:szCs w:val="20"/>
              </w:rPr>
              <w:t xml:space="preserve"> designing against the engagement grain, on purpose, and being able to defend it in business terms. Success here is measured by the app being needed less, not opened more.</w:t>
            </w:r>
          </w:p>
        </w:tc>
      </w:tr>
    </w:tbl>
    <w:p>
      <w:pPr>
        <w:spacing w:after="130"/>
      </w:pPr>
      <w:r>
        <w:t xml:space="preserve"/>
      </w:r>
    </w:p>
    <w:p>
      <w:pPr>
        <w:pStyle w:val="Heading3"/>
        <w:spacing w:after="70" w:before="200"/>
      </w:pPr>
      <w:r>
        <w:rPr>
          <w:rFonts w:ascii="Calibri" w:cs="Calibri" w:eastAsia="Calibri" w:hAnsi="Calibri"/>
          <w:b/>
          <w:bCs/>
          <w:color w:val="C0402B"/>
          <w:sz w:val="21"/>
          <w:szCs w:val="21"/>
        </w:rPr>
        <w:t xml:space="preserve">What followed, and the honest result</w:t>
      </w:r>
    </w:p>
    <w:p>
      <w:pPr>
        <w:spacing w:after="130" w:line="288"/>
        <w:jc w:val="left"/>
      </w:pPr>
      <w:r>
        <w:rPr>
          <w:rFonts w:ascii="Calibri" w:cs="Calibri" w:eastAsia="Calibri" w:hAnsi="Calibri"/>
          <w:i w:val="false"/>
          <w:iCs w:val="false"/>
          <w:color w:val="2B2B2B"/>
          <w:sz w:val="21"/>
          <w:szCs w:val="21"/>
        </w:rPr>
        <w:t xml:space="preserve">This principle governed every notification decision in the product and kept the interface calm. Honest result: as a concept, unproven — but falsifiable. The test is whether owners on the quiet model miss fewer doses AND report lower anxiety than owners on a conventional nudge-heavy model. If quiet costs adherence, the principle is wrong and I'd revisit it.</w:t>
      </w:r>
    </w:p>
    <w:p>
      <w:r>
        <w:br w:type="page"/>
      </w:r>
    </w:p>
    <w:p>
      <w:pPr>
        <w:spacing w:after="30" w:before="300"/>
      </w:pPr>
      <w:r>
        <w:rPr>
          <w:rFonts w:ascii="Calibri" w:cs="Calibri" w:eastAsia="Calibri" w:hAnsi="Calibri"/>
          <w:b/>
          <w:bCs/>
          <w:color w:val="C0402B"/>
          <w:spacing w:val="30"/>
          <w:sz w:val="17"/>
          <w:szCs w:val="17"/>
        </w:rPr>
        <w:t xml:space="preserve">SECTION 5 · BEYOND THE HAPPY PATH</w:t>
      </w:r>
    </w:p>
    <w:p>
      <w:pPr>
        <w:pStyle w:val="Heading1"/>
        <w:spacing w:after="120" w:before="360"/>
      </w:pPr>
      <w:r>
        <w:rPr>
          <w:rFonts w:ascii="Calibri" w:cs="Calibri" w:eastAsia="Calibri" w:hAnsi="Calibri"/>
          <w:b/>
          <w:bCs/>
          <w:color w:val="1A1A1A"/>
          <w:sz w:val="34"/>
          <w:szCs w:val="34"/>
        </w:rPr>
        <w:t xml:space="preserve">The scenarios real life throws</w:t>
      </w:r>
    </w:p>
    <w:p>
      <w:pPr>
        <w:spacing w:after="160" w:line="300"/>
      </w:pPr>
      <w:r>
        <w:rPr>
          <w:rFonts w:ascii="Calibri" w:cs="Calibri" w:eastAsia="Calibri" w:hAnsi="Calibri"/>
          <w:i/>
          <w:iCs/>
          <w:color w:val="5A5A5A"/>
          <w:sz w:val="24"/>
          <w:szCs w:val="24"/>
        </w:rPr>
        <w:t xml:space="preserve">Breadth of thinking — the edge cases and user types a routine-only design would miss. Senior work is judged on the messy cases, not the demo.</w:t>
      </w:r>
    </w:p>
    <w:p>
      <w:pPr>
        <w:spacing w:after="130" w:line="288"/>
        <w:jc w:val="left"/>
      </w:pPr>
      <w:r>
        <w:rPr>
          <w:rFonts w:ascii="Calibri" w:cs="Calibri" w:eastAsia="Calibri" w:hAnsi="Calibri"/>
          <w:i w:val="false"/>
          <w:iCs w:val="false"/>
          <w:color w:val="2B2B2B"/>
          <w:sz w:val="21"/>
          <w:szCs w:val="21"/>
        </w:rPr>
        <w:t xml:space="preserve">A caregiving product that only works on a calm, on-schedule day isn't finished. The reframe — design for the bad day, not the average one — means the harder scenarios are the real test. A few I designed for:</w:t>
      </w:r>
    </w:p>
    <w:p>
      <w:pPr>
        <w:pStyle w:val="ListParagraph"/>
        <w:numPr>
          <w:ilvl w:val="0"/>
          <w:numId w:val="2"/>
        </w:numPr>
        <w:spacing w:after="80" w:line="280"/>
      </w:pPr>
      <w:r>
        <w:rPr>
          <w:rFonts w:ascii="Calibri" w:cs="Calibri" w:eastAsia="Calibri" w:hAnsi="Calibri"/>
          <w:b/>
          <w:bCs/>
          <w:color w:val="1A1A1A"/>
          <w:sz w:val="21"/>
          <w:szCs w:val="21"/>
        </w:rPr>
        <w:t xml:space="preserve">The missed dose that already happened.</w:t>
      </w:r>
      <w:r>
        <w:rPr>
          <w:rFonts w:ascii="Calibri" w:cs="Calibri" w:eastAsia="Calibri" w:hAnsi="Calibri"/>
          <w:color w:val="2B2B2B"/>
          <w:sz w:val="21"/>
          <w:szCs w:val="21"/>
        </w:rPr>
        <w:t xml:space="preserve"> Not every miss is preventable. When one occurs, the product's job shifts from prevention to guidance — what to do now, whether to double up (usually no), when to call the vet — delivered without blame.</w:t>
      </w:r>
    </w:p>
    <w:p>
      <w:pPr>
        <w:pStyle w:val="ListParagraph"/>
        <w:numPr>
          <w:ilvl w:val="0"/>
          <w:numId w:val="2"/>
        </w:numPr>
        <w:spacing w:after="80" w:line="280"/>
      </w:pPr>
      <w:r>
        <w:rPr>
          <w:rFonts w:ascii="Calibri" w:cs="Calibri" w:eastAsia="Calibri" w:hAnsi="Calibri"/>
          <w:b/>
          <w:bCs/>
          <w:color w:val="1A1A1A"/>
          <w:sz w:val="21"/>
          <w:szCs w:val="21"/>
        </w:rPr>
        <w:t xml:space="preserve">The solo caregiver.</w:t>
      </w:r>
      <w:r>
        <w:rPr>
          <w:rFonts w:ascii="Calibri" w:cs="Calibri" w:eastAsia="Calibri" w:hAnsi="Calibri"/>
          <w:color w:val="2B2B2B"/>
          <w:sz w:val="21"/>
          <w:szCs w:val="21"/>
        </w:rPr>
        <w:t xml:space="preserve"> The handoff model must degrade gracefully for someone caring alone, without making them feel the absence of a second person.</w:t>
      </w:r>
    </w:p>
    <w:p>
      <w:pPr>
        <w:pStyle w:val="ListParagraph"/>
        <w:numPr>
          <w:ilvl w:val="0"/>
          <w:numId w:val="2"/>
        </w:numPr>
        <w:spacing w:after="80" w:line="280"/>
      </w:pPr>
      <w:r>
        <w:rPr>
          <w:rFonts w:ascii="Calibri" w:cs="Calibri" w:eastAsia="Calibri" w:hAnsi="Calibri"/>
          <w:b/>
          <w:bCs/>
          <w:color w:val="1A1A1A"/>
          <w:sz w:val="21"/>
          <w:szCs w:val="21"/>
        </w:rPr>
        <w:t xml:space="preserve">The pet-sitter handover.</w:t>
      </w:r>
      <w:r>
        <w:rPr>
          <w:rFonts w:ascii="Calibri" w:cs="Calibri" w:eastAsia="Calibri" w:hAnsi="Calibri"/>
          <w:color w:val="2B2B2B"/>
          <w:sz w:val="21"/>
          <w:szCs w:val="21"/>
        </w:rPr>
        <w:t xml:space="preserve"> A temporary carer needs just enough to give doses correctly for a weekend, without full access to the owner's history — a scoped, temporary view.</w:t>
      </w:r>
    </w:p>
    <w:p>
      <w:pPr>
        <w:pStyle w:val="ListParagraph"/>
        <w:numPr>
          <w:ilvl w:val="0"/>
          <w:numId w:val="2"/>
        </w:numPr>
        <w:spacing w:after="80" w:line="280"/>
      </w:pPr>
      <w:r>
        <w:rPr>
          <w:rFonts w:ascii="Calibri" w:cs="Calibri" w:eastAsia="Calibri" w:hAnsi="Calibri"/>
          <w:b/>
          <w:bCs/>
          <w:color w:val="1A1A1A"/>
          <w:sz w:val="21"/>
          <w:szCs w:val="21"/>
        </w:rPr>
        <w:t xml:space="preserve">The multi-pet, multi-med household.</w:t>
      </w:r>
      <w:r>
        <w:rPr>
          <w:rFonts w:ascii="Calibri" w:cs="Calibri" w:eastAsia="Calibri" w:hAnsi="Calibri"/>
          <w:color w:val="2B2B2B"/>
          <w:sz w:val="21"/>
          <w:szCs w:val="21"/>
        </w:rPr>
        <w:t xml:space="preserve"> Two animals, five medications, different schedules — the at-a-glance view has to stay calm under real complexity, which is where information design earns its keep.</w:t>
      </w:r>
    </w:p>
    <w:tbl>
      <w:tblPr>
        <w:tblW w:type="pct" w:w="100%"/>
        <w:tblBorders>
          <w:top w:val="dashed" w:color="B8C2CC" w:sz="6"/>
          <w:left w:val="dashed" w:color="B8C2CC" w:sz="6"/>
          <w:bottom w:val="dashed" w:color="B8C2CC" w:sz="6"/>
          <w:right w:val="dashed" w:color="B8C2CC" w:sz="6"/>
          <w:insideH w:val="none"/>
          <w:insideV w:val="none"/>
        </w:tblBorders>
      </w:tblPr>
      <w:tblGrid>
        <w:gridCol w:w="9360"/>
      </w:tblGrid>
      <w:tr>
        <w:tc>
          <w:tcPr>
            <w:tcW w:type="dxa" w:w="9360"/>
            <w:shd w:fill="EEF1F4" w:color="auto" w:val="clear"/>
            <w:tcMar>
              <w:top w:type="dxa" w:w="200"/>
              <w:left w:type="dxa" w:w="260"/>
              <w:bottom w:type="dxa" w:w="200"/>
              <w:right w:type="dxa" w:w="260"/>
            </w:tcMar>
          </w:tcPr>
          <w:p>
            <w:pPr>
              <w:spacing w:after="40"/>
              <w:jc w:val="center"/>
            </w:pPr>
            <w:r>
              <w:rPr>
                <w:rFonts w:ascii="Calibri" w:cs="Calibri" w:eastAsia="Calibri" w:hAnsi="Calibri"/>
                <w:b/>
                <w:bCs/>
                <w:color w:val="B8C2CC"/>
                <w:spacing w:val="40"/>
                <w:sz w:val="16"/>
                <w:szCs w:val="16"/>
              </w:rPr>
              <w:t xml:space="preserve">◺  IMAGE  ◹</w:t>
            </w:r>
          </w:p>
          <w:p>
            <w:pPr>
              <w:spacing w:after="60"/>
              <w:jc w:val="center"/>
            </w:pPr>
            <w:r>
              <w:rPr>
                <w:rFonts w:ascii="Calibri" w:cs="Calibri" w:eastAsia="Calibri" w:hAnsi="Calibri"/>
                <w:b/>
                <w:bCs/>
                <w:color w:val="1A1A1A"/>
                <w:sz w:val="20"/>
                <w:szCs w:val="20"/>
              </w:rPr>
              <w:t xml:space="preserve">Figure 8 — Edge-case flows</w:t>
            </w:r>
          </w:p>
          <w:p>
            <w:pPr>
              <w:spacing w:after="40" w:line="264"/>
            </w:pPr>
            <w:r>
              <w:rPr>
                <w:rFonts w:ascii="Calibri" w:cs="Calibri" w:eastAsia="Calibri" w:hAnsi="Calibri"/>
                <w:b/>
                <w:bCs/>
                <w:color w:val="C0402B"/>
                <w:sz w:val="18"/>
                <w:szCs w:val="18"/>
              </w:rPr>
              <w:t xml:space="preserve">Show:  </w:t>
            </w:r>
            <w:r>
              <w:rPr>
                <w:rFonts w:ascii="Calibri" w:cs="Calibri" w:eastAsia="Calibri" w:hAnsi="Calibri"/>
                <w:color w:val="3A3A3A"/>
                <w:sz w:val="18"/>
                <w:szCs w:val="18"/>
              </w:rPr>
              <w:t xml:space="preserve">2–4 flow diagrams or screens for the hardest scenarios: the missed-dose recovery flow, the pet-sitter scoped access, and the multi-pet dense 'today' view holding up under load.</w:t>
            </w:r>
          </w:p>
          <w:p>
            <w:pPr>
              <w:spacing w:after="0" w:line="264"/>
            </w:pPr>
            <w:r>
              <w:rPr>
                <w:rFonts w:ascii="Calibri" w:cs="Calibri" w:eastAsia="Calibri" w:hAnsi="Calibri"/>
                <w:b/>
                <w:bCs/>
                <w:color w:val="C0402B"/>
                <w:sz w:val="18"/>
                <w:szCs w:val="18"/>
              </w:rPr>
              <w:t xml:space="preserve">Why it earns its place:  </w:t>
            </w:r>
            <w:r>
              <w:rPr>
                <w:rFonts w:ascii="Calibri" w:cs="Calibri" w:eastAsia="Calibri" w:hAnsi="Calibri"/>
                <w:i/>
                <w:iCs/>
                <w:color w:val="3A3A3A"/>
                <w:sz w:val="18"/>
                <w:szCs w:val="18"/>
              </w:rPr>
              <w:t xml:space="preserve">Proves you design for reality, not just the demo path — the difference between a mid and senior portfolio.</w:t>
            </w:r>
          </w:p>
        </w:tc>
      </w:tr>
    </w:tbl>
    <w:p>
      <w:r>
        <w:br w:type="page"/>
      </w:r>
    </w:p>
    <w:p>
      <w:pPr>
        <w:spacing w:after="30" w:before="300"/>
      </w:pPr>
      <w:r>
        <w:rPr>
          <w:rFonts w:ascii="Calibri" w:cs="Calibri" w:eastAsia="Calibri" w:hAnsi="Calibri"/>
          <w:b/>
          <w:bCs/>
          <w:color w:val="C0402B"/>
          <w:spacing w:val="30"/>
          <w:sz w:val="17"/>
          <w:szCs w:val="17"/>
        </w:rPr>
        <w:t xml:space="preserve">SECTION 6 · CRAFT &amp; SYSTEM</w:t>
      </w:r>
    </w:p>
    <w:p>
      <w:pPr>
        <w:pStyle w:val="Heading1"/>
        <w:spacing w:after="120" w:before="360"/>
      </w:pPr>
      <w:r>
        <w:rPr>
          <w:rFonts w:ascii="Calibri" w:cs="Calibri" w:eastAsia="Calibri" w:hAnsi="Calibri"/>
          <w:b/>
          <w:bCs/>
          <w:color w:val="1A1A1A"/>
          <w:sz w:val="34"/>
          <w:szCs w:val="34"/>
        </w:rPr>
        <w:t xml:space="preserve">The system underneath the calm</w:t>
      </w:r>
    </w:p>
    <w:p>
      <w:pPr>
        <w:spacing w:after="160" w:line="300"/>
      </w:pPr>
      <w:r>
        <w:rPr>
          <w:rFonts w:ascii="Calibri" w:cs="Calibri" w:eastAsia="Calibri" w:hAnsi="Calibri"/>
          <w:i/>
          <w:iCs/>
          <w:color w:val="5A5A5A"/>
          <w:sz w:val="24"/>
          <w:szCs w:val="24"/>
        </w:rPr>
        <w:t xml:space="preserve">Where the interface craft and design-system thinking live — my actual strength, and the thing a manager checks to see if you build for scale or just draw screens.</w:t>
      </w:r>
    </w:p>
    <w:p>
      <w:pPr>
        <w:spacing w:after="130" w:line="288"/>
        <w:jc w:val="left"/>
      </w:pPr>
      <w:r>
        <w:rPr>
          <w:rFonts w:ascii="Calibri" w:cs="Calibri" w:eastAsia="Calibri" w:hAnsi="Calibri"/>
          <w:i w:val="false"/>
          <w:iCs w:val="false"/>
          <w:color w:val="2B2B2B"/>
          <w:sz w:val="21"/>
          <w:szCs w:val="21"/>
        </w:rPr>
        <w:t xml:space="preserve">A calm product is a design-system achievement, not a styling one. The restraint you feel on the surface is enforced underneath by deliberate constraints: a tightly limited type scale so nothing shouts, a color system where alert states are used sparingly enough that they still mean something, and a component library built so the “shared status” pattern behaves identically everywhere it appears. This is the discipline I bring from years of enterprise design-system work — building the library once and reusing it, so consistency is structural rather than manual.</w:t>
      </w:r>
    </w:p>
    <w:p>
      <w:pPr>
        <w:pStyle w:val="ListParagraph"/>
        <w:numPr>
          <w:ilvl w:val="0"/>
          <w:numId w:val="2"/>
        </w:numPr>
        <w:spacing w:after="80" w:line="280"/>
      </w:pPr>
      <w:r>
        <w:rPr>
          <w:rFonts w:ascii="Calibri" w:cs="Calibri" w:eastAsia="Calibri" w:hAnsi="Calibri"/>
          <w:b/>
          <w:bCs/>
          <w:color w:val="1A1A1A"/>
          <w:sz w:val="21"/>
          <w:szCs w:val="21"/>
        </w:rPr>
        <w:t xml:space="preserve">Status as a system, not a screen</w:t>
      </w:r>
      <w:r>
        <w:rPr>
          <w:rFonts w:ascii="Calibri" w:cs="Calibri" w:eastAsia="Calibri" w:hAnsi="Calibri"/>
          <w:color w:val="2B2B2B"/>
          <w:sz w:val="21"/>
          <w:szCs w:val="21"/>
        </w:rPr>
        <w:t xml:space="preserve"> — one shared-status component, defined once, reused across today-view, per-pet, and per-medication contexts, so certainty always looks and behaves the same.</w:t>
      </w:r>
    </w:p>
    <w:p>
      <w:pPr>
        <w:pStyle w:val="ListParagraph"/>
        <w:numPr>
          <w:ilvl w:val="0"/>
          <w:numId w:val="2"/>
        </w:numPr>
        <w:spacing w:after="80" w:line="280"/>
      </w:pPr>
      <w:r>
        <w:rPr>
          <w:rFonts w:ascii="Calibri" w:cs="Calibri" w:eastAsia="Calibri" w:hAnsi="Calibri"/>
          <w:b/>
          <w:bCs/>
          <w:color w:val="1A1A1A"/>
          <w:sz w:val="21"/>
          <w:szCs w:val="21"/>
        </w:rPr>
        <w:t xml:space="preserve">A restrained alert palette</w:t>
      </w:r>
      <w:r>
        <w:rPr>
          <w:rFonts w:ascii="Calibri" w:cs="Calibri" w:eastAsia="Calibri" w:hAnsi="Calibri"/>
          <w:color w:val="2B2B2B"/>
          <w:sz w:val="21"/>
          <w:szCs w:val="21"/>
        </w:rPr>
        <w:t xml:space="preserve"> — escalation states (calm → attention → urgent) defined as tokens, used sparingly so urgency retains meaning.</w:t>
      </w:r>
    </w:p>
    <w:p>
      <w:pPr>
        <w:pStyle w:val="ListParagraph"/>
        <w:numPr>
          <w:ilvl w:val="0"/>
          <w:numId w:val="2"/>
        </w:numPr>
        <w:spacing w:after="80" w:line="280"/>
      </w:pPr>
      <w:r>
        <w:rPr>
          <w:rFonts w:ascii="Calibri" w:cs="Calibri" w:eastAsia="Calibri" w:hAnsi="Calibri"/>
          <w:b/>
          <w:bCs/>
          <w:color w:val="1A1A1A"/>
          <w:sz w:val="21"/>
          <w:szCs w:val="21"/>
        </w:rPr>
        <w:t xml:space="preserve">Accessibility as a baseline</w:t>
      </w:r>
      <w:r>
        <w:rPr>
          <w:rFonts w:ascii="Calibri" w:cs="Calibri" w:eastAsia="Calibri" w:hAnsi="Calibri"/>
          <w:color w:val="2B2B2B"/>
          <w:sz w:val="21"/>
          <w:szCs w:val="21"/>
        </w:rPr>
        <w:t xml:space="preserve"> — legible type, sufficient contrast, and touch targets sized for a stressed person acting quickly; designed against WCAG 2.2.</w:t>
      </w:r>
    </w:p>
    <w:tbl>
      <w:tblPr>
        <w:tblW w:type="pct" w:w="100%"/>
        <w:tblBorders>
          <w:top w:val="dashed" w:color="B8C2CC" w:sz="6"/>
          <w:left w:val="dashed" w:color="B8C2CC" w:sz="6"/>
          <w:bottom w:val="dashed" w:color="B8C2CC" w:sz="6"/>
          <w:right w:val="dashed" w:color="B8C2CC" w:sz="6"/>
          <w:insideH w:val="none"/>
          <w:insideV w:val="none"/>
        </w:tblBorders>
      </w:tblPr>
      <w:tblGrid>
        <w:gridCol w:w="9360"/>
      </w:tblGrid>
      <w:tr>
        <w:tc>
          <w:tcPr>
            <w:tcW w:type="dxa" w:w="9360"/>
            <w:shd w:fill="EEF1F4" w:color="auto" w:val="clear"/>
            <w:tcMar>
              <w:top w:type="dxa" w:w="200"/>
              <w:left w:type="dxa" w:w="260"/>
              <w:bottom w:type="dxa" w:w="200"/>
              <w:right w:type="dxa" w:w="260"/>
            </w:tcMar>
          </w:tcPr>
          <w:p>
            <w:pPr>
              <w:spacing w:after="40"/>
              <w:jc w:val="center"/>
            </w:pPr>
            <w:r>
              <w:rPr>
                <w:rFonts w:ascii="Calibri" w:cs="Calibri" w:eastAsia="Calibri" w:hAnsi="Calibri"/>
                <w:b/>
                <w:bCs/>
                <w:color w:val="B8C2CC"/>
                <w:spacing w:val="40"/>
                <w:sz w:val="16"/>
                <w:szCs w:val="16"/>
              </w:rPr>
              <w:t xml:space="preserve">◺  IMAGE  ◹</w:t>
            </w:r>
          </w:p>
          <w:p>
            <w:pPr>
              <w:spacing w:after="60"/>
              <w:jc w:val="center"/>
            </w:pPr>
            <w:r>
              <w:rPr>
                <w:rFonts w:ascii="Calibri" w:cs="Calibri" w:eastAsia="Calibri" w:hAnsi="Calibri"/>
                <w:b/>
                <w:bCs/>
                <w:color w:val="1A1A1A"/>
                <w:sz w:val="20"/>
                <w:szCs w:val="20"/>
              </w:rPr>
              <w:t xml:space="preserve">Figure 9 — The design system — tokens &amp; components</w:t>
            </w:r>
          </w:p>
          <w:p>
            <w:pPr>
              <w:spacing w:after="40" w:line="264"/>
            </w:pPr>
            <w:r>
              <w:rPr>
                <w:rFonts w:ascii="Calibri" w:cs="Calibri" w:eastAsia="Calibri" w:hAnsi="Calibri"/>
                <w:b/>
                <w:bCs/>
                <w:color w:val="C0402B"/>
                <w:sz w:val="18"/>
                <w:szCs w:val="18"/>
              </w:rPr>
              <w:t xml:space="preserve">Show:  </w:t>
            </w:r>
            <w:r>
              <w:rPr>
                <w:rFonts w:ascii="Calibri" w:cs="Calibri" w:eastAsia="Calibri" w:hAnsi="Calibri"/>
                <w:color w:val="3A3A3A"/>
                <w:sz w:val="18"/>
                <w:szCs w:val="18"/>
              </w:rPr>
              <w:t xml:space="preserve">the foundations: type scale, color/alert tokens, and the key components (shared-status chip, dose card, refill prompt) with their states. Show one component in all its states.</w:t>
            </w:r>
          </w:p>
          <w:p>
            <w:pPr>
              <w:spacing w:after="0" w:line="264"/>
            </w:pPr>
            <w:r>
              <w:rPr>
                <w:rFonts w:ascii="Calibri" w:cs="Calibri" w:eastAsia="Calibri" w:hAnsi="Calibri"/>
                <w:b/>
                <w:bCs/>
                <w:color w:val="C0402B"/>
                <w:sz w:val="18"/>
                <w:szCs w:val="18"/>
              </w:rPr>
              <w:t xml:space="preserve">Why it earns its place:  </w:t>
            </w:r>
            <w:r>
              <w:rPr>
                <w:rFonts w:ascii="Calibri" w:cs="Calibri" w:eastAsia="Calibri" w:hAnsi="Calibri"/>
                <w:i/>
                <w:iCs/>
                <w:color w:val="3A3A3A"/>
                <w:sz w:val="18"/>
                <w:szCs w:val="18"/>
              </w:rPr>
              <w:t xml:space="preserve">This is where you specifically shine. It proves system-level thinking and that you can scale a product, not just decorate one.</w:t>
            </w:r>
          </w:p>
        </w:tc>
      </w:tr>
    </w:tbl>
    <w:p>
      <w:r>
        <w:br w:type="page"/>
      </w:r>
    </w:p>
    <w:p>
      <w:pPr>
        <w:spacing w:after="30" w:before="300"/>
      </w:pPr>
      <w:r>
        <w:rPr>
          <w:rFonts w:ascii="Calibri" w:cs="Calibri" w:eastAsia="Calibri" w:hAnsi="Calibri"/>
          <w:b/>
          <w:bCs/>
          <w:color w:val="C0402B"/>
          <w:spacing w:val="30"/>
          <w:sz w:val="17"/>
          <w:szCs w:val="17"/>
        </w:rPr>
        <w:t xml:space="preserve">SECTION 7 · VALIDATION &amp; REFLECTION</w:t>
      </w:r>
    </w:p>
    <w:p>
      <w:pPr>
        <w:pStyle w:val="Heading1"/>
        <w:spacing w:after="120" w:before="360"/>
      </w:pPr>
      <w:r>
        <w:rPr>
          <w:rFonts w:ascii="Calibri" w:cs="Calibri" w:eastAsia="Calibri" w:hAnsi="Calibri"/>
          <w:b/>
          <w:bCs/>
          <w:color w:val="1A1A1A"/>
          <w:sz w:val="34"/>
          <w:szCs w:val="34"/>
        </w:rPr>
        <w:t xml:space="preserve">What I'd test, and what I learned</w:t>
      </w:r>
    </w:p>
    <w:p>
      <w:pPr>
        <w:spacing w:after="160" w:line="300"/>
      </w:pPr>
      <w:r>
        <w:rPr>
          <w:rFonts w:ascii="Calibri" w:cs="Calibri" w:eastAsia="Calibri" w:hAnsi="Calibri"/>
          <w:i/>
          <w:iCs/>
          <w:color w:val="5A5A5A"/>
          <w:sz w:val="24"/>
          <w:szCs w:val="24"/>
        </w:rPr>
        <w:t xml:space="preserve">Closing with maturity — how I'd prove this works with real users, and an honest account of the project's limits.</w:t>
      </w:r>
    </w:p>
    <w:p>
      <w:pPr>
        <w:pStyle w:val="Heading3"/>
        <w:spacing w:after="70" w:before="200"/>
      </w:pPr>
      <w:r>
        <w:rPr>
          <w:rFonts w:ascii="Calibri" w:cs="Calibri" w:eastAsia="Calibri" w:hAnsi="Calibri"/>
          <w:b/>
          <w:bCs/>
          <w:color w:val="C0402B"/>
          <w:sz w:val="21"/>
          <w:szCs w:val="21"/>
        </w:rPr>
        <w:t xml:space="preserve">If I could validate one thing</w:t>
      </w:r>
    </w:p>
    <w:p>
      <w:pPr>
        <w:spacing w:after="130" w:line="288"/>
        <w:jc w:val="left"/>
      </w:pPr>
      <w:r>
        <w:rPr>
          <w:rFonts w:ascii="Calibri" w:cs="Calibri" w:eastAsia="Calibri" w:hAnsi="Calibri"/>
          <w:i w:val="false"/>
          <w:iCs w:val="false"/>
          <w:color w:val="2B2B2B"/>
          <w:sz w:val="21"/>
          <w:szCs w:val="21"/>
        </w:rPr>
        <w:t xml:space="preserve">The whole product rests on one assumption: that the caregiver handoff is a leading cause of missed doses. Everything else is downstream. So the first study isn't a usability test — it's a </w:t>
      </w:r>
      <w:r>
        <w:rPr>
          <w:rFonts w:ascii="Calibri" w:cs="Calibri" w:eastAsia="Calibri" w:hAnsi="Calibri"/>
          <w:b/>
          <w:bCs/>
          <w:color w:val="1A1A1A"/>
          <w:sz w:val="21"/>
          <w:szCs w:val="21"/>
        </w:rPr>
        <w:t xml:space="preserve">diary study with multi-caregiver households</w:t>
      </w:r>
      <w:r>
        <w:rPr>
          <w:rFonts w:ascii="Calibri" w:cs="Calibri" w:eastAsia="Calibri" w:hAnsi="Calibri"/>
          <w:i w:val="false"/>
          <w:iCs w:val="false"/>
          <w:color w:val="2B2B2B"/>
          <w:sz w:val="21"/>
          <w:szCs w:val="21"/>
        </w:rPr>
        <w:t xml:space="preserve"> to measure how often missed doses actually trace to a handoff gap versus other frictions. If that holds, the center of gravity is right. If it doesn't, I'd rather rebuild the thesis than defend a pretty solution built on sand.</w:t>
      </w:r>
    </w:p>
    <w:p>
      <w:pPr>
        <w:pStyle w:val="Heading3"/>
        <w:spacing w:after="70" w:before="200"/>
      </w:pPr>
      <w:r>
        <w:rPr>
          <w:rFonts w:ascii="Calibri" w:cs="Calibri" w:eastAsia="Calibri" w:hAnsi="Calibri"/>
          <w:b/>
          <w:bCs/>
          <w:color w:val="C0402B"/>
          <w:sz w:val="21"/>
          <w:szCs w:val="21"/>
        </w:rPr>
        <w:t xml:space="preserve">Then, the design bets</w:t>
      </w:r>
    </w:p>
    <w:p>
      <w:pPr>
        <w:pStyle w:val="ListParagraph"/>
        <w:numPr>
          <w:ilvl w:val="0"/>
          <w:numId w:val="2"/>
        </w:numPr>
        <w:spacing w:after="80" w:line="280"/>
      </w:pPr>
      <w:r>
        <w:rPr>
          <w:rFonts w:ascii="Calibri" w:cs="Calibri" w:eastAsia="Calibri" w:hAnsi="Calibri"/>
          <w:b/>
          <w:bCs/>
          <w:color w:val="1A1A1A"/>
          <w:sz w:val="21"/>
          <w:szCs w:val="21"/>
        </w:rPr>
        <w:t xml:space="preserve">Coordination without surveillance</w:t>
      </w:r>
      <w:r>
        <w:rPr>
          <w:rFonts w:ascii="Calibri" w:cs="Calibri" w:eastAsia="Calibri" w:hAnsi="Calibri"/>
          <w:color w:val="2B2B2B"/>
          <w:sz w:val="21"/>
          <w:szCs w:val="21"/>
        </w:rPr>
        <w:t xml:space="preserve"> — do households on care-level status feel supported rather than watched? Tested by sentiment, not just missed-dose counts.</w:t>
      </w:r>
    </w:p>
    <w:p>
      <w:pPr>
        <w:pStyle w:val="ListParagraph"/>
        <w:numPr>
          <w:ilvl w:val="0"/>
          <w:numId w:val="2"/>
        </w:numPr>
        <w:spacing w:after="80" w:line="280"/>
      </w:pPr>
      <w:r>
        <w:rPr>
          <w:rFonts w:ascii="Calibri" w:cs="Calibri" w:eastAsia="Calibri" w:hAnsi="Calibri"/>
          <w:b/>
          <w:bCs/>
          <w:color w:val="1A1A1A"/>
          <w:sz w:val="21"/>
          <w:szCs w:val="21"/>
        </w:rPr>
        <w:t xml:space="preserve">Pharmacy-time refills</w:t>
      </w:r>
      <w:r>
        <w:rPr>
          <w:rFonts w:ascii="Calibri" w:cs="Calibri" w:eastAsia="Calibri" w:hAnsi="Calibri"/>
          <w:color w:val="2B2B2B"/>
          <w:sz w:val="21"/>
          <w:szCs w:val="21"/>
        </w:rPr>
        <w:t xml:space="preserve"> — do refills get started before the re-authorization window closes, versus a countdown baseline?</w:t>
      </w:r>
    </w:p>
    <w:p>
      <w:pPr>
        <w:pStyle w:val="ListParagraph"/>
        <w:numPr>
          <w:ilvl w:val="0"/>
          <w:numId w:val="2"/>
        </w:numPr>
        <w:spacing w:after="80" w:line="280"/>
      </w:pPr>
      <w:r>
        <w:rPr>
          <w:rFonts w:ascii="Calibri" w:cs="Calibri" w:eastAsia="Calibri" w:hAnsi="Calibri"/>
          <w:b/>
          <w:bCs/>
          <w:color w:val="1A1A1A"/>
          <w:sz w:val="21"/>
          <w:szCs w:val="21"/>
        </w:rPr>
        <w:t xml:space="preserve">Quiet by design</w:t>
      </w:r>
      <w:r>
        <w:rPr>
          <w:rFonts w:ascii="Calibri" w:cs="Calibri" w:eastAsia="Calibri" w:hAnsi="Calibri"/>
          <w:color w:val="2B2B2B"/>
          <w:sz w:val="21"/>
          <w:szCs w:val="21"/>
        </w:rPr>
        <w:t xml:space="preserve"> — do owners on the quiet model miss fewer doses AND report lower anxiety than a nudge-heavy control?</w:t>
      </w:r>
    </w:p>
    <w:p>
      <w:pPr>
        <w:pStyle w:val="Heading3"/>
        <w:spacing w:after="70" w:before="200"/>
      </w:pPr>
      <w:r>
        <w:rPr>
          <w:rFonts w:ascii="Calibri" w:cs="Calibri" w:eastAsia="Calibri" w:hAnsi="Calibri"/>
          <w:b/>
          <w:bCs/>
          <w:color w:val="C0402B"/>
          <w:sz w:val="21"/>
          <w:szCs w:val="21"/>
        </w:rPr>
        <w:t xml:space="preserve">What this project taught me</w:t>
      </w:r>
    </w:p>
    <w:p>
      <w:pPr>
        <w:spacing w:after="130" w:line="288"/>
        <w:jc w:val="left"/>
      </w:pPr>
      <w:r>
        <w:rPr>
          <w:rFonts w:ascii="Calibri" w:cs="Calibri" w:eastAsia="Calibri" w:hAnsi="Calibri"/>
          <w:i w:val="false"/>
          <w:iCs w:val="false"/>
          <w:color w:val="2B2B2B"/>
          <w:sz w:val="21"/>
          <w:szCs w:val="21"/>
        </w:rPr>
        <w:t xml:space="preserve">The most useful thing I did here was refuse the obvious solution. “Add a reminder” would have produced a competent, forgettable, and slightly harmful app. Spending the effort to ask why doses are really missed — and being willing to design against the engagement grain — is what turned this from a feature into a point of view. The honest limitation is equally clear: without primary research this remains a well-reasoned hypothesis, not a validated product. I've tried to be precise about which is which throughout, because knowing the difference is the job.</w:t>
      </w:r>
    </w:p>
    <w:p>
      <w:pPr>
        <w:spacing w:after="130"/>
      </w:pPr>
      <w:r>
        <w:t xml:space="preserve"/>
      </w:r>
    </w:p>
    <w:p>
      <w:pPr>
        <w:pBdr>
          <w:bottom w:val="single" w:color="D8D2CC" w:sz="6" w:space="8"/>
        </w:pBdr>
        <w:spacing w:after="160" w:before="120"/>
      </w:pPr>
      <w:r>
        <w:t xml:space="preserve"/>
      </w:r>
    </w:p>
    <w:p>
      <w:pPr>
        <w:spacing w:after="130" w:line="288"/>
        <w:jc w:val="left"/>
      </w:pPr>
      <w:r>
        <w:rPr>
          <w:rFonts w:ascii="Calibri" w:cs="Calibri" w:eastAsia="Calibri" w:hAnsi="Calibri"/>
          <w:b/>
          <w:bCs/>
          <w:color w:val="1A1A1A"/>
          <w:sz w:val="21"/>
          <w:szCs w:val="21"/>
        </w:rPr>
        <w:t xml:space="preserve">A closing note on how to read this case study.</w:t>
      </w:r>
      <w:r>
        <w:rPr>
          <w:rFonts w:ascii="Calibri" w:cs="Calibri" w:eastAsia="Calibri" w:hAnsi="Calibri"/>
          <w:i w:val="false"/>
          <w:iCs w:val="false"/>
          <w:color w:val="2B2B2B"/>
          <w:sz w:val="21"/>
          <w:szCs w:val="21"/>
        </w:rPr>
        <w:t xml:space="preserve"> I built it to be scrutinized. If you want to test how I think, ask me why I rejected an option, or push on a trade-off I accepted — those are the conversations I designed this document to start.</w:t>
      </w:r>
    </w:p>
    <w:sectPr>
      <w:pgSz w:w="11906" w:h="16838" w:orient="portrait"/>
      <w:pgMar w:top="1080" w:right="1040" w:bottom="1080" w:left="10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color w:val="C0402B"/>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B2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rPr>
  </w:style>
  <w:style w:type="paragraph" w:styleId="Heading2">
    <w:name w:val="Heading 2"/>
    <w:basedOn w:val="Normal"/>
    <w:next w:val="Normal"/>
    <w:qFormat/>
    <w:pPr>
      <w:outlineLvl w:val="1"/>
    </w:pPr>
    <w:rPr>
      <w:rFonts w:ascii="Calibri" w:cs="Calibri" w:eastAsia="Calibri" w:hAnsi="Calibri"/>
    </w:rPr>
  </w:style>
  <w:style w:type="paragraph" w:styleId="Heading3">
    <w:name w:val="Heading 3"/>
    <w:basedOn w:val="Normal"/>
    <w:next w:val="Normal"/>
    <w:qFormat/>
    <w:pPr>
      <w:outlineLvl w:val="2"/>
    </w:pPr>
    <w:rPr>
      <w:rFonts w:ascii="Calibri" w:cs="Calibri" w:eastAsia="Calibri" w:hAnsi="Calibri"/>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2026-07-13T03:15:47.645Z</dcterms:created>
  <dcterms:modified xsi:type="dcterms:W3CDTF">2026-07-13T03:15:47.667Z</dcterms:modified>
</cp:coreProperties>
</file>

<file path=docProps/custom.xml><?xml version="1.0" encoding="utf-8"?>
<Properties xmlns="http://schemas.openxmlformats.org/officeDocument/2006/custom-properties" xmlns:vt="http://schemas.openxmlformats.org/officeDocument/2006/docPropsVTypes"/>
</file>