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eac13a" w14:textId="39eac13a">
      <w:pPr>
        <w15:collapsed w:val="false"/>
      </w:pP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=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)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u</w:t>
      </w:r>
      <w:r>
        <w:rPr/>
        <w:t xml:space="preserve">g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t xml:space="preserve"> </w:t>
      </w:r>
    </w:p>
    <w:p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t xml:space="preserve"> </w:t>
      </w:r>
    </w:p>
    <w:p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½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t xml:space="preserve"> </w:t>
      </w:r>
    </w:p>
    <w:p>
      <w:r>
        <w:rPr/>
        <w:t xml:space="preserve">B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=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o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æ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=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=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=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t xml:space="preserve"> </w:t>
      </w:r>
    </w:p>
    <w:p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K</w:t>
      </w:r>
      <w:r>
        <w:rPr/>
        <w:t xml:space="preserve">e</w:t>
      </w:r>
      <w:r>
        <w:rPr/>
        <w:t xml:space="preserve">l</w:t>
      </w:r>
    </w:p>
    <w:p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z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.</w:t>
      </w:r>
      <w:r>
        <w:t xml:space="preserve"> </w:t>
      </w:r>
    </w:p>
    <w:p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/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=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x</w:t>
      </w:r>
      <w:r>
        <w:rPr/>
        <w:t xml:space="preserve">l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ſ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=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=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</w:p>
    <w:p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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;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t xml:space="preserve"> </w:t>
      </w:r>
    </w:p>
    <w:p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=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