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08404b6" w14:textId="308404b6">
      <w:pPr>
        <w15:collapsed w:val="false"/>
      </w:pPr>
      <w:r>
        <w:t xml:space="preserve">image name: 0023_p023.jpg</w:t>
        <w:br/>
      </w:r>
      <w:r>
        <w:t xml:space="preserve">original page number: 23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 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 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=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br w:type="page"/>
    </w:p>
    <w:p>
      <w:r>
        <w:t xml:space="preserve">image name: 0024_p024.jpg</w:t>
        <w:br/>
      </w:r>
      <w:r>
        <w:t xml:space="preserve">original page number: 24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2</w:t>
      </w:r>
      <w:r>
        <w:rPr/>
        <w:t xml:space="preserve">7</w:t>
      </w:r>
      <w:r>
        <w:rPr/>
        <w:t xml:space="preserve">3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7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;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3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</w:p>
    <w:p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0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6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2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;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4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6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br w:type="page"/>
    </w:p>
    <w:p>
      <w:r>
        <w:t xml:space="preserve">image name: 0025_p025.jpg</w:t>
        <w:br/>
      </w:r>
      <w:r>
        <w:t xml:space="preserve">original page number: 25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4</w:t>
      </w:r>
      <w:r>
        <w:rPr/>
        <w:t xml:space="preserve">4</w:t>
      </w:r>
      <w:r>
        <w:rPr/>
        <w:t xml:space="preserve">0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 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8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6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=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6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4</w:t>
      </w:r>
      <w:r>
        <w:rPr/>
        <w:t xml:space="preserve">4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6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4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9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5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6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6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2</w:t>
      </w:r>
      <w:r>
        <w:t xml:space="preserve"> </w:t>
      </w:r>
    </w:p>
    <w:p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</w:p>
    <w:p>
      <w:br w:type="page"/>
    </w:p>
    <w:p>
      <w:r>
        <w:t xml:space="preserve">image name: 0026_p026.jpg</w:t>
        <w:br/>
      </w:r>
      <w:r>
        <w:t xml:space="preserve">original page number: 26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=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3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6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8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8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7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4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5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6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7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8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2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=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1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</w:p>
    <w:p>
      <w:br w:type="page"/>
    </w:p>
    <w:p>
      <w:r>
        <w:t xml:space="preserve">image name: 0027_p027.jpg</w:t>
        <w:br/>
      </w:r>
      <w:r>
        <w:t xml:space="preserve">original page number: 27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2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q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</w:p>
    <w:p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5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8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0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X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t xml:space="preserve"> </w:t>
      </w:r>
    </w:p>
    <w:p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</w:p>
    <w:p/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