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42A4A"/>
          <w:sz w:val="60"/>
        </w:rPr>
        <w:t>MAWOS</w:t>
      </w:r>
    </w:p>
    <w:p>
      <w:pPr>
        <w:jc w:val="center"/>
      </w:pPr>
      <w:r>
        <w:rPr>
          <w:sz w:val="32"/>
        </w:rPr>
        <w:t>An Event-Driven Multi-Agent Workflow Orchestration Engine</w:t>
        <w:br/>
        <w:t>for Universities</w:t>
      </w:r>
    </w:p>
    <w:p/>
    <w:p>
      <w:pPr>
        <w:jc w:val="center"/>
      </w:pPr>
      <w:r>
        <w:rPr>
          <w:sz w:val="24"/>
        </w:rPr>
        <w:t>A Manuscript Submitted for Review-1</w:t>
      </w:r>
    </w:p>
    <w:p>
      <w:pPr>
        <w:jc w:val="center"/>
      </w:pPr>
      <w:r>
        <w:rPr>
          <w:sz w:val="24"/>
        </w:rPr>
        <w:t>(Sections through Methodology, as required)</w:t>
      </w:r>
    </w:p>
    <w:p/>
    <w:p/>
    <w:p/>
    <w:p>
      <w:pPr>
        <w:jc w:val="center"/>
      </w:pPr>
      <w:r>
        <w:rPr>
          <w:b/>
          <w:sz w:val="24"/>
        </w:rPr>
        <w:t>B.E. Final Year Project — Group 12</w:t>
      </w:r>
    </w:p>
    <w:p>
      <w:pPr>
        <w:jc w:val="center"/>
      </w:pPr>
      <w:r>
        <w:rPr>
          <w:b/>
          <w:sz w:val="24"/>
        </w:rPr>
        <w:t>Department of Artificial Intelligence &amp; Machine Learning</w:t>
      </w:r>
    </w:p>
    <w:p>
      <w:pPr>
        <w:jc w:val="center"/>
      </w:pPr>
      <w:r>
        <w:rPr>
          <w:b/>
          <w:sz w:val="24"/>
        </w:rPr>
        <w:t>MITE</w:t>
      </w:r>
    </w:p>
    <w:p>
      <w:pPr>
        <w:jc w:val="center"/>
      </w:pPr>
      <w:r>
        <w:rPr>
          <w:sz w:val="24"/>
        </w:rPr>
      </w:r>
    </w:p>
    <w:p>
      <w:pPr>
        <w:jc w:val="center"/>
      </w:pPr>
      <w:r>
        <w:rPr>
          <w:sz w:val="24"/>
        </w:rPr>
        <w:t>Team: 4MT23AI037  ·  4MT23AI038  ·  4MT23AI040  ·  4MT23AI049</w:t>
      </w:r>
    </w:p>
    <w:p>
      <w:pPr>
        <w:jc w:val="center"/>
      </w:pPr>
      <w:r>
        <w:rPr>
          <w:sz w:val="24"/>
        </w:rPr>
        <w:t>Guide: Ms. Radha E G</w:t>
      </w:r>
    </w:p>
    <w:p>
      <w:r>
        <w:br w:type="page"/>
      </w:r>
    </w:p>
    <w:p>
      <w:pPr>
        <w:pStyle w:val="Heading1"/>
      </w:pPr>
      <w:r>
        <w:t>Abstract</w:t>
      </w:r>
    </w:p>
    <w:p>
      <w:r>
        <w:t>University administrative workflows — attendance recording, examination eligibility, scholarship assessment, placement shortlisting, and notification — are typically implemented as siloed modules in campus ERP systems, where a change to one record does not automatically propagate its downstream consequences. This project, MAWOS (Multi-Agent Workflow Orchestration System), proposes and implements an event-driven multi-agent architecture in which a small set of autonomous agents own specific institutional domains, coordinate over an instrumented publish/subscribe event bus, and expose their capabilities to a confidence-gated, resource-aware natural-language query interface. The system is built around a simulated but statistically calibrated institution (1,200 students across five departments) and evaluated under a pre-registered research protocol that fixes metrics, splits, seeds and thresholds before any experiment is run, in order to avoid the overclaiming risk common to informally evaluated agentic systems. This manuscript, submitted at the Review-1 stage, presents the problem motivation, a brief positioning against adjacent literature, and the system's methodology: its architecture, the pre-registered criterion used to decide what counts as an agent, the event-driven propagation mechanism, the mathematical formulation of its two learned/optimised components (confidence-gated query routing and objective-driven timetable scheduling), the dataset construction procedure, and the experimental design used to evaluate all of the above. Quantitative results are intentionally out of scope for this submission and are reported separately under the project's phase-wise evaluation plan.</w:t>
      </w:r>
    </w:p>
    <w:p>
      <w:r>
        <w:br w:type="page"/>
      </w:r>
    </w:p>
    <w:p>
      <w:pPr>
        <w:pStyle w:val="Heading1"/>
      </w:pPr>
      <w:r>
        <w:t>1. Introduction</w:t>
      </w:r>
    </w:p>
    <w:p>
      <w:pPr>
        <w:pStyle w:val="Heading2"/>
      </w:pPr>
      <w:r>
        <w:t>1.1 Background and Motivation</w:t>
      </w:r>
    </w:p>
    <w:p>
      <w:r>
        <w:t>Indian engineering colleges typically run a campus ERP as a collection of largely independent modules — attendance, examinations, scholarships, placements, notifications — each maintained and updated by different office staff on different schedules. In practice this means that an event which should logically trigger several downstream checks (for example, an attendance upload that pushes a student below the 75% eligibility threshold) does not do so automatically: a member of staff must notice the change, and then manually re-run the hall-ticket check, the scholarship review, and the notification step, each in its own module. This is slow, inconsistent across staff, and easy to get wrong under load.</w:t>
      </w:r>
    </w:p>
    <w:p>
      <w:r>
        <w:t>Multi-agent systems — collections of autonomous, cooperating software components, each responsible for a bounded piece of a larger process — are a natural fit for this class of problem, provided the word "agent" is not applied loosely to what is really just a set of function calls. Recent progress in locally deployable large language models (LLMs) additionally makes it possible to expose such a system through a natural-language interface without depending on an external, metered cloud API — which matters for an institution handling student records.</w:t>
      </w:r>
    </w:p>
    <w:p>
      <w:pPr>
        <w:pStyle w:val="Heading2"/>
      </w:pPr>
      <w:r>
        <w:t>1.2 Problem Statement</w:t>
      </w:r>
    </w:p>
    <w:p>
      <w:r>
        <w:t>Design and evaluate an orchestration architecture in which (a) domain responsibilities are held by a small, principled set of autonomous agents rather than an arbitrarily large or arbitrarily small one; (b) a change in one institutional record automatically and measurably propagates to every downstream workflow that depends on it, with no manual re-triggering; and (c) users across five distinct institutional roles can query the system in natural language, at a computational cost appropriate to a single-laptop, locally hosted deployment rather than a cloud LLM budget.</w:t>
      </w:r>
    </w:p>
    <w:p>
      <w:pPr>
        <w:pStyle w:val="Heading2"/>
      </w:pPr>
      <w:r>
        <w:t>1.3 Objectives</w:t>
      </w:r>
    </w:p>
    <w:p>
      <w:pPr>
        <w:pStyle w:val="ListBullet"/>
      </w:pPr>
      <w:r>
        <w:t>Define a pre-registered, falsifiable criterion for what constitutes an agent in this system, and apply it without exception to the institutional domains the system covers.</w:t>
      </w:r>
    </w:p>
    <w:p>
      <w:pPr>
        <w:pStyle w:val="ListBullet"/>
      </w:pPr>
      <w:r>
        <w:t>Implement an instrumented, event-driven coordination layer so that cross-agent propagation (e.g., attendance → eligibility → placement → notification) is a measured property of the running system, not an asserted one.</w:t>
      </w:r>
    </w:p>
    <w:p>
      <w:pPr>
        <w:pStyle w:val="ListBullet"/>
      </w:pPr>
      <w:r>
        <w:t>Design a query-routing mechanism that uses a local LLM only when a cheap deterministic classifier's own confidence is low, and evaluate whether this hybrid actually outperforms either tier alone.</w:t>
      </w:r>
    </w:p>
    <w:p>
      <w:pPr>
        <w:pStyle w:val="ListBullet"/>
      </w:pPr>
      <w:r>
        <w:t>Replace the production timetable solver's feasibility-only search with an explicit multi-term objective and a metaheuristic (simulated annealing) that optimises it, and evaluate the result against both an internal baseline and an external, independently validated benchmark (ITC-2007).</w:t>
      </w:r>
    </w:p>
    <w:p>
      <w:pPr>
        <w:pStyle w:val="ListBullet"/>
      </w:pPr>
      <w:r>
        <w:t>Construct an institutional dataset whose statistical structure is grounded in a real, published dataset rather than invented outright, and disclose the assumptions where no real source exists.</w:t>
      </w:r>
    </w:p>
    <w:p>
      <w:pPr>
        <w:pStyle w:val="ListBullet"/>
      </w:pPr>
      <w:r>
        <w:t>Evaluate every claim under a protocol written and frozen before the corresponding experiment is run, so that no metric, threshold, or split can be adjusted after seeing the data.</w:t>
      </w:r>
    </w:p>
    <w:p>
      <w:pPr>
        <w:pStyle w:val="Heading2"/>
      </w:pPr>
      <w:r>
        <w:t>1.4 Scope and Contributions</w:t>
      </w:r>
    </w:p>
    <w:p>
      <w:r>
        <w:t>The contribution claimed by this project is the orchestration architecture and the evaluation methodology applied to it — not the specific number of agents the architecture happens to produce, and not the use of a large language model in isolation, which this project's own evaluation shows to be a weaker query router than a much cheaper deterministic classifier when used without a confidence gate. The system itself (MAWOS) is treated as the experimental platform for this evaluation, following the same framing convention used in the project's internal research plan.</w:t>
      </w:r>
    </w:p>
    <w:p>
      <w:r>
        <w:t>Two components that were built but are explicitly not claimed as research contributions are disclosed here for transparency: a provenance-style gate for grounding numeric claims made in natural-language answers (occupying a design space established by prior work on numeric grounding), and the simulated-annealing timetabling approach itself (a well-established metaheuristic). Both are engineered and evaluated in this project, but neither is presented as novel.</w:t>
      </w:r>
    </w:p>
    <w:p>
      <w:pPr>
        <w:pStyle w:val="Heading2"/>
      </w:pPr>
      <w:r>
        <w:t>1.5 Organisation of the Manuscript</w:t>
      </w:r>
    </w:p>
    <w:p>
      <w:r>
        <w:t>Section 2 briefly positions this work against adjacent literature. Section 3 — the substantive content of this Review-1 submission — describes the system's methodology in full: its architecture, its agent-design criterion, its event-driven coordination mechanism, the mathematical formulation of its routing and scheduling components, its dataset construction procedure, and its experimental/evaluation design. Results, discussion and conclusions are reported separately, as this submission is scoped to methodology only.</w:t>
      </w:r>
    </w:p>
    <w:p>
      <w:r>
        <w:br w:type="page"/>
      </w:r>
    </w:p>
    <w:p>
      <w:pPr>
        <w:pStyle w:val="Heading1"/>
      </w:pPr>
      <w:r>
        <w:t>2. Literature Review</w:t>
      </w:r>
    </w:p>
    <w:p>
      <w:r>
        <w:t>This section reports the positioning work carried out to date; a full related-work chapter, with complete bibliographic verification of every citation below, is deferred to the final-stage report. The sources below are tracked internally by arXiv identifier in the project's research plan and are listed here by topic and identifier; full author and venue details should be verified against the primary source before the final submission.</w:t>
      </w:r>
    </w:p>
    <w:p>
      <w:r>
        <w:t>Work on whether language-model agents reason correctly about organisational permissions (arXiv 2505.19165, "OrgAccess") asks a competence question — can the model apply an access-control policy correctly when told what it is? MAWOS deliberately does not depend on the model getting this right: role permissions are enforced in code, in the tool registry, before a tool call is ever executed, regardless of what the model requests. This project's question is adjacent but different — not whether the model can reason about scope, but whether restricting the visible tool space changes what the model even attempts.</w:t>
      </w:r>
    </w:p>
    <w:p>
      <w:r>
        <w:t>Closely related is work establishing that a language model's abstention behaviour can itself be an artefact of how a prompt is framed rather than a property of the underlying task (arXiv 2507.16199). MAWOS's own routing evaluation is consistent with this: when the deterministic lexicon fails, it fails almost entirely by defaulting silently to a low-confidence intent rather than declining to answer, and this failure mode is what the confidence gate in Section 3.4 is designed to detect.</w:t>
      </w:r>
    </w:p>
    <w:p>
      <w:r>
        <w:t>On the systems side, work on small, locally deployable language models for agentic tasks on constrained hardware (arXiv 2511.22138, "TinyLLM") motivates this project's own model sweep across 1.5B/3B/7B parameter local models rather than assuming a larger, cloud-hosted model is the only viable design point.</w:t>
      </w:r>
    </w:p>
    <w:p>
      <w:r>
        <w:t>For the scheduling component, curriculum-based course timetabling as formalised by the International Timetabling Competition 2007 (ITC-2007, Track 3) provides both a standard cost model and a body of published results against which a simulated-annealing solver can be compared externally, rather than only against an internal baseline. Simulated annealing itself, applied to timetabling with an explicit penalty structure, is an established metaheuristic and is treated here as engineering, not as a research contribution.</w:t>
      </w:r>
    </w:p>
    <w:p>
      <w:r>
        <w:t>For the synthetic dataset underlying the institution's student population, this project builds on the UCI Machine Learning Repository's "Student Performance" dataset (Cortez and Silva, 2008), described in full in Section 3.6.</w:t>
      </w:r>
    </w:p>
    <w:p>
      <w:r>
        <w:t>The gap this project positions itself in — whether restricting an agent's visible tool space changes not just its accuracy but what it attempts in the first place — sits between the competence question (OrgAccess) and the enforcement question (permission mechanisms in general), and is treated as a benchmark-validity question rather than a claim about model capability. A complete comparative table against all adjacent work is planned for the final report once the held-out evaluation (Section 3.7) is complete.</w:t>
      </w:r>
    </w:p>
    <w:p>
      <w:r>
        <w:br w:type="page"/>
      </w:r>
    </w:p>
    <w:p>
      <w:pPr>
        <w:pStyle w:val="Heading1"/>
      </w:pPr>
      <w:r>
        <w:t>3. Methodology</w:t>
      </w:r>
    </w:p>
    <w:p>
      <w:pPr>
        <w:pStyle w:val="Heading2"/>
      </w:pPr>
      <w:r>
        <w:t>3.1 System Architecture Overview</w:t>
      </w:r>
    </w:p>
    <w:p>
      <w:r>
        <w:t>MAWOS is a single Python process exposing five role-scoped web portals (student, faculty, HOD, principal, admin) through a JWT-authenticated, role-guarded FastAPI gateway. Every authenticated request that is not a direct REST call — i.e., every natural-language query — is handled by the Orchestrator, which decides, per query, whether a deterministic keyword classifier can answer directly or whether the query must be escalated to a locally hosted LLM tool-calling loop (Section 3.4). In either case, the actual work is delegated to a role-filtered registry of twelve typed tools, each backed by one of nine institutional components; permission checks happen inside the tool registry itself, in code, and are independent of whatever the LLM does or does not request. Institutional components coordinate with one another not by calling each other directly but by publishing and subscribing to typed events on an in-process, fully instrumented event bus (Section 3.3). All institutional state — students, staff, attendance, fees, timetables, admissions — lives in a shared context store accessed through SQLAlchemy, backed by SQLite in development and swappable to PostgreSQL via a single environment variable with no code change.</w:t>
      </w:r>
    </w:p>
    <w:p>
      <w:pPr>
        <w:pStyle w:val="Heading2"/>
      </w:pPr>
      <w:r>
        <w:t>3.2 Agent Design Criterion and Core Agent Set</w:t>
      </w:r>
    </w:p>
    <w:p>
      <w:r>
        <w:t>A recurring weakness of multi-agent system reports is an inflated or arbitrary agent count, where "agent" is applied to any module that happens to have a name. This project instead pre-registers a two-part criterion and applies it without exception: a component qualifies as an agent if and only if (A) it owns state or policy that outlives a single request, and (B) it can act without being directly invoked — i.e., it is event-triggered, not merely called.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shd w:fill="142A4A"/>
          </w:tcPr>
          <w:p>
            <w:r>
              <w:rPr>
                <w:b/>
                <w:color w:val="FFFFFF"/>
                <w:sz w:val="21"/>
              </w:rPr>
              <w:t>Component</w:t>
            </w:r>
          </w:p>
        </w:tc>
        <w:tc>
          <w:tcPr>
            <w:tcW w:type="dxa" w:w="2448"/>
            <w:shd w:fill="142A4A"/>
          </w:tcPr>
          <w:p>
            <w:r>
              <w:rPr>
                <w:b/>
                <w:color w:val="FFFFFF"/>
                <w:sz w:val="21"/>
              </w:rPr>
              <w:t>(A) Owns outliving state/policy</w:t>
            </w:r>
          </w:p>
        </w:tc>
        <w:tc>
          <w:tcPr>
            <w:tcW w:type="dxa" w:w="2304"/>
            <w:shd w:fill="142A4A"/>
          </w:tcPr>
          <w:p>
            <w:r>
              <w:rPr>
                <w:b/>
                <w:color w:val="FFFFFF"/>
                <w:sz w:val="21"/>
              </w:rPr>
              <w:t>(B) Acts on events</w:t>
            </w:r>
          </w:p>
        </w:tc>
        <w:tc>
          <w:tcPr>
            <w:tcW w:type="dxa" w:w="2016"/>
            <w:shd w:fill="142A4A"/>
          </w:tcPr>
          <w:p>
            <w:r>
              <w:rPr>
                <w:b/>
                <w:color w:val="FFFFFF"/>
                <w:sz w:val="21"/>
              </w:rPr>
              <w:t>Verdict</w:t>
            </w:r>
          </w:p>
        </w:tc>
      </w:tr>
      <w:tr>
        <w:tc>
          <w:tcPr>
            <w:tcW w:type="dxa" w:w="2448"/>
          </w:tcPr>
          <w:p>
            <w:r>
              <w:rPr>
                <w:sz w:val="21"/>
              </w:rPr>
              <w:t>Orchestrator</w:t>
            </w:r>
          </w:p>
        </w:tc>
        <w:tc>
          <w:tcPr>
            <w:tcW w:type="dxa" w:w="2448"/>
          </w:tcPr>
          <w:p>
            <w:r>
              <w:rPr>
                <w:sz w:val="21"/>
              </w:rPr>
              <w:t>Routing policy, threshold, tool filter</w:t>
            </w:r>
          </w:p>
        </w:tc>
        <w:tc>
          <w:tcPr>
            <w:tcW w:type="dxa" w:w="2304"/>
          </w:tcPr>
          <w:p>
            <w:r>
              <w:rPr>
                <w:sz w:val="21"/>
              </w:rPr>
              <w:t>n/a — system under test</w:t>
            </w:r>
          </w:p>
        </w:tc>
        <w:tc>
          <w:tcPr>
            <w:tcW w:type="dxa" w:w="2016"/>
          </w:tcPr>
          <w:p>
            <w:r>
              <w:rPr>
                <w:sz w:val="21"/>
              </w:rPr>
              <w:t>Agent</w:t>
            </w:r>
          </w:p>
        </w:tc>
      </w:tr>
      <w:tr>
        <w:tc>
          <w:tcPr>
            <w:tcW w:type="dxa" w:w="2448"/>
          </w:tcPr>
          <w:p>
            <w:r>
              <w:rPr>
                <w:sz w:val="21"/>
              </w:rPr>
              <w:t>Attendance</w:t>
            </w:r>
          </w:p>
        </w:tc>
        <w:tc>
          <w:tcPr>
            <w:tcW w:type="dxa" w:w="2448"/>
          </w:tcPr>
          <w:p>
            <w:r>
              <w:rPr>
                <w:sz w:val="21"/>
              </w:rPr>
              <w:t>Records + recomputation invariant</w:t>
            </w:r>
          </w:p>
        </w:tc>
        <w:tc>
          <w:tcPr>
            <w:tcW w:type="dxa" w:w="2304"/>
          </w:tcPr>
          <w:p>
            <w:r>
              <w:rPr>
                <w:sz w:val="21"/>
              </w:rPr>
              <w:t>Publishes attendance.uploaded</w:t>
            </w:r>
          </w:p>
        </w:tc>
        <w:tc>
          <w:tcPr>
            <w:tcW w:type="dxa" w:w="2016"/>
          </w:tcPr>
          <w:p>
            <w:r>
              <w:rPr>
                <w:sz w:val="21"/>
              </w:rPr>
              <w:t>Agent</w:t>
            </w:r>
          </w:p>
        </w:tc>
      </w:tr>
      <w:tr>
        <w:tc>
          <w:tcPr>
            <w:tcW w:type="dxa" w:w="2448"/>
          </w:tcPr>
          <w:p>
            <w:r>
              <w:rPr>
                <w:sz w:val="21"/>
              </w:rPr>
              <w:t>Eligibility</w:t>
            </w:r>
          </w:p>
        </w:tc>
        <w:tc>
          <w:tcPr>
            <w:tcW w:type="dxa" w:w="2448"/>
          </w:tcPr>
          <w:p>
            <w:r>
              <w:rPr>
                <w:sz w:val="21"/>
              </w:rPr>
              <w:t>Hall-ticket &amp; scholarship state</w:t>
            </w:r>
          </w:p>
        </w:tc>
        <w:tc>
          <w:tcPr>
            <w:tcW w:type="dxa" w:w="2304"/>
          </w:tcPr>
          <w:p>
            <w:r>
              <w:rPr>
                <w:sz w:val="21"/>
              </w:rPr>
              <w:t>Recomputes on attendance/fee events</w:t>
            </w:r>
          </w:p>
        </w:tc>
        <w:tc>
          <w:tcPr>
            <w:tcW w:type="dxa" w:w="2016"/>
          </w:tcPr>
          <w:p>
            <w:r>
              <w:rPr>
                <w:sz w:val="21"/>
              </w:rPr>
              <w:t>Agent</w:t>
            </w:r>
          </w:p>
        </w:tc>
      </w:tr>
      <w:tr>
        <w:tc>
          <w:tcPr>
            <w:tcW w:type="dxa" w:w="2448"/>
          </w:tcPr>
          <w:p>
            <w:r>
              <w:rPr>
                <w:sz w:val="21"/>
              </w:rPr>
              <w:t>Scheduling</w:t>
            </w:r>
          </w:p>
        </w:tc>
        <w:tc>
          <w:tcPr>
            <w:tcW w:type="dxa" w:w="2448"/>
          </w:tcPr>
          <w:p>
            <w:r>
              <w:rPr>
                <w:sz w:val="21"/>
              </w:rPr>
              <w:t>The timetable solution</w:t>
            </w:r>
          </w:p>
        </w:tc>
        <w:tc>
          <w:tcPr>
            <w:tcW w:type="dxa" w:w="2304"/>
          </w:tcPr>
          <w:p>
            <w:r>
              <w:rPr>
                <w:sz w:val="21"/>
              </w:rPr>
              <w:t>Re-optimises on availability events</w:t>
            </w:r>
          </w:p>
        </w:tc>
        <w:tc>
          <w:tcPr>
            <w:tcW w:type="dxa" w:w="2016"/>
          </w:tcPr>
          <w:p>
            <w:r>
              <w:rPr>
                <w:sz w:val="21"/>
              </w:rPr>
              <w:t>Agent</w:t>
            </w:r>
          </w:p>
        </w:tc>
      </w:tr>
      <w:tr>
        <w:tc>
          <w:tcPr>
            <w:tcW w:type="dxa" w:w="2448"/>
          </w:tcPr>
          <w:p>
            <w:r>
              <w:rPr>
                <w:sz w:val="21"/>
              </w:rPr>
              <w:t>Records (Academic/Admission/Finance/Placement)</w:t>
            </w:r>
          </w:p>
        </w:tc>
        <w:tc>
          <w:tcPr>
            <w:tcW w:type="dxa" w:w="2448"/>
          </w:tcPr>
          <w:p>
            <w:r>
              <w:rPr>
                <w:sz w:val="21"/>
              </w:rPr>
              <w:t>CRUD state only, no policy of its own</w:t>
            </w:r>
          </w:p>
        </w:tc>
        <w:tc>
          <w:tcPr>
            <w:tcW w:type="dxa" w:w="2304"/>
          </w:tcPr>
          <w:p>
            <w:r>
              <w:rPr>
                <w:sz w:val="21"/>
              </w:rPr>
              <w:t>No — request/response only</w:t>
            </w:r>
          </w:p>
        </w:tc>
        <w:tc>
          <w:tcPr>
            <w:tcW w:type="dxa" w:w="2016"/>
          </w:tcPr>
          <w:p>
            <w:r>
              <w:rPr>
                <w:sz w:val="21"/>
              </w:rPr>
              <w:t>Tool-backed component</w:t>
            </w:r>
          </w:p>
        </w:tc>
      </w:tr>
      <w:tr>
        <w:tc>
          <w:tcPr>
            <w:tcW w:type="dxa" w:w="2448"/>
          </w:tcPr>
          <w:p>
            <w:r>
              <w:rPr>
                <w:sz w:val="21"/>
              </w:rPr>
              <w:t>Notification</w:t>
            </w:r>
          </w:p>
        </w:tc>
        <w:tc>
          <w:tcPr>
            <w:tcW w:type="dxa" w:w="2448"/>
          </w:tcPr>
          <w:p>
            <w:r>
              <w:rPr>
                <w:sz w:val="21"/>
              </w:rPr>
              <w:t>None</w:t>
            </w:r>
          </w:p>
        </w:tc>
        <w:tc>
          <w:tcPr>
            <w:tcW w:type="dxa" w:w="2304"/>
          </w:tcPr>
          <w:p>
            <w:r>
              <w:rPr>
                <w:sz w:val="21"/>
              </w:rPr>
              <w:t>Yes, but owns no policy</w:t>
            </w:r>
          </w:p>
        </w:tc>
        <w:tc>
          <w:tcPr>
            <w:tcW w:type="dxa" w:w="2016"/>
          </w:tcPr>
          <w:p>
            <w:r>
              <w:rPr>
                <w:sz w:val="21"/>
              </w:rPr>
              <w:t>Bus subscriber, not an agent</w:t>
            </w:r>
          </w:p>
        </w:tc>
      </w:tr>
    </w:tbl>
    <w:p/>
    <w:p>
      <w:r>
        <w:t>Applying this criterion yields four agents: Orchestrator, Attendance, Eligibility, and Scheduling. Exam and Scholarship — separate components in an earlier iteration of the system — were merged into one Eligibility agent because both owned the same two upstream triggers (attendance and fee events) and the same shape of policy; the merge is at the agent level only; the two capabilities remain separate, independently callable tools (get_hall_ticket, get_scholarship), so that this internal refactor does not silently collapse two distinct benchmark intents into one. Academic, Admission, Finance and Placement remain real, running components — still invoked by the tool registry and by REST routes exactly as before — but are not counted as agents because none owns policy that survives past a single request. Notification also fails the criterion: it reacts to bus events but owns no state or policy of its own, so it is classified as a bus subscriber. Retiring the one chat-facing tool that only Admission exposed (get_admissions_funnel) reduced the tool registry from 13 to 12 typed tools; the admissions funnel view itself is unaffected, being served directly by REST routes rather than through the conversational interface.</w:t>
      </w:r>
    </w:p>
    <w:p>
      <w:pPr>
        <w:pStyle w:val="Heading2"/>
      </w:pPr>
      <w:r>
        <w:t>3.3 Event-Driven Orchestration and Workflow Propagation</w:t>
      </w:r>
    </w:p>
    <w:p>
      <w:r>
        <w:t>Coordination between components uses an in-process publish/subscribe event bus, semantically equivalent to an external broker such as Redis pub/sub but requiring no separate infrastructure. Every publish call is attached to a workflow_id: the identifier is generated on the first publish of a cascade and threaded through every subsequent hop, so that a multi-agent chain — for example, an attendance upload recomputing percentages, then triggering hall-ticket re-evaluation, scholarship re-scoring, a placement shortlist refresh, and a notification, in that order — can be reconstructed and timed end-to-end from a persisted audit table rather than being inferred or asserted after the fact. Each hop's elapsed time, topic, source agent and payload are logged. Subscriber handlers are invoked within a try/except boundary per subscriber: an exception in one downstream agent is logged as an auditable agent.error event under the same workflow_id and does not prevent independent subscribers to the same event from completing, which is the fault-isolation property the system's failure-injection evaluation exercises directly.</w:t>
      </w:r>
    </w:p>
    <w:p>
      <w:pPr>
        <w:pStyle w:val="Heading2"/>
      </w:pPr>
      <w:r>
        <w:t>3.4 Confidence-Gated Hybrid Query Routing</w:t>
      </w:r>
    </w:p>
    <w:p>
      <w:r>
        <w:t>The Orchestrator routes every natural-language query through a two-tier classifier. The primary tier is a deterministic, weighted keyword lexicon that scores every candidate intent against the query text; let score₁(q) and score₂(q) denote the top-1 and top-2 intent scores it produces for query q. Define the lexicon's own confidence margin as</w:t>
      </w:r>
    </w:p>
    <w:p>
      <w:pPr>
        <w:jc w:val="center"/>
      </w:pPr>
      <w:r>
        <w:rPr>
          <w:i/>
        </w:rPr>
        <w:t>margin(q) = score₁(q) − score₂(q)</w:t>
      </w:r>
    </w:p>
    <w:p>
      <w:r>
        <w:t>The query is escalated to the secondary tier — a locally hosted LLM (served by Ollama) performing native tool-calling over the same role-filtered tool schemas — if and only if margin(q) ≤ τ; otherwise the lexicon's own top-1 intent is used directly. The threshold τ is not tuned at runtime: it is selected once, on a development query set only, under a rule pre-registered before the selection script is run, then written to a configuration file that is sha256-hashed as part of a frozen measurement instrument, so that a later edit to the threshold is detectable and is treated as defining a different experiment rather than a silent correction. The expected per-query latency of the deployed policy follows directly from the escalation rate p_escalate observed on the tuning set:</w:t>
      </w:r>
    </w:p>
    <w:p>
      <w:pPr>
        <w:jc w:val="center"/>
      </w:pPr>
      <w:r>
        <w:rPr>
          <w:i/>
        </w:rPr>
        <w:t>E[latency] = p_escalate · latency_LLM + latency_lexicon</w:t>
      </w:r>
    </w:p>
    <w:p>
      <w:r>
        <w:t>This design replaces an earlier version of the system that chose a tier based only on whether the LLM backend was reachable — an availability switch rather than a routing policy, under which every query paid the full cost of an LLM call regardless of whether the cheap classifier could already answer it correctly. Under the confidence-gated design, the deterministic classifier is treated as the primary tier and the LLM as an escalation path for exactly the subset of queries where the primary tier's own confidence signal is weak — reframing what an earlier version of the system referred to as a "fallback" as the tier that, by design, handles the majority of traffic.</w:t>
      </w:r>
    </w:p>
    <w:p>
      <w:pPr>
        <w:pStyle w:val="Heading2"/>
      </w:pPr>
      <w:r>
        <w:t>3.5 Objective-Driven Timetable Scheduling</w:t>
      </w:r>
    </w:p>
    <w:p>
      <w:r>
        <w:t>The production timetable solver assigns each required class period a (section, day, period, faculty) slot subject to hard constraints (no section or faculty member double-booked in the same slot, every required period placed). An earlier version of the solver optimised hard feasibility only, with no defined objective distinguishing a compact schedule from one full of idle gaps. This project adds an explicit, multi-term soft-constraint objective:</w:t>
      </w:r>
    </w:p>
    <w:p>
      <w:pPr>
        <w:jc w:val="center"/>
      </w:pPr>
      <w:r>
        <w:rPr>
          <w:i/>
        </w:rPr>
        <w:t>Cost = w₁·IdleGaps + w₂·LateStarts + w₃·σ(Load) + w₄·SubjectRepeats + w₅·FacultyGaps</w:t>
      </w:r>
    </w:p>
    <w:p>
      <w:r>
        <w:t>where IdleGaps counts free periods sandwiched between occupied ones within a section's day, LateStarts counts section-days that do not begin at the first period, σ(Load) is the standard deviation of a section's daily class load across the week (a load-balance penalty), SubjectRepeats penalises the same subject appearing more than once in a section's day, and FacultyGaps applies the same idle-gap penalty to a faculty member's own daily schedule. A candidate schedule is first constructed by a compact greedy seed — each section's periods are laid out contiguously from the first period of a randomly ordered set of days, so the seed begins with zero idle gaps and zero late starts by construction, and any overflow (caused by a faculty conflict) is placed in the least-cost remaining legal cell. The seed is then refined by simulated annealing over two feasibility-preserving moves — relocating one class to an empty cell, and swapping two classes' cells within a section — using the standard Metropolis acceptance rule:</w:t>
      </w:r>
    </w:p>
    <w:p>
      <w:pPr>
        <w:jc w:val="center"/>
      </w:pPr>
      <w:r>
        <w:rPr>
          <w:i/>
        </w:rPr>
        <w:t>accept the move if ΔCost ≤ 0; otherwise accept it with probability exp(−ΔCost / T)</w:t>
      </w:r>
    </w:p>
    <w:p>
      <w:r>
        <w:t>with temperature T cooled geometrically over the run:</w:t>
      </w:r>
    </w:p>
    <w:p>
      <w:pPr>
        <w:jc w:val="center"/>
      </w:pPr>
      <w:r>
        <w:rPr>
          <w:i/>
        </w:rPr>
        <w:t>Tₖ₊₁ = Tₖ · (T_end / T_start)^(1 / iterations)</w:t>
      </w:r>
    </w:p>
    <w:p>
      <w:r>
        <w:t>Every move is evaluated incrementally — only the cost terms touched by the two sections/days/faculty involved are recomputed — since a full recomputation is too costly to repeat on the order of 10⁵ times per solve; the incremental implementation is checked for agreement against a full, independently maintained recomputation of the same objective used as the system's frozen scoring metric, so that an improvement reported by the solver cannot be an artefact of the incremental and the reference cost functions silently diverging.</w:t>
      </w:r>
    </w:p>
    <w:p>
      <w:pPr>
        <w:pStyle w:val="Heading2"/>
      </w:pPr>
      <w:r>
        <w:t>3.6 Dataset Construction and Synthetic Institution Generation</w:t>
      </w:r>
    </w:p>
    <w:p>
      <w:r>
        <w:t>MAWOS is evaluated against a simulated but statistically calibrated institution: five departments, four years each, two sections per year-department, 1,200 students, 75 faculty, 100 subjects, 180,000 attendance records and an admissions intake of 400 applicants. Purely operational fields (identifiers, section assignments, timetable slots) are generated structurally to match this shape. The academically meaningful student attributes used by the scholarship and placement models — CGPA, attendance percentage, and backlog count — are instead grounded in a real, published dataset: the UCI Machine Learning Repository's "Student Performance" dataset (P. Cortez and A. Silva, "Using Data Mining to Predict Secondary School Student Performance," Proc. 5th FUture BUsiness TEChnology Conference, Porto, 2008), combining its Mathematics and Portuguese subsets to n = 1,044 student records. Each UCI feature is mapped to its MAWOS analogue by an explicit, disclosed formula — final grade (0–20) to CGPA (4.0–10.0) by a linear range map, absence count to attendance percentage by normalising against the observed maximum, and prior-failure count mapped directly to backlog count — and the pairwise Pearson correlations among the three mapped variables are estimated from the same 1,044 records rather than assumed.</w:t>
      </w:r>
    </w:p>
    <w:p>
      <w:r>
        <w:t>Sampling these three variables independently for each synthetic student would destroy the real relationships among them (for instance, that better-attending students tend to earn better grades). The generator therefore uses a Gaussian copula: it draws a correlated latent vector from a multivariate normal distribution parameterised by the estimated correlation matrix, then transforms each coordinate through that variable's own calibrated marginal distribution — Gaussian for CGPA and attendance, and quantile-mapping onto the empirical count distribution for backlogs — so that the synthetic population reproduces both the correct marginal shapes and the correct correlation structure of the source data.</w:t>
      </w:r>
    </w:p>
    <w:p>
      <w:r>
        <w:t>Two further attributes have no real public source and are modelled explicitly as assumptions rather than left unstated: household income is drawn from a log-normal distribution (clipped to a plausible range) as is conventional for household income modelling in the absence of India-specific microdata paired with academic records; and fee-clearance status is drawn as an independent Bernoulli variable at a rate matching the seeded institution's intended defaulter share. The scholarship label is produced by a banded, rule-like committee-scoring function (income slab × CGPA/attendance band) with injected scoring noise and a 3% label-flip rate, specifically so that the label is not simply a re-encoding of the rule a downstream classifier is trained to recover. The placement label is a Bernoulli draw from a logistic model centred on the calibrated population means, so that identical academic profiles can still produce different outcomes, as in a real cohort.</w:t>
      </w:r>
    </w:p>
    <w:p>
      <w:r>
        <w:t>The threat to external validity this raises — using Portuguese secondary-school data to calibrate an Indian engineering institution's synthetic population — is treated explicitly rather than left for a reviewer to raise unprompted. The claim made is deliberately narrow: not that UCI students are statistically exchangeable with the target population, but that the marginal shapes and the sign/magnitude of the correlations among grades, attendance and prior failures are more defensible when estimated from 1,044 real student records than when invented outright — the only available alternative, given that no Indian institution currently shares individual student records publicly, a constraint the DPDP Act 2023 makes unlikely to change soon. The calibration pipeline is written to be re-run against real institutional data with no change to any downstream code, once such data becomes available, including through the federated-learning proof of concept documented separately as future work.</w:t>
      </w:r>
    </w:p>
    <w:p>
      <w:pPr>
        <w:pStyle w:val="Heading2"/>
      </w:pPr>
      <w:r>
        <w:t>3.7 Evaluation Protocol and Experimental Design</w:t>
      </w:r>
    </w:p>
    <w:p>
      <w:r>
        <w:t>Every quantitative claim this project makes is required to be regenerable by a script in the project's evaluation harness — no number is reported that the harness cannot recompute from a stored artefact. The protocol follows a small set of non-negotiable rules, written down and frozen before the corresponding experiments were run: the held-out test set, once authored, is touched at most once, by a single evaluation run against a hashed, frozen configuration; every stochastic component (the simulated annealer, the LLM tier) is run across multiple seeds and reported as mean ± standard deviation, never as a best-of-N result; abstention (the system declining to answer) is reported as its own outcome category and is never silently folded into either "correct" or "error"; and baseline configurations are kept executable in the codebase rather than only described in prose, so a reported improvement can always be reproduced against a live comparison, not just a historical number.</w:t>
      </w:r>
    </w:p>
    <w:p>
      <w:r>
        <w:t>Query-routing queries are split into a development set — used only to select the escalation threshold, tune the lexicon, and design prompts — and a held-out test set, authored outside the project team by people blind to the lexicon's own keyword list, with straightforward and colloquial/ambiguous query strata pre-registered by the authors at authoring time rather than assigned afterward by the project. Two independent annotators label each held-out query's target tool and report Cohen's κ before any system is run against the set, to bound how much of any measured error is attributable to disagreement about the correct answer rather than to the system.</w:t>
      </w:r>
    </w:p>
    <w:p>
      <w:r>
        <w:t>Statistical comparisons between paired routing configurations (e.g., lexicon vs. hybrid, evaluated on the same queries) use McNemar's exact test rather than a two-sample test, since the two configurations are not independent samples. Confidence intervals on accuracy deltas and on the accuracy–latency Pareto frontier are computed by bootstrap resampling (10,000 resamples). Where multiple comparisons are made within the same experiment family, a Holm correction is applied, and every reported p-value is accompanied by an effect size, since at the sample sizes available to a single-institution study, small differences can be statistically significant without being practically meaningful.</w:t>
      </w:r>
    </w:p>
    <w:p>
      <w:r>
        <w:t>The scheduler is evaluated against its own historical baseline (the same solver's predecessor, frozen and never re-run, scored by the same objective function to guarantee the comparison is not an artefact of two different definitions of "gap") across ten random seeds, together with a weight-ablation study that zeroes each objective term in turn and re-scores the result under the full objective, to establish that every term is load-bearing rather than cosmetic. Independently of that internal comparison, the same annealing engine is also evaluated against the ITC-2007 curriculum-based course timetabling benchmark, using a cost model transcribed function-by-function from the competition's own reference implementation and differentially tested against the compiled official validator across a large number of randomly generated instance/solution pairs, so that any reported gap to published results reflects the solver's performance and not a mismatch in how cost is defined.</w:t>
      </w:r>
    </w:p>
    <w:p>
      <w:r>
        <w:t>This manuscript reports methodology only. Quantitative outcomes of the evaluation described above — routing accuracy by tier, scheduler objective values, and the corresponding statistical tests — are tracked under the project's phase-wise evaluation plan and reported separately, together with an explicit statement of which phases are complete, which are partially complete, and which remain blocked, consistent with the project's rule that no phase is reported as finished until the evaluation harness can independently verify it.</w:t>
      </w:r>
    </w:p>
    <w:p>
      <w:r>
        <w:br w:type="page"/>
      </w:r>
    </w:p>
    <w:p>
      <w:pPr>
        <w:pStyle w:val="Heading1"/>
      </w:pPr>
      <w:r>
        <w:t>References</w:t>
      </w:r>
    </w:p>
    <w:p>
      <w:pPr>
        <w:spacing w:after="160"/>
      </w:pPr>
      <w:r>
        <w:rPr>
          <w:b/>
        </w:rPr>
        <w:t xml:space="preserve">[1] </w:t>
      </w:r>
      <w:r>
        <w:t>P. Cortez and A. Silva, "Using Data Mining to Predict Secondary School Student Performance," in Proc. 5th FUture BUsiness TEChnology Conference (FUBUTEC 2008), Porto, Portugal, 2008.</w:t>
      </w:r>
    </w:p>
    <w:p>
      <w:pPr>
        <w:spacing w:after="160"/>
      </w:pPr>
      <w:r>
        <w:rPr>
          <w:b/>
        </w:rPr>
        <w:t xml:space="preserve">[2] </w:t>
      </w:r>
      <w:r>
        <w:t>UCI Machine Learning Repository, "Student Performance Data Set" (Dataset #320). https://archive.ics.uci.edu/dataset/320/student+performance</w:t>
      </w:r>
    </w:p>
    <w:p>
      <w:pPr>
        <w:spacing w:after="160"/>
      </w:pPr>
      <w:r>
        <w:rPr>
          <w:b/>
        </w:rPr>
        <w:t xml:space="preserve">[3] </w:t>
      </w:r>
      <w:r>
        <w:t>International Timetabling Competition 2007 (ITC-2007), Track 3 — Curriculum-Based Course Timetabling. Competition specification and official validator.</w:t>
      </w:r>
    </w:p>
    <w:p>
      <w:pPr>
        <w:spacing w:after="160"/>
      </w:pPr>
      <w:r>
        <w:rPr>
          <w:b/>
        </w:rPr>
        <w:t xml:space="preserve">[4] </w:t>
      </w:r>
      <w:r>
        <w:t>"OrgAccess: Evaluating LLM Agents on Organisational Access-Control Reasoning," arXiv:2505.19165. [Author/venue to be verified before final submission.]</w:t>
      </w:r>
    </w:p>
    <w:p>
      <w:pPr>
        <w:spacing w:after="160"/>
      </w:pPr>
      <w:r>
        <w:rPr>
          <w:b/>
        </w:rPr>
        <w:t xml:space="preserve">[5] </w:t>
      </w:r>
      <w:r>
        <w:t>"LLM Abstention Can Be a Prompt Artifact," arXiv:2507.16199. [Author/venue to be verified before final submission.]</w:t>
      </w:r>
    </w:p>
    <w:p>
      <w:pPr>
        <w:spacing w:after="160"/>
      </w:pPr>
      <w:r>
        <w:rPr>
          <w:b/>
        </w:rPr>
        <w:t xml:space="preserve">[6] </w:t>
      </w:r>
      <w:r>
        <w:t>"TinyLLM: Small Language Models for Agentic Tasks on Edge Hardware," arXiv:2511.22138. [Author/venue to be verified before final submission.]</w:t>
      </w:r>
    </w:p>
    <w:p>
      <w:pPr>
        <w:spacing w:after="160"/>
      </w:pPr>
      <w:r>
        <w:rPr>
          <w:b/>
        </w:rPr>
        <w:t xml:space="preserve">[7] </w:t>
      </w:r>
      <w:r>
        <w:t>"Proof-Carrying Numbers" (numeric-grounding gate design referenced in Section 1.4), arXiv:2509.06902. [Author/venue to be verified before final submission.]</w:t>
      </w:r>
    </w:p>
    <w:p/>
    <w:p>
      <w:r>
        <w:rPr>
          <w:i/>
        </w:rPr>
        <w:t>Note: entries marked for verification are tracked internally by arXiv identifier in the project's research plan; full author and venue details should be confirmed against the primary source before the final-stage report, where a complete related-work chapter is planned.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A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