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ApexPlanet Data Analytics Internship</w:t>
      </w:r>
    </w:p>
    <w:p>
      <w:pPr>
        <w:jc w:val="center"/>
      </w:pPr>
      <w:r>
        <w:rPr>
          <w:b/>
          <w:sz w:val="36"/>
        </w:rPr>
        <w:t>Task 4: Data Storytelling &amp; Statistical Validation</w:t>
      </w:r>
    </w:p>
    <w:p>
      <w:pPr>
        <w:jc w:val="center"/>
      </w:pPr>
      <w:r>
        <w:rPr>
          <w:b/>
          <w:sz w:val="32"/>
        </w:rPr>
        <w:t>Hypothesis Testing Summary Report</w:t>
      </w:r>
    </w:p>
    <w:p>
      <w:pPr>
        <w:jc w:val="center"/>
      </w:pPr>
      <w:r>
        <w:rPr>
          <w:i/>
        </w:rPr>
        <w:t>Customer Segmentation and Spending Behaviour</w:t>
        <w:br/>
      </w:r>
      <w:r>
        <w:rPr>
          <w:sz w:val="20"/>
        </w:rPr>
        <w:t>Prepared for ApexPlanet Data Analytics Internship</w:t>
      </w:r>
    </w:p>
    <w:p>
      <w:pPr>
        <w:pStyle w:val="Heading1"/>
      </w:pPr>
      <w:r>
        <w:t>1. Executive Summary</w:t>
      </w:r>
    </w:p>
    <w:p>
      <w:r>
        <w:t>This report presents the statistical validation performed in Task 4 of the ApexPlanet Data Analytics Internship. The analysis builds on the cleaned data from Task 1, the exploratory and business analysis from Task 2, and the customer segmentation developed in Task 3. The central business question was whether customer spending differs across the three customer segments identified through K-Means clustering.</w:t>
      </w:r>
    </w:p>
    <w:p>
      <w:r>
        <w:t>The customer-level dataset contains 947 customers divided into Cluster 0 (613 customers), Cluster 1 (282 customers), and Cluster 2 (52 customers). Cluster 1 has the highest total segment spending, while Cluster 2 has the highest observed average spending per customer.</w:t>
      </w:r>
    </w:p>
    <w:p>
      <w:r>
        <w:t>Because the spending groups have substantially unequal variances and the analysis compares three independent groups, the Kruskal–Wallis H test was selected as the primary overall test. The test produced H ≈ 600.52 and p ≈ 3.97 × 10^-131. At α = 0.05, this provides strong statistical evidence that spending distributions differ across the customer segments.</w:t>
      </w:r>
    </w:p>
    <w:p>
      <w:pPr>
        <w:pStyle w:val="Heading1"/>
      </w:pPr>
      <w:r>
        <w:t>2. Business Objective</w:t>
      </w:r>
    </w:p>
    <w:p>
      <w:r>
        <w:t>The objective is to determine whether the spending differences observed during customer segmentation are statistically meaningful and to translate the results into practical business insights.</w:t>
      </w:r>
    </w:p>
    <w:p>
      <w:pPr>
        <w:pStyle w:val="Heading1"/>
      </w:pPr>
      <w:r>
        <w:t>3. Dataset Overview</w:t>
      </w:r>
    </w:p>
    <w:tbl>
      <w:tblPr>
        <w:tblStyle w:val="TableGrid"/>
        <w:tblW w:type="auto" w:w="0"/>
        <w:jc w:val="center"/>
        <w:tblLook w:firstColumn="1" w:firstRow="1" w:lastColumn="0" w:lastRow="0" w:noHBand="0" w:noVBand="1" w:val="04A0"/>
      </w:tblPr>
      <w:tblGrid>
        <w:gridCol w:w="5040"/>
        <w:gridCol w:w="5040"/>
      </w:tblGrid>
      <w:tr>
        <w:tc>
          <w:tcPr>
            <w:tcW w:type="dxa" w:w="5040"/>
          </w:tcPr>
          <w:p>
            <w:r>
              <w:t>Measure</w:t>
            </w:r>
          </w:p>
        </w:tc>
        <w:tc>
          <w:tcPr>
            <w:tcW w:type="dxa" w:w="5040"/>
          </w:tcPr>
          <w:p>
            <w:r>
              <w:t>Value</w:t>
            </w:r>
          </w:p>
        </w:tc>
      </w:tr>
      <w:tr>
        <w:tc>
          <w:tcPr>
            <w:tcW w:type="dxa" w:w="5040"/>
          </w:tcPr>
          <w:p>
            <w:r>
              <w:t>Transactions</w:t>
            </w:r>
          </w:p>
        </w:tc>
        <w:tc>
          <w:tcPr>
            <w:tcW w:type="dxa" w:w="5040"/>
          </w:tcPr>
          <w:p>
            <w:r>
              <w:t>1,000</w:t>
            </w:r>
          </w:p>
        </w:tc>
      </w:tr>
      <w:tr>
        <w:tc>
          <w:tcPr>
            <w:tcW w:type="dxa" w:w="5040"/>
          </w:tcPr>
          <w:p>
            <w:r>
              <w:t>Unique Customers</w:t>
            </w:r>
          </w:p>
        </w:tc>
        <w:tc>
          <w:tcPr>
            <w:tcW w:type="dxa" w:w="5040"/>
          </w:tcPr>
          <w:p>
            <w:r>
              <w:t>947</w:t>
            </w:r>
          </w:p>
        </w:tc>
      </w:tr>
      <w:tr>
        <w:tc>
          <w:tcPr>
            <w:tcW w:type="dxa" w:w="5040"/>
          </w:tcPr>
          <w:p>
            <w:r>
              <w:t>Customer Segments</w:t>
            </w:r>
          </w:p>
        </w:tc>
        <w:tc>
          <w:tcPr>
            <w:tcW w:type="dxa" w:w="5040"/>
          </w:tcPr>
          <w:p>
            <w:r>
              <w:t>3</w:t>
            </w:r>
          </w:p>
        </w:tc>
      </w:tr>
      <w:tr>
        <w:tc>
          <w:tcPr>
            <w:tcW w:type="dxa" w:w="5040"/>
          </w:tcPr>
          <w:p>
            <w:r>
              <w:t>Products</w:t>
            </w:r>
          </w:p>
        </w:tc>
        <w:tc>
          <w:tcPr>
            <w:tcW w:type="dxa" w:w="5040"/>
          </w:tcPr>
          <w:p>
            <w:r>
              <w:t>6</w:t>
            </w:r>
          </w:p>
        </w:tc>
      </w:tr>
      <w:tr>
        <w:tc>
          <w:tcPr>
            <w:tcW w:type="dxa" w:w="5040"/>
          </w:tcPr>
          <w:p>
            <w:r>
              <w:t>Categories</w:t>
            </w:r>
          </w:p>
        </w:tc>
        <w:tc>
          <w:tcPr>
            <w:tcW w:type="dxa" w:w="5040"/>
          </w:tcPr>
          <w:p>
            <w:r>
              <w:t>5</w:t>
            </w:r>
          </w:p>
        </w:tc>
      </w:tr>
      <w:tr>
        <w:tc>
          <w:tcPr>
            <w:tcW w:type="dxa" w:w="5040"/>
          </w:tcPr>
          <w:p>
            <w:r>
              <w:t>Cities</w:t>
            </w:r>
          </w:p>
        </w:tc>
        <w:tc>
          <w:tcPr>
            <w:tcW w:type="dxa" w:w="5040"/>
          </w:tcPr>
          <w:p>
            <w:r>
              <w:t>9</w:t>
            </w:r>
          </w:p>
        </w:tc>
      </w:tr>
      <w:tr>
        <w:tc>
          <w:tcPr>
            <w:tcW w:type="dxa" w:w="5040"/>
          </w:tcPr>
          <w:p>
            <w:r>
              <w:t>Analysis Period</w:t>
            </w:r>
          </w:p>
        </w:tc>
        <w:tc>
          <w:tcPr>
            <w:tcW w:type="dxa" w:w="5040"/>
          </w:tcPr>
          <w:p>
            <w:r>
              <w:t>1 January 2025 to 1 January 2026</w:t>
            </w:r>
          </w:p>
        </w:tc>
      </w:tr>
    </w:tbl>
    <w:p>
      <w:pPr>
        <w:pStyle w:val="Heading1"/>
      </w:pPr>
      <w:r>
        <w:t>4. Business Question</w:t>
      </w:r>
    </w:p>
    <w:p>
      <w:r>
        <w:t>Do customer segments have statistically significant differences in customer spending?</w:t>
      </w:r>
    </w:p>
    <w:p>
      <w:pPr>
        <w:pStyle w:val="Heading1"/>
      </w:pPr>
      <w:r>
        <w:t>5. Hypotheses</w:t>
      </w:r>
    </w:p>
    <w:p>
      <w:r>
        <w:t>Null Hypothesis (H₀): There is no statistically significant difference in customer spending among the customer segments.</w:t>
      </w:r>
    </w:p>
    <w:p>
      <w:r>
        <w:t>Alternative Hypothesis (H₁): There is a statistically significant difference in customer spending among at least some of the customer segments.</w:t>
      </w:r>
    </w:p>
    <w:p>
      <w:pPr>
        <w:pStyle w:val="Heading1"/>
      </w:pPr>
      <w:r>
        <w:t>6. Significance Level and Decision Rule</w:t>
      </w:r>
    </w:p>
    <w:p>
      <w:r>
        <w:t>Significance level: α = 0.05.</w:t>
      </w:r>
    </w:p>
    <w:p>
      <w:r>
        <w:t>Decision rule: if p-value &lt; 0.05, reject H₀. If p-value ≥ 0.05, fail to reject H₀.</w:t>
      </w:r>
    </w:p>
    <w:p>
      <w:pPr>
        <w:pStyle w:val="Heading1"/>
      </w:pPr>
      <w:r>
        <w:t>7. Customer-Level Data Preparation</w:t>
      </w:r>
    </w:p>
    <w:p>
      <w:r>
        <w:t>The source file contains transaction-level observations. To avoid giving customers with multiple transactions disproportionate weight, the statistical analysis was performed at customer level. For each customer, Total Spending was calculated as the sum of Total_Sales, Number of Orders as the number of unique Order_ID values, Total Quantity as the sum of Quantity, and Average Order Value as Total Spending divided by Number of Orders. Customer Segment was retained from the segmentation result.</w:t>
      </w:r>
    </w:p>
    <w:p>
      <w:pPr>
        <w:pStyle w:val="Heading1"/>
      </w:pPr>
      <w:r>
        <w:t>8. Descriptive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Segment</w:t>
            </w:r>
          </w:p>
        </w:tc>
        <w:tc>
          <w:tcPr>
            <w:tcW w:type="dxa" w:w="2520"/>
          </w:tcPr>
          <w:p>
            <w:r>
              <w:t>Customers</w:t>
            </w:r>
          </w:p>
        </w:tc>
        <w:tc>
          <w:tcPr>
            <w:tcW w:type="dxa" w:w="2520"/>
          </w:tcPr>
          <w:p>
            <w:r>
              <w:t>Total Spending</w:t>
            </w:r>
          </w:p>
        </w:tc>
        <w:tc>
          <w:tcPr>
            <w:tcW w:type="dxa" w:w="2520"/>
          </w:tcPr>
          <w:p>
            <w:r>
              <w:t>Average Spending</w:t>
            </w:r>
          </w:p>
        </w:tc>
      </w:tr>
      <w:tr>
        <w:tc>
          <w:tcPr>
            <w:tcW w:type="dxa" w:w="2520"/>
          </w:tcPr>
          <w:p>
            <w:r>
              <w:t>Cluster 0</w:t>
            </w:r>
          </w:p>
        </w:tc>
        <w:tc>
          <w:tcPr>
            <w:tcW w:type="dxa" w:w="2520"/>
          </w:tcPr>
          <w:p>
            <w:r>
              <w:t>613</w:t>
            </w:r>
          </w:p>
        </w:tc>
        <w:tc>
          <w:tcPr>
            <w:tcW w:type="dxa" w:w="2520"/>
          </w:tcPr>
          <w:p>
            <w:r>
              <w:t>₹45,405,069.44</w:t>
            </w:r>
          </w:p>
        </w:tc>
        <w:tc>
          <w:tcPr>
            <w:tcW w:type="dxa" w:w="2520"/>
          </w:tcPr>
          <w:p>
            <w:r>
              <w:t>₹74,070.26</w:t>
            </w:r>
          </w:p>
        </w:tc>
      </w:tr>
      <w:tr>
        <w:tc>
          <w:tcPr>
            <w:tcW w:type="dxa" w:w="2520"/>
          </w:tcPr>
          <w:p>
            <w:r>
              <w:t>Cluster 1</w:t>
            </w:r>
          </w:p>
        </w:tc>
        <w:tc>
          <w:tcPr>
            <w:tcW w:type="dxa" w:w="2520"/>
          </w:tcPr>
          <w:p>
            <w:r>
              <w:t>282</w:t>
            </w:r>
          </w:p>
        </w:tc>
        <w:tc>
          <w:tcPr>
            <w:tcW w:type="dxa" w:w="2520"/>
          </w:tcPr>
          <w:p>
            <w:r>
              <w:t>₹77,820,568.67</w:t>
            </w:r>
          </w:p>
        </w:tc>
        <w:tc>
          <w:tcPr>
            <w:tcW w:type="dxa" w:w="2520"/>
          </w:tcPr>
          <w:p>
            <w:r>
              <w:t>₹275,959.46</w:t>
            </w:r>
          </w:p>
        </w:tc>
      </w:tr>
      <w:tr>
        <w:tc>
          <w:tcPr>
            <w:tcW w:type="dxa" w:w="2520"/>
          </w:tcPr>
          <w:p>
            <w:r>
              <w:t>Cluster 2</w:t>
            </w:r>
          </w:p>
        </w:tc>
        <w:tc>
          <w:tcPr>
            <w:tcW w:type="dxa" w:w="2520"/>
          </w:tcPr>
          <w:p>
            <w:r>
              <w:t>52</w:t>
            </w:r>
          </w:p>
        </w:tc>
        <w:tc>
          <w:tcPr>
            <w:tcW w:type="dxa" w:w="2520"/>
          </w:tcPr>
          <w:p>
            <w:r>
              <w:t>₹16,173,801.54</w:t>
            </w:r>
          </w:p>
        </w:tc>
        <w:tc>
          <w:tcPr>
            <w:tcW w:type="dxa" w:w="2520"/>
          </w:tcPr>
          <w:p>
            <w:r>
              <w:t>₹311,034.64</w:t>
            </w:r>
          </w:p>
        </w:tc>
      </w:tr>
    </w:tbl>
    <w:p>
      <w:r>
        <w:t>Cluster 0 is the largest segment. Cluster 1 contributes the highest total segment spending. Cluster 2 has the highest observed average spending per customer, despite having the smallest customer count.</w:t>
      </w:r>
    </w:p>
    <w:p>
      <w:pPr>
        <w:pStyle w:val="Heading1"/>
      </w:pPr>
      <w:r>
        <w:t>9. Assumption / Variance Check</w:t>
      </w:r>
    </w:p>
    <w:p>
      <w:r>
        <w:t>Levene's test was used to assess equality of variances. The resulting p-value was approximately 2.57 × 10^-59, which is far below 0.05. This indicates substantial evidence against the equal-variance assumption. This result supports using a non-parametric approach for the primary multi-group comparison.</w:t>
      </w:r>
    </w:p>
    <w:p>
      <w:pPr>
        <w:pStyle w:val="Heading1"/>
      </w:pPr>
      <w:r>
        <w:t>10. Primary Statistical Test</w:t>
      </w:r>
    </w:p>
    <w:p>
      <w:r>
        <w:t>The Kruskal–Wallis H test was selected because there are three independent customer groups and the spending data show substantially unequal variances. The test evaluates whether the groups come from the same distribution in terms of their ranks.</w:t>
      </w:r>
    </w:p>
    <w:p>
      <w:r>
        <w:t>Result: H ≈ 600.52; p ≈ 3.97 × 10^-131.</w:t>
      </w:r>
    </w:p>
    <w:p>
      <w:r>
        <w:t>Because the p-value is far below 0.05, the null hypothesis is rejected at the 5% significance level. There is strong statistical evidence of differences in customer spending distributions across the segments.</w:t>
      </w:r>
    </w:p>
    <w:p>
      <w:pPr>
        <w:pStyle w:val="Heading1"/>
      </w:pPr>
      <w:r>
        <w:t>11. Pairwise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Comparison</w:t>
            </w:r>
          </w:p>
        </w:tc>
        <w:tc>
          <w:tcPr>
            <w:tcW w:type="dxa" w:w="3360"/>
          </w:tcPr>
          <w:p>
            <w:r>
              <w:t>Approx. p-value</w:t>
            </w:r>
          </w:p>
        </w:tc>
        <w:tc>
          <w:tcPr>
            <w:tcW w:type="dxa" w:w="3360"/>
          </w:tcPr>
          <w:p>
            <w:r>
              <w:t>Interpretation</w:t>
            </w:r>
          </w:p>
        </w:tc>
      </w:tr>
      <w:tr>
        <w:tc>
          <w:tcPr>
            <w:tcW w:type="dxa" w:w="3360"/>
          </w:tcPr>
          <w:p>
            <w:r>
              <w:t>Cluster 0 vs Cluster 1</w:t>
            </w:r>
          </w:p>
        </w:tc>
        <w:tc>
          <w:tcPr>
            <w:tcW w:type="dxa" w:w="3360"/>
          </w:tcPr>
          <w:p>
            <w:r>
              <w:t>1.18 × 10^-124</w:t>
            </w:r>
          </w:p>
        </w:tc>
        <w:tc>
          <w:tcPr>
            <w:tcW w:type="dxa" w:w="3360"/>
          </w:tcPr>
          <w:p>
            <w:r>
              <w:t>Statistically significant</w:t>
            </w:r>
          </w:p>
        </w:tc>
      </w:tr>
      <w:tr>
        <w:tc>
          <w:tcPr>
            <w:tcW w:type="dxa" w:w="3360"/>
          </w:tcPr>
          <w:p>
            <w:r>
              <w:t>Cluster 0 vs Cluster 2</w:t>
            </w:r>
          </w:p>
        </w:tc>
        <w:tc>
          <w:tcPr>
            <w:tcW w:type="dxa" w:w="3360"/>
          </w:tcPr>
          <w:p>
            <w:r>
              <w:t>4.46 × 10^-23</w:t>
            </w:r>
          </w:p>
        </w:tc>
        <w:tc>
          <w:tcPr>
            <w:tcW w:type="dxa" w:w="3360"/>
          </w:tcPr>
          <w:p>
            <w:r>
              <w:t>Statistically significant</w:t>
            </w:r>
          </w:p>
        </w:tc>
      </w:tr>
      <w:tr>
        <w:tc>
          <w:tcPr>
            <w:tcW w:type="dxa" w:w="3360"/>
          </w:tcPr>
          <w:p>
            <w:r>
              <w:t>Cluster 1 vs Cluster 2</w:t>
            </w:r>
          </w:p>
        </w:tc>
        <w:tc>
          <w:tcPr>
            <w:tcW w:type="dxa" w:w="3360"/>
          </w:tcPr>
          <w:p>
            <w:r>
              <w:t>0.556</w:t>
            </w:r>
          </w:p>
        </w:tc>
        <w:tc>
          <w:tcPr>
            <w:tcW w:type="dxa" w:w="3360"/>
          </w:tcPr>
          <w:p>
            <w:r>
              <w:t>Not statistically significant at α = 0.05</w:t>
            </w:r>
          </w:p>
        </w:tc>
      </w:tr>
    </w:tbl>
    <w:p>
      <w:r>
        <w:t>The overall Kruskal–Wallis result establishes that at least one group differs, while the pairwise analysis identifies where the strongest differences occur. The analysis shows clear evidence of differences involving Cluster 0. The observed difference between Cluster 1 and Cluster 2 is not statistically significant at the 5% level.</w:t>
      </w:r>
    </w:p>
    <w:p>
      <w:pPr>
        <w:pStyle w:val="Heading1"/>
      </w:pPr>
      <w:r>
        <w:t>12. 95% Bootstrap Confidence Intervals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Comparison</w:t>
            </w:r>
          </w:p>
        </w:tc>
        <w:tc>
          <w:tcPr>
            <w:tcW w:type="dxa" w:w="3360"/>
          </w:tcPr>
          <w:p>
            <w:r>
              <w:t>Mean Difference</w:t>
            </w:r>
          </w:p>
        </w:tc>
        <w:tc>
          <w:tcPr>
            <w:tcW w:type="dxa" w:w="3360"/>
          </w:tcPr>
          <w:p>
            <w:r>
              <w:t>95% Bootstrap CI</w:t>
            </w:r>
          </w:p>
        </w:tc>
      </w:tr>
      <w:tr>
        <w:tc>
          <w:tcPr>
            <w:tcW w:type="dxa" w:w="3360"/>
          </w:tcPr>
          <w:p>
            <w:r>
              <w:t>Cluster 0 − Cluster 1</w:t>
            </w:r>
          </w:p>
        </w:tc>
        <w:tc>
          <w:tcPr>
            <w:tcW w:type="dxa" w:w="3360"/>
          </w:tcPr>
          <w:p>
            <w:r>
              <w:t>≈ −₹201,889</w:t>
            </w:r>
          </w:p>
        </w:tc>
        <w:tc>
          <w:tcPr>
            <w:tcW w:type="dxa" w:w="3360"/>
          </w:tcPr>
          <w:p>
            <w:r>
              <w:t>≈ −₹212,576 to −₹191,200</w:t>
            </w:r>
          </w:p>
        </w:tc>
      </w:tr>
      <w:tr>
        <w:tc>
          <w:tcPr>
            <w:tcW w:type="dxa" w:w="3360"/>
          </w:tcPr>
          <w:p>
            <w:r>
              <w:t>Cluster 0 − Cluster 2</w:t>
            </w:r>
          </w:p>
        </w:tc>
        <w:tc>
          <w:tcPr>
            <w:tcW w:type="dxa" w:w="3360"/>
          </w:tcPr>
          <w:p>
            <w:r>
              <w:t>≈ −₹236,964</w:t>
            </w:r>
          </w:p>
        </w:tc>
        <w:tc>
          <w:tcPr>
            <w:tcW w:type="dxa" w:w="3360"/>
          </w:tcPr>
          <w:p>
            <w:r>
              <w:t>≈ −₹287,880 to −₹188,070</w:t>
            </w:r>
          </w:p>
        </w:tc>
      </w:tr>
      <w:tr>
        <w:tc>
          <w:tcPr>
            <w:tcW w:type="dxa" w:w="3360"/>
          </w:tcPr>
          <w:p>
            <w:r>
              <w:t>Cluster 1 − Cluster 2</w:t>
            </w:r>
          </w:p>
        </w:tc>
        <w:tc>
          <w:tcPr>
            <w:tcW w:type="dxa" w:w="3360"/>
          </w:tcPr>
          <w:p>
            <w:r>
              <w:t>≈ −₹35,075</w:t>
            </w:r>
          </w:p>
        </w:tc>
        <w:tc>
          <w:tcPr>
            <w:tcW w:type="dxa" w:w="3360"/>
          </w:tcPr>
          <w:p>
            <w:r>
              <w:t>≈ −₹88,102 to ₹15,490</w:t>
            </w:r>
          </w:p>
        </w:tc>
      </w:tr>
    </w:tbl>
    <w:p>
      <w:r>
        <w:t>The intervals for Cluster 0 versus Cluster 1 and Cluster 0 versus Cluster 2 do not include zero, which is consistent with evidence of a difference. The interval for Cluster 1 versus Cluster 2 includes zero, which is consistent with the non-significant pairwise result. These intervals are bootstrap intervals for differences in sample means and should be interpreted as uncertainty ranges around the observed mean differences.</w:t>
      </w:r>
    </w:p>
    <w:p>
      <w:pPr>
        <w:pStyle w:val="Heading1"/>
      </w:pPr>
      <w:r>
        <w:t>13. Business Interpretation</w:t>
      </w:r>
    </w:p>
    <w:p>
      <w:pPr>
        <w:pStyle w:val="ListBullet"/>
      </w:pPr>
      <w:r>
        <w:t>Cluster 0 contains the majority of customers, making it important from a customer-volume perspective.</w:t>
      </w:r>
    </w:p>
    <w:p>
      <w:pPr>
        <w:pStyle w:val="ListBullet"/>
      </w:pPr>
      <w:r>
        <w:t>Cluster 1 produces the highest total segment spending, reflecting both its size and high spending per customer.</w:t>
      </w:r>
    </w:p>
    <w:p>
      <w:pPr>
        <w:pStyle w:val="ListBullet"/>
      </w:pPr>
      <w:r>
        <w:t>Cluster 2 has the highest observed average spending per customer, but it is the smallest segment.</w:t>
      </w:r>
    </w:p>
    <w:p>
      <w:pPr>
        <w:pStyle w:val="ListBullet"/>
      </w:pPr>
      <w:r>
        <w:t>Statistical testing supports the conclusion that customer spending distributions differ across the segments overall.</w:t>
      </w:r>
    </w:p>
    <w:p>
      <w:pPr>
        <w:pStyle w:val="ListBullet"/>
      </w:pPr>
      <w:r>
        <w:t>Cluster 1 and Cluster 2 should not be described as statistically different in spending based on the pairwise test at the 5% significance level.</w:t>
      </w:r>
    </w:p>
    <w:p>
      <w:pPr>
        <w:pStyle w:val="Heading1"/>
      </w:pPr>
      <w:r>
        <w:t>14. Business Recommendations</w:t>
      </w:r>
    </w:p>
    <w:p>
      <w:r>
        <w:rPr>
          <w:b/>
        </w:rPr>
        <w:t xml:space="preserve">Increase value from Cluster 0: </w:t>
      </w:r>
      <w:r>
        <w:t>Because Cluster 0 is the largest segment, targeted cross-selling, upselling, loyalty and personalized recommendations could be investigated to increase customer value.</w:t>
      </w:r>
    </w:p>
    <w:p>
      <w:r>
        <w:rPr>
          <w:b/>
        </w:rPr>
        <w:t xml:space="preserve">Protect high-value customers: </w:t>
      </w:r>
      <w:r>
        <w:t>Cluster 2 has the highest observed average spending per customer. Retention and personalized service strategies can be considered for this smaller high-value group.</w:t>
      </w:r>
    </w:p>
    <w:p>
      <w:r>
        <w:rPr>
          <w:b/>
        </w:rPr>
        <w:t xml:space="preserve">Study Cluster 1 drivers: </w:t>
      </w:r>
      <w:r>
        <w:t>Cluster 1 contributes the highest total segment spending. Further analysis of its products, categories, cities and order behaviour can identify the drivers of this contribution.</w:t>
      </w:r>
    </w:p>
    <w:p>
      <w:r>
        <w:rPr>
          <w:b/>
        </w:rPr>
        <w:t xml:space="preserve">Use segment-specific strategies: </w:t>
      </w:r>
      <w:r>
        <w:t>The analysis supports treating customer segments as distinct groups for business analysis rather than assuming identical spending behaviour.</w:t>
      </w:r>
    </w:p>
    <w:p>
      <w:pPr>
        <w:pStyle w:val="Heading1"/>
      </w:pPr>
      <w:r>
        <w:t>15. Limitations</w:t>
      </w:r>
    </w:p>
    <w:p>
      <w:pPr>
        <w:pStyle w:val="ListBullet"/>
      </w:pPr>
      <w:r>
        <w:t>The analysis is based on the available historical dataset and does not establish that segmentation causes spending differences.</w:t>
      </w:r>
    </w:p>
    <w:p>
      <w:pPr>
        <w:pStyle w:val="ListBullet"/>
      </w:pPr>
      <w:r>
        <w:t>The Kruskal–Wallis test detects distributional differences but does not by itself explain the business cause of those differences.</w:t>
      </w:r>
    </w:p>
    <w:p>
      <w:pPr>
        <w:pStyle w:val="ListBullet"/>
      </w:pPr>
      <w:r>
        <w:t>Pairwise testing should be interpreted with awareness of multiple-comparison considerations.</w:t>
      </w:r>
    </w:p>
    <w:p>
      <w:pPr>
        <w:pStyle w:val="ListBullet"/>
      </w:pPr>
      <w:r>
        <w:t>The confidence intervals are bootstrap intervals based on the observed customer sample and are not a guarantee about future customer behaviour.</w:t>
      </w:r>
    </w:p>
    <w:p>
      <w:pPr>
        <w:pStyle w:val="Heading1"/>
      </w:pPr>
      <w:r>
        <w:t>16. Conclusion</w:t>
      </w:r>
    </w:p>
    <w:p>
      <w:r>
        <w:t>The Task 4 statistical analysis provides strong evidence that customer spending differs across the customer segments. The Kruskal–Wallis test is highly significant, while pairwise analysis shows that Cluster 0 differs significantly from both Cluster 1 and Cluster 2. The observed difference between Cluster 1 and Cluster 2 is not statistically significant at the 5% level. Combining descriptive analysis, statistical validation and customer segmentation provides a stronger basis for differentiated business strategies and further customer-level investigation.</w:t>
      </w:r>
    </w:p>
    <w:p>
      <w:pPr>
        <w:pStyle w:val="Heading1"/>
      </w:pPr>
      <w:r>
        <w:t>17. Tools Used</w:t>
      </w:r>
    </w:p>
    <w:p>
      <w:r>
        <w:t>Python, Pandas, NumPy, SciPy, Matplotlib, Seaborn, Google Colab, Microsoft Excel, PowerPoint and GitHub.</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