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b/></w:pPr><w:r><w:rPr><w:b/><w:sz w:val="36"/></w:rPr><w:t>Acceptable Use & Cloud Asset Protection Policy</w:t></w:r></w:p>
    <w:p><w:r><w:rPr><w:i/><w:color w:val="666666"/></w:rPr><w:t>CloudShield Enterprise Security Library • Official Protocol</w:t></w:r></w:p>
    <w:p><w:r><w:t>1. Corporate Cloud Resource Access Guidelines</w:t></w:r></w:p><w:p><w:r><w:t>Employees are granted role-based access control (RBAC) to authorized resources only.</w:t></w:r></w:p><w:p><w:r><w:t>2. Prohibited Activities</w:t></w:r></w:p><w:p><w:r><w:t>- Unauthorized access to /api/v1/iam/credentials or /admin/secrets.</w:t></w:r></w:p><w:p><w:r><w:t>- Connecting to internal corporate portals from untrusted proxy or VPN exit nodes.</w:t></w:r></w:p><w:p><w:r><w:t>- Forwarding suspicious phishing lures to colleagues without SOC reporting.</w:t></w:r></w:p><w:p><w:r><w:t>3. Enforcement: Heuristic detection rules (RULE_01 through RULE_05) apply.</w:t></w:r></w:p>
  </w:body>
</w:document>
</file>