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b/></w:pPr><w:r><w:rPr><w:b/><w:sz w:val="36"/></w:rPr><w:t>Email Security & Red Flags Checklist</w:t></w:r></w:p>
    <w:p><w:r><w:rPr><w:i/><w:color w:val="666666"/></w:rPr><w:t>CloudShield Enterprise Security Library • Official Protocol</w:t></w:r></w:p>
    <w:p><w:r><w:t>Checklist for Every Incoming External Email:</w:t></w:r></w:p><w:p><w:r><w:t>[ ] Is the sender external or marked with an [EXTERNAL] tag?</w:t></w:r></w:p><w:p><w:r><w:t>[ ] Does the email create a panic or urgent deadline?</w:t></w:r></w:p><w:p><w:r><w:t>[ ] Are there spelling errors or unusual grammatical phrasing?</w:t></w:r></w:p><w:p><w:r><w:t>[ ] Does the link destination match the claimed company domain?</w:t></w:r></w:p><w:p><w:r><w:t>[ ] Is an attachment present requesting macro execution?</w:t></w:r></w:p><w:p><w:r><w:t>[ ] Status: Verified Safe / Escalated to SOC</w:t></w:r></w:p>
  </w:body>
</w:document>
</file>