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</w:pPr>
      <w:r>
        <w:rPr>
          <w:b/>
          <w:sz w:val="36"/>
        </w:rPr>
        <w:t>Suspected Breach Immediate Action Procedures</w:t>
      </w:r>
    </w:p>
    <w:p>
      <w:r>
        <w:rPr>
          <w:i/>
          <w:color w:val="666666"/>
        </w:rPr>
        <w:t>CloudShield Enterprise Security Library • Official Protocol</w:t>
      </w:r>
    </w:p>
    <w:p>
      <w:r>
        <w:t>Action Plan for Suspected Credential Compromise:</w:t>
      </w:r>
    </w:p>
    <w:p>
      <w:r>
        <w:t>Immediate Step 1: Notify the Security Operations Center (soc@cloudshield.internal).</w:t>
      </w:r>
    </w:p>
    <w:p>
      <w:r>
        <w:t>Immediate Step 2: Open CloudShield User Profile and initiate an emergency password reset.</w:t>
      </w:r>
    </w:p>
    <w:p>
      <w:r>
        <w:t>Immediate Step 3: Check Active Sessions and revoke unauthorized foreign IP connections.</w:t>
      </w:r>
    </w:p>
    <w:p>
      <w:r>
        <w:t>Immediate Step 4: Do not delete suspicious emails; preserve headers for forensic analysis.</w:t>
      </w:r>
    </w:p>
  </w:body>
</w:document>
</file>