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合成数据衰减监测器</w:t>
      </w:r>
    </w:p>
    <w:p>
      <w:pPr>
        <w:jc w:val="center"/>
      </w:pPr>
      <w:r>
        <w:rPr>
          <w:color w:val="555555"/>
          <w:sz w:val="36"/>
        </w:rPr>
        <w:t>Synthetic Data Decay Monitor</w:t>
      </w:r>
    </w:p>
    <w:p/>
    <w:p>
      <w:pPr>
        <w:jc w:val="center"/>
      </w:pPr>
      <w:r>
        <w:rPr>
          <w:color w:val="333333"/>
          <w:sz w:val="26"/>
        </w:rPr>
        <w:t>约束层健康诊断引擎 —— 让合成数据训练管线不再"盲飞"</w:t>
      </w:r>
    </w:p>
    <w:p/>
    <w:p/>
    <w:p>
      <w:pPr>
        <w:jc w:val="center"/>
      </w:pPr>
      <w:r>
        <w:rPr>
          <w:color w:val="999999"/>
          <w:sz w:val="20"/>
        </w:rPr>
        <w:t>v0.1.0  |  2026年5月</w:t>
      </w:r>
    </w:p>
    <w:p>
      <w:r>
        <w:br w:type="page"/>
      </w:r>
    </w:p>
    <w:p>
      <w:pPr>
        <w:pStyle w:val="Heading1"/>
      </w:pPr>
      <w:r>
        <w:t>1. 产品定位</w:t>
      </w:r>
    </w:p>
    <w:p>
      <w:r>
        <w:t>合成数据衰减监测器是一个面向 AI 训练管线工程师和研究者的轻量级诊断工具。它不依赖 GPU，仅通过分析文本的表面统计特征，就能在合成数据训练的每一代之间检测模型能力的退化类型和严重程度，并给出具体的数据干预建议。</w:t>
      </w:r>
    </w:p>
    <w:p>
      <w:pPr>
        <w:pStyle w:val="Heading2"/>
      </w:pPr>
      <w:r>
        <w:t>核心问题：合成数据的"复读机效应"</w:t>
      </w:r>
    </w:p>
    <w:p>
      <w:r>
        <w:t>当一个 LLM 生成的合成数据被用于训练下一代模型时，输出文本会逐代退化。这类似于 photocopy 的反复复印——每一代都会丢失信息、引入噪声，最终导致模型崩溃（model collapse）。</w:t>
      </w:r>
    </w:p>
    <w:p>
      <w:r>
        <w:t>但不同能力的退化速度和模式不同：数学推理可能因公理链断裂而快速退化（E-I），创意写作可能因风格坍缩而逐步丧失多样性（E-II），事实知识可能因边界条件侵蚀而产生幻觉（E-III）。传统方案只能告诉你"文本质量在下降"，但无法区分退化类型，因此无法给出有针对性的修复方案。</w:t>
      </w:r>
    </w:p>
    <w:p>
      <w:r>
        <w:rPr>
          <w:b/>
        </w:rPr>
        <w:t>本产品回答的问题是：不是"退化了没有"，而是"哪种执行者在退化、在什么维度、需要什么数据来修复"。</w:t>
      </w:r>
    </w:p>
    <w:p>
      <w:pPr>
        <w:pStyle w:val="Heading1"/>
      </w:pPr>
      <w:r>
        <w:t>2. 技术原理</w:t>
      </w:r>
    </w:p>
    <w:p>
      <w:pPr>
        <w:pStyle w:val="Heading2"/>
      </w:pPr>
      <w:r>
        <w:t>2.1 约束残差框架（Constraint Residual Framework）</w:t>
      </w:r>
    </w:p>
    <w:p>
      <w:r>
        <w:t>底层理论将 LLM 的能力抽象为 5 个约束维度：</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约束维度</w:t>
            </w:r>
          </w:p>
        </w:tc>
        <w:tc>
          <w:tcPr>
            <w:tcW w:type="dxa" w:w="2880"/>
          </w:tcPr>
          <w:p>
            <w:r>
              <w:t>符号</w:t>
            </w:r>
          </w:p>
        </w:tc>
        <w:tc>
          <w:tcPr>
            <w:tcW w:type="dxa" w:w="2880"/>
          </w:tcPr>
          <w:p>
            <w:r>
              <w:t>含义</w:t>
            </w:r>
          </w:p>
        </w:tc>
      </w:tr>
      <w:tr>
        <w:tc>
          <w:tcPr>
            <w:tcW w:type="dxa" w:w="2880"/>
          </w:tcPr>
          <w:p>
            <w:r>
              <w:t>事实一致性</w:t>
            </w:r>
          </w:p>
        </w:tc>
        <w:tc>
          <w:tcPr>
            <w:tcW w:type="dxa" w:w="2880"/>
          </w:tcPr>
          <w:p>
            <w:r>
              <w:t>σ_fact</w:t>
            </w:r>
          </w:p>
        </w:tc>
        <w:tc>
          <w:tcPr>
            <w:tcW w:type="dxa" w:w="2880"/>
          </w:tcPr>
          <w:p>
            <w:r>
              <w:t>文本中事实陈述的正确性和边界的完整性</w:t>
            </w:r>
          </w:p>
        </w:tc>
      </w:tr>
      <w:tr>
        <w:tc>
          <w:tcPr>
            <w:tcW w:type="dxa" w:w="2880"/>
          </w:tcPr>
          <w:p>
            <w:r>
              <w:t>结构完整性</w:t>
            </w:r>
          </w:p>
        </w:tc>
        <w:tc>
          <w:tcPr>
            <w:tcW w:type="dxa" w:w="2880"/>
          </w:tcPr>
          <w:p>
            <w:r>
              <w:t>σ_syntax</w:t>
            </w:r>
          </w:p>
        </w:tc>
        <w:tc>
          <w:tcPr>
            <w:tcW w:type="dxa" w:w="2880"/>
          </w:tcPr>
          <w:p>
            <w:r>
              <w:t>句子结构、逻辑连接词、推理链的完整度</w:t>
            </w:r>
          </w:p>
        </w:tc>
      </w:tr>
      <w:tr>
        <w:tc>
          <w:tcPr>
            <w:tcW w:type="dxa" w:w="2880"/>
          </w:tcPr>
          <w:p>
            <w:r>
              <w:t>风格稳定性</w:t>
            </w:r>
          </w:p>
        </w:tc>
        <w:tc>
          <w:tcPr>
            <w:tcW w:type="dxa" w:w="2880"/>
          </w:tcPr>
          <w:p>
            <w:r>
              <w:t>σ_style</w:t>
            </w:r>
          </w:p>
        </w:tc>
        <w:tc>
          <w:tcPr>
            <w:tcW w:type="dxa" w:w="2880"/>
          </w:tcPr>
          <w:p>
            <w:r>
              <w:t>词汇多样性、语域一致性、重复模式</w:t>
            </w:r>
          </w:p>
        </w:tc>
      </w:tr>
      <w:tr>
        <w:tc>
          <w:tcPr>
            <w:tcW w:type="dxa" w:w="2880"/>
          </w:tcPr>
          <w:p>
            <w:r>
              <w:t>安全对齐</w:t>
            </w:r>
          </w:p>
        </w:tc>
        <w:tc>
          <w:tcPr>
            <w:tcW w:type="dxa" w:w="2880"/>
          </w:tcPr>
          <w:p>
            <w:r>
              <w:t>σ_safety</w:t>
            </w:r>
          </w:p>
        </w:tc>
        <w:tc>
          <w:tcPr>
            <w:tcW w:type="dxa" w:w="2880"/>
          </w:tcPr>
          <w:p>
            <w:r>
              <w:t>安全拒绝机制和边界意识</w:t>
            </w:r>
          </w:p>
        </w:tc>
      </w:tr>
      <w:tr>
        <w:tc>
          <w:tcPr>
            <w:tcW w:type="dxa" w:w="2880"/>
          </w:tcPr>
          <w:p>
            <w:r>
              <w:t>逻辑连贯性</w:t>
            </w:r>
          </w:p>
        </w:tc>
        <w:tc>
          <w:tcPr>
            <w:tcW w:type="dxa" w:w="2880"/>
          </w:tcPr>
          <w:p>
            <w:r>
              <w:t>σ_coherence</w:t>
            </w:r>
          </w:p>
        </w:tc>
        <w:tc>
          <w:tcPr>
            <w:tcW w:type="dxa" w:w="2880"/>
          </w:tcPr>
          <w:p>
            <w:r>
              <w:t>句子间逻辑流的连续性和因果链</w:t>
            </w:r>
          </w:p>
        </w:tc>
      </w:tr>
    </w:tbl>
    <w:p/>
    <w:p>
      <w:pPr>
        <w:pStyle w:val="Heading2"/>
      </w:pPr>
      <w:r>
        <w:t>2.2 三种执行者退化类型</w:t>
      </w:r>
    </w:p>
    <w:p>
      <w:r>
        <w:t>框架将退化归因于三类"执行者"（executor）的失效：</w:t>
      </w:r>
    </w:p>
    <w:p>
      <w:r>
        <w:rPr>
          <w:b/>
        </w:rPr>
        <w:t>E-I — 公理级执行者（定理网络）（α=0.40）</w:t>
      </w:r>
    </w:p>
    <w:p>
      <w:r>
        <w:t>退化特征：最敏感的执行者。逻辑连接词丢失、推理链断裂、句子碎片化。一旦退化影响最大，需公理数据（形式化证明、推理链）修复。</w:t>
      </w:r>
    </w:p>
    <w:p>
      <w:r>
        <w:t>典型能力维度：数学推导、代码生成、逻辑推理、因果分析</w:t>
      </w:r>
    </w:p>
    <w:p/>
    <w:p>
      <w:r>
        <w:rPr>
          <w:b/>
        </w:rPr>
        <w:t>E-II — 标度级执行者（校准网络）（α=0.20）</w:t>
      </w:r>
    </w:p>
    <w:p>
      <w:r>
        <w:t>退化特征：风格一致性和词汇多样性的维护者。退化表现为短语重复、长词截断、高频填充词泛滥、文本"均质化"。需人类偏好对比数据修复。</w:t>
      </w:r>
    </w:p>
    <w:p>
      <w:r>
        <w:t>典型能力维度：创意写作、翻译、摘要、指令遵循</w:t>
      </w:r>
    </w:p>
    <w:p/>
    <w:p>
      <w:r>
        <w:rPr>
          <w:b/>
        </w:rPr>
        <w:t>E-III — 边界级执行者（边界条件）（α=0.08）</w:t>
      </w:r>
    </w:p>
    <w:p>
      <w:r>
        <w:t>退化特征：最稳定的执行者。退化表现为专有名词小写化、数字扰动、实体替换。需边界案例和领域特定数据修复。</w:t>
      </w:r>
    </w:p>
    <w:p>
      <w:r>
        <w:t>典型能力维度：事实知识、安全对齐、领域专长</w:t>
      </w:r>
    </w:p>
    <w:p/>
    <w:p>
      <w:pPr>
        <w:pStyle w:val="Heading2"/>
      </w:pPr>
      <w:r>
        <w:t>2.3 衰减定律</w:t>
      </w:r>
    </w:p>
    <w:p>
      <w:r>
        <w:t>能力稳定性按指数衰减：</w:t>
      </w:r>
    </w:p>
    <w:p>
      <w:pPr>
        <w:jc w:val="center"/>
      </w:pPr>
      <w:r>
        <w:rPr>
          <w:b/>
          <w:sz w:val="28"/>
        </w:rPr>
        <w:t>S_{n+1} = S_n · (1 − β)</w:t>
      </w:r>
    </w:p>
    <w:p/>
    <w:p>
      <w:r>
        <w:t>其中 β = Σ(α_i · p_i)，即执行者类型构成 p_i 与各自衰减系数 α_i 的加权和。S_n &lt; 0.30 时判定为"崩溃"（collapsed），S_n &gt; 0.80 为"健康"（healthy）。</w:t>
      </w:r>
    </w:p>
    <w:p>
      <w:pPr>
        <w:pStyle w:val="Heading2"/>
      </w:pPr>
      <w:r>
        <w:t>2.4 检测方法：混合文本指纹</w:t>
      </w:r>
    </w:p>
    <w:p>
      <w:r>
        <w:t>Phase 1 验证表明，7B LLM judge 对 E-III（事实侵蚀）检测相关性达 91%，但无法区分 E-I 和 E-II——因为 LLM 眼中短退化文本的所有维度共线下降。</w:t>
      </w:r>
    </w:p>
    <w:p>
      <w:r>
        <w:t>Phase 2 实现的混合文本特征提取器解决了这个问题。它不依赖任何模型，仅通过 8 个文本表面统计量（逻辑词密度、bigram 重复率、截断词比例、专名大小写保留率等）的跨代变化率来区分退化类型：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退化类型</w:t>
            </w:r>
          </w:p>
        </w:tc>
        <w:tc>
          <w:tcPr>
            <w:tcW w:type="dxa" w:w="2160"/>
          </w:tcPr>
          <w:p>
            <w:r>
              <w:t>核心检测信号</w:t>
            </w:r>
          </w:p>
        </w:tc>
        <w:tc>
          <w:tcPr>
            <w:tcW w:type="dxa" w:w="2160"/>
          </w:tcPr>
          <w:p>
            <w:r>
              <w:t>检测相关性</w:t>
            </w:r>
          </w:p>
        </w:tc>
        <w:tc>
          <w:tcPr>
            <w:tcW w:type="dxa" w:w="2160"/>
          </w:tcPr>
          <w:p>
            <w:r>
              <w:t>需要 GPU</w:t>
            </w:r>
          </w:p>
        </w:tc>
      </w:tr>
      <w:tr>
        <w:tc>
          <w:tcPr>
            <w:tcW w:type="dxa" w:w="2160"/>
          </w:tcPr>
          <w:p>
            <w:r>
              <w:t>E-I（逻辑断裂）</w:t>
            </w:r>
          </w:p>
        </w:tc>
        <w:tc>
          <w:tcPr>
            <w:tcW w:type="dxa" w:w="2160"/>
          </w:tcPr>
          <w:p>
            <w:r>
              <w:t>逻辑连接词密度跨代下降</w:t>
            </w:r>
          </w:p>
        </w:tc>
        <w:tc>
          <w:tcPr>
            <w:tcW w:type="dxa" w:w="2160"/>
          </w:tcPr>
          <w:p>
            <w:r>
              <w:t>r = 0.93</w:t>
            </w:r>
          </w:p>
        </w:tc>
        <w:tc>
          <w:tcPr>
            <w:tcW w:type="dxa" w:w="2160"/>
          </w:tcPr>
          <w:p>
            <w:r>
              <w:t>否</w:t>
            </w:r>
          </w:p>
        </w:tc>
      </w:tr>
      <w:tr>
        <w:tc>
          <w:tcPr>
            <w:tcW w:type="dxa" w:w="2160"/>
          </w:tcPr>
          <w:p>
            <w:r>
              <w:t>E-II（风格崩塌）</w:t>
            </w:r>
          </w:p>
        </w:tc>
        <w:tc>
          <w:tcPr>
            <w:tcW w:type="dxa" w:w="2160"/>
          </w:tcPr>
          <w:p>
            <w:r>
              <w:t>填充词比例上升 + 词汇多样性下降</w:t>
            </w:r>
          </w:p>
        </w:tc>
        <w:tc>
          <w:tcPr>
            <w:tcW w:type="dxa" w:w="2160"/>
          </w:tcPr>
          <w:p>
            <w:r>
              <w:t>r = 0.98</w:t>
            </w:r>
          </w:p>
        </w:tc>
        <w:tc>
          <w:tcPr>
            <w:tcW w:type="dxa" w:w="2160"/>
          </w:tcPr>
          <w:p>
            <w:r>
              <w:t>否</w:t>
            </w:r>
          </w:p>
        </w:tc>
      </w:tr>
      <w:tr>
        <w:tc>
          <w:tcPr>
            <w:tcW w:type="dxa" w:w="2160"/>
          </w:tcPr>
          <w:p>
            <w:r>
              <w:t>E-III（事实侵蚀）</w:t>
            </w:r>
          </w:p>
        </w:tc>
        <w:tc>
          <w:tcPr>
            <w:tcW w:type="dxa" w:w="2160"/>
          </w:tcPr>
          <w:p>
            <w:r>
              <w:t>专名大小写保留率下降 + 数字扰动</w:t>
            </w:r>
          </w:p>
        </w:tc>
        <w:tc>
          <w:tcPr>
            <w:tcW w:type="dxa" w:w="2160"/>
          </w:tcPr>
          <w:p>
            <w:r>
              <w:t>r = 0.92</w:t>
            </w:r>
          </w:p>
        </w:tc>
        <w:tc>
          <w:tcPr>
            <w:tcW w:type="dxa" w:w="2160"/>
          </w:tcPr>
          <w:p>
            <w:r>
              <w:t>否</w:t>
            </w:r>
          </w:p>
        </w:tc>
      </w:tr>
    </w:tbl>
    <w:p/>
    <w:p>
      <w:pPr>
        <w:pStyle w:val="Heading1"/>
      </w:pPr>
      <w:r>
        <w:t>3. 核心功能</w:t>
      </w:r>
    </w:p>
    <w:p>
      <w:r>
        <w:rPr>
          <w:b/>
        </w:rPr>
        <w:t>▸ 跨代衰减轨迹追踪</w:t>
      </w:r>
    </w:p>
    <w:p>
      <w:r>
        <w:t>对每个能力维度（数学推理、代码生成、事实知识等 10 个维度）追踪稳定性 S_n 的跨代变化，拟合衰减系数 β，预测崩溃代数。输出完整的时间线。</w:t>
      </w:r>
    </w:p>
    <w:p/>
    <w:p>
      <w:r>
        <w:rPr>
          <w:b/>
        </w:rPr>
        <w:t>▸ 执行者退化分类</w:t>
      </w:r>
    </w:p>
    <w:p>
      <w:r>
        <w:t>通过 Helmholtz 分解 + 文本指纹 + 拓扑先验三信号融合，自动诊断退化类型（E-I/E-II/E-III/mixed），精确到每个能力维度的退化严重程度（0-1 评分）。</w:t>
      </w:r>
    </w:p>
    <w:p/>
    <w:p>
      <w:r>
        <w:rPr>
          <w:b/>
        </w:rPr>
        <w:t>▸ 数据干预建议</w:t>
      </w:r>
    </w:p>
    <w:p>
      <w:r>
        <w:t>根据退化类型自动推荐数据采集策略：</w:t>
        <w:br/>
        <w:t>• E-I_loss → 引入形式化证明、推理链、公理数据</w:t>
        <w:br/>
        <w:t>• E-II_loss → 引入人类偏好对比、校准评分数据</w:t>
        <w:br/>
        <w:t>• E-III_loss → 引入边界案例、领域特定数据</w:t>
      </w:r>
    </w:p>
    <w:p/>
    <w:p>
      <w:r>
        <w:rPr>
          <w:b/>
        </w:rPr>
        <w:t>▸ 约束场可视化</w:t>
      </w:r>
    </w:p>
    <w:p>
      <w:r>
        <w:t>生成约束残差 ||Π||、抵消率 c(p) 的跨代曲线，直观展示约束基退化速度（||Π|| 下降越快 → 退化越严重）和约束抵消程度（c(p) → 0 表示约束规则互相抵消）。</w:t>
      </w:r>
    </w:p>
    <w:p/>
    <w:p>
      <w:r>
        <w:rPr>
          <w:b/>
        </w:rPr>
        <w:t>▸ 应力传播级联分析</w:t>
      </w:r>
    </w:p>
    <w:p>
      <w:r>
        <w:t>基于能力维度的拓扑依赖图，模拟一个维度崩溃后对其他维度的连锁影响。输出最先崩溃的维度、级联步数和最弱的依赖边。</w:t>
      </w:r>
    </w:p>
    <w:p/>
    <w:p>
      <w:r>
        <w:rPr>
          <w:b/>
        </w:rPr>
        <w:t>▸ 多后端支持</w:t>
      </w:r>
    </w:p>
    <w:p>
      <w:r>
        <w:t>• Embedding 后端：sentence-transformers，CPU 可用</w:t>
        <w:br/>
        <w:t>• LLM Judge 后端：Qwen2.5-7B，需 GPU</w:t>
        <w:br/>
        <w:t>• Hybrid 后端（推荐）：纯文本特征，零 GPU，75% 准确率</w:t>
      </w:r>
    </w:p>
    <w:p/>
    <w:p>
      <w:pPr>
        <w:pStyle w:val="Heading1"/>
      </w:pPr>
      <w:r>
        <w:t>4. 使用方式</w:t>
      </w:r>
    </w:p>
    <w:p>
      <w:pPr>
        <w:pStyle w:val="Heading2"/>
      </w:pPr>
      <w:r>
        <w:t>4.1 命令行</w:t>
      </w:r>
    </w:p>
    <w:p>
      <w:r>
        <w:t># 最快上手：Hybrid 模式（零 GPU，推荐）</w:t>
        <w:br/>
        <w:t>python -m constraint_residual.synthetic_decay_monitor.cli \</w:t>
        <w:br/>
        <w:t xml:space="preserve">    --hybrid --demo 6 --output report.html</w:t>
        <w:br/>
        <w:br/>
        <w:t># 使用 JSONL 真实数据</w:t>
        <w:br/>
        <w:t>python -m constraint_residual.synthetic_decay_monitor.cli \</w:t>
        <w:br/>
        <w:t xml:space="preserve">    --hybrid --input your_data.jsonl --output report.html</w:t>
        <w:br/>
        <w:br/>
        <w:t># 在 GPU 上使用 LLM Judge 后端（更高精度）</w:t>
        <w:br/>
        <w:t>python -m constraint_residual.synthetic_decay_monitor.cli \</w:t>
        <w:br/>
        <w:t xml:space="preserve">    --llm-judge --input your_data.jsonl --output report.html</w:t>
      </w:r>
    </w:p>
    <w:p>
      <w:pPr>
        <w:pStyle w:val="Heading2"/>
      </w:pPr>
      <w:r>
        <w:t>4.2 Python API</w:t>
      </w:r>
    </w:p>
    <w:p>
      <w:r>
        <w:t>from constraint_residual.synthetic_decay_monitor import (</w:t>
        <w:br/>
        <w:t xml:space="preserve">    parse_lineage_from_jsonl, HybridConstraintExtractor,</w:t>
        <w:br/>
        <w:t xml:space="preserve">    DecayEngine, diagnose_executor_decay</w:t>
        <w:br/>
        <w:t>)</w:t>
        <w:br/>
        <w:br/>
        <w:t># 加载数据</w:t>
        <w:br/>
        <w:t>lineage = parse_lineage_from_jsonl("data.jsonl")</w:t>
        <w:br/>
        <w:br/>
        <w:t># 选择后端</w:t>
        <w:br/>
        <w:t>extractor = HybridConstraintExtractor(judge_fn=None)  # 纯文本模式</w:t>
        <w:br/>
        <w:br/>
        <w:t># 运行衰减分析</w:t>
        <w:br/>
        <w:t>engine = DecayEngine(lineage, extractor)</w:t>
        <w:br/>
        <w:t>engine.run_all_capabilities()</w:t>
        <w:br/>
        <w:br/>
        <w:t># 获取诊断</w:t>
        <w:br/>
        <w:t>for cap, traj in engine._trajectories.items():</w:t>
        <w:br/>
        <w:t xml:space="preserve">    last = traj[-1]</w:t>
        <w:br/>
        <w:t xml:space="preserve">    print(f"{cap}: S={last.S_n:.3f} beta={last.beta:.3f}")</w:t>
        <w:br/>
        <w:t xml:space="preserve">    print(f"  执行者构成: {last.executor_composition}")</w:t>
        <w:br/>
      </w:r>
    </w:p>
    <w:p>
      <w:pPr>
        <w:pStyle w:val="Heading2"/>
      </w:pPr>
      <w:r>
        <w:t>4.3 数据格式</w:t>
      </w:r>
    </w:p>
    <w:p>
      <w:r>
        <w:t>输入为 JSONL 格式，每行一个样本：</w:t>
        <w:br/>
        <w:br/>
        <w:t>{"text": "The derivative of x^2 is 2x...", "generation": 0, "source_model": "human", "capability_tags": ["math_reasoning"]}</w:t>
        <w:br/>
        <w:t>{"text": "The deriva of x^2...", "generation": 1, "source_model": "gen_model_v1", "capability_tags": ["math_reasoning"]}</w:t>
        <w:br/>
        <w:br/>
        <w:t>必填字段：text, generation。选填：source_model, capability_tags, id。</w:t>
      </w:r>
    </w:p>
    <w:p>
      <w:pPr>
        <w:pStyle w:val="Heading1"/>
      </w:pPr>
      <w:r>
        <w:t>5. 应用场景</w:t>
      </w:r>
    </w:p>
    <w:p>
      <w:r>
        <w:rPr>
          <w:b/>
        </w:rPr>
        <w:t>▸ 合成数据质量监控</w:t>
      </w:r>
    </w:p>
    <w:p>
      <w:r>
        <w:t>在合成数据训练管线中部署为持续监控层。每代训练后自动运行衰减分析，当 S_n 低于 0.5 时触发告警，在模型崩溃前干预。</w:t>
      </w:r>
    </w:p>
    <w:p/>
    <w:p>
      <w:r>
        <w:rPr>
          <w:b/>
        </w:rPr>
        <w:t>▸ 数据配比优化</w:t>
      </w:r>
    </w:p>
    <w:p>
      <w:r>
        <w:t>通过执行者构成分析，确定当前管线最缺乏的数据类型。例如，如果所有能力维度的 E-I 占比持续偏高，说明公理类数据不足，应增加推理链和形式化证明数据。</w:t>
      </w:r>
    </w:p>
    <w:p/>
    <w:p>
      <w:r>
        <w:rPr>
          <w:b/>
        </w:rPr>
        <w:t>▸ 多代训练安全边界</w:t>
      </w:r>
    </w:p>
    <w:p>
      <w:r>
        <w:t>外推预测每个能力维度的崩溃代数，设定最大安全训练代数。避免盲目的"多训几代总是好的"策略，量化代际衰减的成本。</w:t>
      </w:r>
    </w:p>
    <w:p/>
    <w:p>
      <w:r>
        <w:rPr>
          <w:b/>
        </w:rPr>
        <w:t>▸ 模型能力退化归因</w:t>
      </w:r>
    </w:p>
    <w:p>
      <w:r>
        <w:t>当模型在某个 benchmark 上性能下降时，快速定位是哪种约束基退化导致的。例如，MATH 基准下降 + E-I 诊断 → 需要更多形式化推理数据，而非更多通用数据。</w:t>
      </w:r>
    </w:p>
    <w:p/>
    <w:p>
      <w:r>
        <w:rPr>
          <w:b/>
        </w:rPr>
        <w:t>▸ 合成数据供应商评估</w:t>
      </w:r>
    </w:p>
    <w:p>
      <w:r>
        <w:t>评估第三方合成数据在不同能力维度上的代际稳定性。对比多个供应商的数据在 β 值和崩溃预测上的差异。</w:t>
      </w:r>
    </w:p>
    <w:p/>
    <w:p>
      <w:pPr>
        <w:pStyle w:val="Heading1"/>
      </w:pPr>
      <w:r>
        <w:t>6. 验证结果</w:t>
      </w:r>
    </w:p>
    <w:p>
      <w:r>
        <w:t>在合成退化测试集（5 个事实型文本，β=0.15，2 代，3 种纯退化模式 + 均衡退化）上的端到端验证：</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测试用例</w:t>
            </w:r>
          </w:p>
        </w:tc>
        <w:tc>
          <w:tcPr>
            <w:tcW w:type="dxa" w:w="2160"/>
          </w:tcPr>
          <w:p>
            <w:r>
              <w:t>准确率</w:t>
            </w:r>
          </w:p>
        </w:tc>
        <w:tc>
          <w:tcPr>
            <w:tcW w:type="dxa" w:w="2160"/>
          </w:tcPr>
          <w:p>
            <w:r>
              <w:t>后端</w:t>
            </w:r>
          </w:p>
        </w:tc>
        <w:tc>
          <w:tcPr>
            <w:tcW w:type="dxa" w:w="2160"/>
          </w:tcPr>
          <w:p>
            <w:r>
              <w:t>说明</w:t>
            </w:r>
          </w:p>
        </w:tc>
      </w:tr>
      <w:tr>
        <w:tc>
          <w:tcPr>
            <w:tcW w:type="dxa" w:w="2160"/>
          </w:tcPr>
          <w:p>
            <w:r>
              <w:t>纯退化检测 (3/4)</w:t>
            </w:r>
          </w:p>
        </w:tc>
        <w:tc>
          <w:tcPr>
            <w:tcW w:type="dxa" w:w="2160"/>
          </w:tcPr>
          <w:p>
            <w:r>
              <w:t>75%</w:t>
            </w:r>
          </w:p>
        </w:tc>
        <w:tc>
          <w:tcPr>
            <w:tcW w:type="dxa" w:w="2160"/>
          </w:tcPr>
          <w:p>
            <w:r>
              <w:t>Hybrid (文本特征)</w:t>
            </w:r>
          </w:p>
        </w:tc>
        <w:tc>
          <w:tcPr>
            <w:tcW w:type="dxa" w:w="2160"/>
          </w:tcPr>
          <w:p>
            <w:r>
              <w:t>纯 E-I/E-II/E-III 全部正确识别</w:t>
            </w:r>
          </w:p>
        </w:tc>
      </w:tr>
      <w:tr>
        <w:tc>
          <w:tcPr>
            <w:tcW w:type="dxa" w:w="2160"/>
          </w:tcPr>
          <w:p>
            <w:r>
              <w:t>E-III 相关性</w:t>
            </w:r>
          </w:p>
        </w:tc>
        <w:tc>
          <w:tcPr>
            <w:tcW w:type="dxa" w:w="2160"/>
          </w:tcPr>
          <w:p>
            <w:r>
              <w:t>r=0.92</w:t>
            </w:r>
          </w:p>
        </w:tc>
        <w:tc>
          <w:tcPr>
            <w:tcW w:type="dxa" w:w="2160"/>
          </w:tcPr>
          <w:p>
            <w:r>
              <w:t>Hybrid + LLM Judge</w:t>
            </w:r>
          </w:p>
        </w:tc>
        <w:tc>
          <w:tcPr>
            <w:tcW w:type="dxa" w:w="2160"/>
          </w:tcPr>
          <w:p>
            <w:r>
              <w:t>两者对 E-III 检测高度一致</w:t>
            </w:r>
          </w:p>
        </w:tc>
      </w:tr>
      <w:tr>
        <w:tc>
          <w:tcPr>
            <w:tcW w:type="dxa" w:w="2160"/>
          </w:tcPr>
          <w:p>
            <w:r>
              <w:t>LLM Judge (7B) 对比</w:t>
            </w:r>
          </w:p>
        </w:tc>
        <w:tc>
          <w:tcPr>
            <w:tcW w:type="dxa" w:w="2160"/>
          </w:tcPr>
          <w:p>
            <w:r>
              <w:t>25% (1/4)</w:t>
            </w:r>
          </w:p>
        </w:tc>
        <w:tc>
          <w:tcPr>
            <w:tcW w:type="dxa" w:w="2160"/>
          </w:tcPr>
          <w:p>
            <w:r>
              <w:t>LLM Judge only</w:t>
            </w:r>
          </w:p>
        </w:tc>
        <w:tc>
          <w:tcPr>
            <w:tcW w:type="dxa" w:w="2160"/>
          </w:tcPr>
          <w:p>
            <w:r>
              <w:t>无法区分 E-I vs E-II</w:t>
            </w:r>
          </w:p>
        </w:tc>
      </w:tr>
      <w:tr>
        <w:tc>
          <w:tcPr>
            <w:tcW w:type="dxa" w:w="2160"/>
          </w:tcPr>
          <w:p>
            <w:r>
              <w:t>Embedding 后端</w:t>
            </w:r>
          </w:p>
        </w:tc>
        <w:tc>
          <w:tcPr>
            <w:tcW w:type="dxa" w:w="2160"/>
          </w:tcPr>
          <w:p>
            <w:r>
              <w:t>~30%</w:t>
            </w:r>
          </w:p>
        </w:tc>
        <w:tc>
          <w:tcPr>
            <w:tcW w:type="dxa" w:w="2160"/>
          </w:tcPr>
          <w:p>
            <w:r>
              <w:t>Embedding only</w:t>
            </w:r>
          </w:p>
        </w:tc>
        <w:tc>
          <w:tcPr>
            <w:tcW w:type="dxa" w:w="2160"/>
          </w:tcPr>
          <w:p>
            <w:r>
              <w:t>sigma 值共线下降，区分度低</w:t>
            </w:r>
          </w:p>
        </w:tc>
      </w:tr>
    </w:tbl>
    <w:p/>
    <w:p>
      <w:pPr>
        <w:pStyle w:val="Heading1"/>
      </w:pPr>
      <w:r>
        <w:t>7. 已知局限与后续规划</w:t>
      </w:r>
    </w:p>
    <w:p>
      <w:r>
        <w:t>• 短文本噪声：文本 &lt; 15 词时统计特征不可靠。建议每组 ≥ 5 个样本、每个样本 ≥ 30 词。</w:t>
      </w:r>
    </w:p>
    <w:p>
      <w:r>
        <w:t>• E-III 检测前提：文本需包含专有名词和数字。纯数学/代码文本中 E-III 信号不可见（这是合理行为——数学文本本无边界条件可侵蚀）。</w:t>
      </w:r>
    </w:p>
    <w:p>
      <w:r>
        <w:t>• 高衰减强度下信号饱和：当 β &gt; 0.25 且代数 &gt; 3 时，文本极度碎片化，所有特征共线下降，类似 LLM judge 的失效模式。</w:t>
      </w:r>
    </w:p>
    <w:p>
      <w:r>
        <w:t>• 均衡退化识别较弱：三种执行者等比例退化时，系统倾向于报 E-I（因逻辑连接词天然最脆弱）。</w:t>
      </w:r>
    </w:p>
    <w:p>
      <w:r>
        <w:t>• 后续规划：支持多语言（中文逻辑词、中文专名）、支持更长文本的段落级特征、集成 LLM judge 的 E-III 检测优势到 Hybrid 模式。</w:t>
      </w:r>
    </w:p>
    <w:p>
      <w:pPr>
        <w:pStyle w:val="Heading1"/>
      </w:pPr>
      <w:r>
        <w:t>8. 技术栈</w:t>
      </w:r>
    </w:p>
    <w:p>
      <w:r>
        <w:rPr>
          <w:b/>
        </w:rPr>
        <w:t>核心语言：</w:t>
      </w:r>
      <w:r>
        <w:t>Python 3.10+</w:t>
      </w:r>
    </w:p>
    <w:p>
      <w:r>
        <w:rPr>
          <w:b/>
        </w:rPr>
        <w:t>数值计算：</w:t>
      </w:r>
      <w:r>
        <w:t>NumPy</w:t>
      </w:r>
    </w:p>
    <w:p>
      <w:r>
        <w:rPr>
          <w:b/>
        </w:rPr>
        <w:t>可选 Embedding：</w:t>
      </w:r>
      <w:r>
        <w:t>sentence-transformers (all-MiniLM-L6-v2)</w:t>
      </w:r>
    </w:p>
    <w:p>
      <w:r>
        <w:rPr>
          <w:b/>
        </w:rPr>
        <w:t>可选 LLM Judge：</w:t>
      </w:r>
      <w:r>
        <w:t>HuggingFace Transformers + Qwen2.5-7B-Instruct</w:t>
      </w:r>
    </w:p>
    <w:p>
      <w:r>
        <w:rPr>
          <w:b/>
        </w:rPr>
        <w:t>报告输出：</w:t>
      </w:r>
      <w:r>
        <w:t>HTML (内置模板) + JSON (结构化数据)</w:t>
      </w:r>
    </w:p>
    <w:p>
      <w:r>
        <w:rPr>
          <w:b/>
        </w:rPr>
        <w:t>安装：</w:t>
      </w:r>
      <w:r>
        <w:t>pip install numpy</w:t>
        <w:br/>
        <w:t>pip install sentence-transformers  # 仅 embedding 后端需要</w:t>
      </w:r>
    </w:p>
    <w:p/>
    <w:p/>
    <w:p>
      <w:pPr>
        <w:jc w:val="center"/>
      </w:pPr>
      <w:r>
        <w:rPr>
          <w:color w:val="999999"/>
          <w:sz w:val="18"/>
        </w:rPr>
        <w:t>— Synthetic Data Decay Monitor v0.1.0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