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FB9BA" w14:textId="77777777" w:rsidR="00852C6F" w:rsidRPr="00852C6F" w:rsidRDefault="00852C6F" w:rsidP="00852C6F">
      <w:pPr>
        <w:rPr>
          <w:b/>
          <w:bCs/>
        </w:rPr>
      </w:pPr>
      <w:r w:rsidRPr="00852C6F">
        <w:rPr>
          <w:b/>
          <w:bCs/>
        </w:rPr>
        <w:t xml:space="preserve">About the Automotive Trends Data </w:t>
      </w:r>
    </w:p>
    <w:p w14:paraId="025509FD" w14:textId="77777777" w:rsidR="00852C6F" w:rsidRPr="00852C6F" w:rsidRDefault="00852C6F" w:rsidP="00852C6F">
      <w:pPr>
        <w:rPr>
          <w:b/>
          <w:bCs/>
        </w:rPr>
      </w:pPr>
      <w:r w:rsidRPr="00852C6F">
        <w:rPr>
          <w:b/>
          <w:bCs/>
        </w:rPr>
        <w:t>Key Features of the Trends Database</w:t>
      </w:r>
    </w:p>
    <w:p w14:paraId="136CD44D" w14:textId="77777777" w:rsidR="00852C6F" w:rsidRPr="00852C6F" w:rsidRDefault="00852C6F" w:rsidP="00852C6F">
      <w:pPr>
        <w:numPr>
          <w:ilvl w:val="0"/>
          <w:numId w:val="1"/>
        </w:numPr>
      </w:pPr>
      <w:r w:rsidRPr="00852C6F">
        <w:t>The Trends database has been maintained by EPA since 1975 and is updated annually to include the most up to date data available for all model years.</w:t>
      </w:r>
    </w:p>
    <w:p w14:paraId="511959F4" w14:textId="77777777" w:rsidR="00852C6F" w:rsidRPr="00852C6F" w:rsidRDefault="00852C6F" w:rsidP="00852C6F">
      <w:pPr>
        <w:numPr>
          <w:ilvl w:val="0"/>
          <w:numId w:val="1"/>
        </w:numPr>
      </w:pPr>
      <w:r w:rsidRPr="00852C6F">
        <w:t>All data are based on production volumes delivered for sale in the U.S. by model year and may vary from publicized data based on calendar year sales.</w:t>
      </w:r>
    </w:p>
    <w:p w14:paraId="549CB729" w14:textId="77777777" w:rsidR="00852C6F" w:rsidRPr="00852C6F" w:rsidRDefault="00852C6F" w:rsidP="00852C6F">
      <w:pPr>
        <w:numPr>
          <w:ilvl w:val="0"/>
          <w:numId w:val="1"/>
        </w:numPr>
      </w:pPr>
      <w:r w:rsidRPr="00852C6F">
        <w:t xml:space="preserve">Data for model years 1975 through 2023 are </w:t>
      </w:r>
      <w:r w:rsidRPr="00852C6F">
        <w:rPr>
          <w:b/>
          <w:bCs/>
        </w:rPr>
        <w:t>final</w:t>
      </w:r>
      <w:r w:rsidRPr="00852C6F">
        <w:t xml:space="preserve"> and based on official data submitted to EPA and National Highway Traffic Safety Administration. Data for model year 2024 are </w:t>
      </w:r>
      <w:r w:rsidRPr="00852C6F">
        <w:rPr>
          <w:b/>
          <w:bCs/>
        </w:rPr>
        <w:t>preliminary</w:t>
      </w:r>
      <w:r w:rsidRPr="00852C6F">
        <w:t xml:space="preserve"> and based on data provided to EPA by automakers prior to the model year, including projected production volumes.</w:t>
      </w:r>
    </w:p>
    <w:p w14:paraId="1B2B91B7" w14:textId="77777777" w:rsidR="00852C6F" w:rsidRPr="00852C6F" w:rsidRDefault="00852C6F" w:rsidP="00852C6F">
      <w:pPr>
        <w:numPr>
          <w:ilvl w:val="0"/>
          <w:numId w:val="1"/>
        </w:numPr>
      </w:pPr>
      <w:r w:rsidRPr="00852C6F">
        <w:t>There are two categories of CO</w:t>
      </w:r>
      <w:r w:rsidRPr="00852C6F">
        <w:rPr>
          <w:vertAlign w:val="subscript"/>
        </w:rPr>
        <w:t>2</w:t>
      </w:r>
      <w:r w:rsidRPr="00852C6F">
        <w:t xml:space="preserve"> emissions and fuel economy data: </w:t>
      </w:r>
      <w:r w:rsidRPr="00852C6F">
        <w:rPr>
          <w:b/>
          <w:bCs/>
        </w:rPr>
        <w:t>compliance</w:t>
      </w:r>
      <w:r w:rsidRPr="00852C6F">
        <w:t xml:space="preserve"> data and </w:t>
      </w:r>
      <w:r w:rsidRPr="00852C6F">
        <w:rPr>
          <w:b/>
          <w:bCs/>
        </w:rPr>
        <w:t>estimated real-world</w:t>
      </w:r>
      <w:r w:rsidRPr="00852C6F">
        <w:t xml:space="preserve"> data. Important differences are discussed below.</w:t>
      </w:r>
    </w:p>
    <w:p w14:paraId="7181C995" w14:textId="77777777" w:rsidR="00852C6F" w:rsidRPr="00852C6F" w:rsidRDefault="00852C6F" w:rsidP="00852C6F">
      <w:pPr>
        <w:numPr>
          <w:ilvl w:val="0"/>
          <w:numId w:val="1"/>
        </w:numPr>
      </w:pPr>
      <w:r w:rsidRPr="00852C6F">
        <w:t>Most of the data are reported as fleetwide averages, reflecting arithmetic production-weighted averages of individual CO</w:t>
      </w:r>
      <w:r w:rsidRPr="00852C6F">
        <w:rPr>
          <w:vertAlign w:val="subscript"/>
        </w:rPr>
        <w:t>2</w:t>
      </w:r>
      <w:r w:rsidRPr="00852C6F">
        <w:t xml:space="preserve"> emissions values and harmonic production-weighted averages of individual fuel economy values.</w:t>
      </w:r>
    </w:p>
    <w:p w14:paraId="1B1F4A7F" w14:textId="77777777" w:rsidR="00852C6F" w:rsidRPr="00852C6F" w:rsidRDefault="00852C6F" w:rsidP="00852C6F">
      <w:pPr>
        <w:numPr>
          <w:ilvl w:val="0"/>
          <w:numId w:val="1"/>
        </w:numPr>
      </w:pPr>
      <w:r w:rsidRPr="00852C6F">
        <w:t xml:space="preserve">Major methodological changes are generally propagated backwards through the historical database </w:t>
      </w:r>
      <w:proofErr w:type="gramStart"/>
      <w:r w:rsidRPr="00852C6F">
        <w:t>in order to</w:t>
      </w:r>
      <w:proofErr w:type="gramEnd"/>
      <w:r w:rsidRPr="00852C6F">
        <w:t xml:space="preserve"> maintain the integrity of long-term trends.</w:t>
      </w:r>
    </w:p>
    <w:p w14:paraId="1A79BD3C" w14:textId="77777777" w:rsidR="00852C6F" w:rsidRPr="00852C6F" w:rsidRDefault="00852C6F" w:rsidP="00852C6F">
      <w:r w:rsidRPr="00852C6F">
        <w:t xml:space="preserve">The Trends database includes all new light-duty vehicles in the United States. Under the Corporate Average Fuel Economy and Greenhouse Gas regulations, new vehicles are separated into two distinct regulatory classes, passenger cars and light trucks, and each vehicle class has separate GHG and fuel economy standards. Pickup trucks, vans, and minivans are all classified as light trucks under NHTSA’s regulatory definitions, while sedans, coupes, and wagons are generally classified as cars. Sport utility vehicles can fall into either category, depending on the relevant attributes of the specific vehicle. For more details, see Section 3 of the </w:t>
      </w:r>
      <w:hyperlink r:id="rId5" w:anchor="Full-Report" w:tgtFrame="_blank" w:history="1">
        <w:r w:rsidRPr="00852C6F">
          <w:rPr>
            <w:rStyle w:val="Hyperlink"/>
          </w:rPr>
          <w:t>Full Report</w:t>
        </w:r>
      </w:hyperlink>
      <w:r w:rsidRPr="00852C6F">
        <w:t>.</w:t>
      </w:r>
    </w:p>
    <w:p w14:paraId="4B5D6B22" w14:textId="77777777" w:rsidR="00852C6F" w:rsidRPr="00852C6F" w:rsidRDefault="00852C6F" w:rsidP="00852C6F">
      <w:r w:rsidRPr="00852C6F">
        <w:rPr>
          <w:b/>
          <w:bCs/>
        </w:rPr>
        <w:t>Regulatory Classes and Vehicle Types Used in This Report</w:t>
      </w:r>
    </w:p>
    <w:p w14:paraId="59E3C400" w14:textId="1A7D6843" w:rsidR="00852C6F" w:rsidRPr="00852C6F" w:rsidRDefault="00852C6F" w:rsidP="00852C6F">
      <w:r w:rsidRPr="00852C6F">
        <w:lastRenderedPageBreak/>
        <w:drawing>
          <wp:inline distT="0" distB="0" distL="0" distR="0" wp14:anchorId="715C46A9" wp14:editId="3422149C">
            <wp:extent cx="5943600" cy="3914140"/>
            <wp:effectExtent l="0" t="0" r="0" b="0"/>
            <wp:docPr id="1999357979" name="Picture 2" descr="Vehicle Type for Vehicle Tre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hicle Type for Vehicle Trends Rep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14140"/>
                    </a:xfrm>
                    <a:prstGeom prst="rect">
                      <a:avLst/>
                    </a:prstGeom>
                    <a:noFill/>
                    <a:ln>
                      <a:noFill/>
                    </a:ln>
                  </pic:spPr>
                </pic:pic>
              </a:graphicData>
            </a:graphic>
          </wp:inline>
        </w:drawing>
      </w:r>
    </w:p>
    <w:p w14:paraId="11E32D3D" w14:textId="77777777" w:rsidR="00852C6F" w:rsidRPr="00852C6F" w:rsidRDefault="00852C6F" w:rsidP="00852C6F">
      <w:r w:rsidRPr="00852C6F">
        <w:t xml:space="preserve">Manufacturers included in this database use the model year 2023 manufacturer definitions determined by EPA and NHTSA for implementation of the GHG emission standards and CAFE program. When a manufacturer grouping changes under the GHG and CAFE programs, EPA applies the new manufacturer definitions to all prior model years for the analysis of estimated real-world CO2 emission and fuel economy trends. This maintains consistent </w:t>
      </w:r>
      <w:proofErr w:type="gramStart"/>
      <w:r w:rsidRPr="00852C6F">
        <w:t>manufacturer</w:t>
      </w:r>
      <w:proofErr w:type="gramEnd"/>
      <w:r w:rsidRPr="00852C6F">
        <w:t xml:space="preserve"> and make definitions over time, which enables better identification of long-term trends. However, the compliance data </w:t>
      </w:r>
      <w:proofErr w:type="gramStart"/>
      <w:r w:rsidRPr="00852C6F">
        <w:t>maintain</w:t>
      </w:r>
      <w:proofErr w:type="gramEnd"/>
      <w:r w:rsidRPr="00852C6F">
        <w:t xml:space="preserve"> the previous manufacturer definitions where necessary to preserve the integrity of compliance data as accrued.</w:t>
      </w:r>
    </w:p>
    <w:p w14:paraId="534B2C97" w14:textId="77777777" w:rsidR="00852C6F" w:rsidRPr="00852C6F" w:rsidRDefault="00852C6F" w:rsidP="00852C6F">
      <w:pPr>
        <w:rPr>
          <w:b/>
          <w:bCs/>
        </w:rPr>
      </w:pPr>
      <w:r w:rsidRPr="00852C6F">
        <w:rPr>
          <w:b/>
          <w:bCs/>
        </w:rPr>
        <w:t>Fuel Economy and CO</w:t>
      </w:r>
      <w:r w:rsidRPr="00852C6F">
        <w:rPr>
          <w:b/>
          <w:bCs/>
          <w:vertAlign w:val="subscript"/>
        </w:rPr>
        <w:t>2</w:t>
      </w:r>
      <w:r w:rsidRPr="00852C6F">
        <w:rPr>
          <w:b/>
          <w:bCs/>
        </w:rPr>
        <w:t xml:space="preserve"> Metrics</w:t>
      </w:r>
    </w:p>
    <w:p w14:paraId="05FA75E0" w14:textId="77777777" w:rsidR="00852C6F" w:rsidRPr="00852C6F" w:rsidRDefault="00852C6F" w:rsidP="00852C6F">
      <w:r w:rsidRPr="00852C6F">
        <w:t>The carbon dioxide (CO</w:t>
      </w:r>
      <w:r w:rsidRPr="00852C6F">
        <w:rPr>
          <w:vertAlign w:val="subscript"/>
        </w:rPr>
        <w:t>2</w:t>
      </w:r>
      <w:r w:rsidRPr="00852C6F">
        <w:t>) emissions and fuel economy data in this report fall into one of two categories based on the purpose of the data and the subsequent required emissions test procedures.</w:t>
      </w:r>
    </w:p>
    <w:p w14:paraId="7488BDC1" w14:textId="77777777" w:rsidR="00852C6F" w:rsidRPr="00852C6F" w:rsidRDefault="00852C6F" w:rsidP="00852C6F">
      <w:r w:rsidRPr="00852C6F">
        <w:t xml:space="preserve">The first category is </w:t>
      </w:r>
      <w:r w:rsidRPr="00852C6F">
        <w:rPr>
          <w:b/>
          <w:bCs/>
        </w:rPr>
        <w:t>compliance</w:t>
      </w:r>
      <w:r w:rsidRPr="00852C6F">
        <w:t xml:space="preserve"> data, which is measured using laboratory tests required by law for CAFE and adopted by EPA for GHG compliance. Compliance data are measured using EPA city and highway test procedures (the “2-cycle” tests), and fleetwide averages are calculated by weighting the city and highway test results by 55% and 45%, respectively. These procedures are required for compliance; however, they no longer accurately reflect real-world driving. Compliance data may also encompass optional performance credits and adjustments that manufacturers can use towards meeting their emissions standards.</w:t>
      </w:r>
    </w:p>
    <w:p w14:paraId="3CE49BD6" w14:textId="77777777" w:rsidR="00852C6F" w:rsidRPr="00852C6F" w:rsidRDefault="00852C6F" w:rsidP="00852C6F">
      <w:r w:rsidRPr="00852C6F">
        <w:t xml:space="preserve">The second category is </w:t>
      </w:r>
      <w:r w:rsidRPr="00852C6F">
        <w:rPr>
          <w:b/>
          <w:bCs/>
        </w:rPr>
        <w:t>estimated real-world</w:t>
      </w:r>
      <w:r w:rsidRPr="00852C6F">
        <w:t xml:space="preserve"> data, which is measured using additional laboratory tests to capture a wider range of operating conditions (including hot and cold weather, higher speeds, and faster accelerations) encountered by an average driver. This expanded set of tests is referred to as “5-cycle” testing. City and highway results are </w:t>
      </w:r>
      <w:proofErr w:type="gramStart"/>
      <w:r w:rsidRPr="00852C6F">
        <w:t>weighted</w:t>
      </w:r>
      <w:proofErr w:type="gramEnd"/>
      <w:r w:rsidRPr="00852C6F">
        <w:t xml:space="preserve"> 43% city and 57% highway, consistent with fleetwide driver activity data. The city and highway values are the same values found on new vehicle fuel economy </w:t>
      </w:r>
      <w:proofErr w:type="gramStart"/>
      <w:r w:rsidRPr="00852C6F">
        <w:t>labels,</w:t>
      </w:r>
      <w:proofErr w:type="gramEnd"/>
      <w:r w:rsidRPr="00852C6F">
        <w:t xml:space="preserve"> however the label combined value is </w:t>
      </w:r>
      <w:proofErr w:type="gramStart"/>
      <w:r w:rsidRPr="00852C6F">
        <w:t>weighted</w:t>
      </w:r>
      <w:proofErr w:type="gramEnd"/>
      <w:r w:rsidRPr="00852C6F">
        <w:t xml:space="preserve"> 55% city and 45% highway. Unlike compliance data, the method for calculating real-world data has evolved over time, along with technology and driving habits.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gridCol w:w="4223"/>
        <w:gridCol w:w="1400"/>
        <w:gridCol w:w="1596"/>
      </w:tblGrid>
      <w:tr w:rsidR="00852C6F" w:rsidRPr="00852C6F" w14:paraId="50B21897" w14:textId="77777777" w:rsidTr="00852C6F">
        <w:trPr>
          <w:tblHeader/>
          <w:tblCellSpacing w:w="15" w:type="dxa"/>
        </w:trPr>
        <w:tc>
          <w:tcPr>
            <w:tcW w:w="0" w:type="auto"/>
            <w:vAlign w:val="center"/>
            <w:hideMark/>
          </w:tcPr>
          <w:p w14:paraId="293B2AFF" w14:textId="77777777" w:rsidR="00852C6F" w:rsidRPr="00852C6F" w:rsidRDefault="00852C6F" w:rsidP="00852C6F">
            <w:pPr>
              <w:rPr>
                <w:b/>
                <w:bCs/>
              </w:rPr>
            </w:pPr>
            <w:r w:rsidRPr="00852C6F">
              <w:rPr>
                <w:b/>
                <w:bCs/>
              </w:rPr>
              <w:t>CO</w:t>
            </w:r>
            <w:r w:rsidRPr="00852C6F">
              <w:rPr>
                <w:b/>
                <w:bCs/>
                <w:vertAlign w:val="subscript"/>
              </w:rPr>
              <w:t>2</w:t>
            </w:r>
            <w:r w:rsidRPr="00852C6F">
              <w:rPr>
                <w:b/>
                <w:bCs/>
              </w:rPr>
              <w:t xml:space="preserve"> and Fuel Economy</w:t>
            </w:r>
            <w:r w:rsidRPr="00852C6F">
              <w:rPr>
                <w:b/>
                <w:bCs/>
              </w:rPr>
              <w:br/>
              <w:t>Data Category</w:t>
            </w:r>
          </w:p>
        </w:tc>
        <w:tc>
          <w:tcPr>
            <w:tcW w:w="0" w:type="auto"/>
            <w:vAlign w:val="center"/>
            <w:hideMark/>
          </w:tcPr>
          <w:p w14:paraId="5DED52B3" w14:textId="77777777" w:rsidR="00852C6F" w:rsidRPr="00852C6F" w:rsidRDefault="00852C6F" w:rsidP="00852C6F">
            <w:pPr>
              <w:rPr>
                <w:b/>
                <w:bCs/>
              </w:rPr>
            </w:pPr>
            <w:r w:rsidRPr="00852C6F">
              <w:rPr>
                <w:b/>
                <w:bCs/>
              </w:rPr>
              <w:t>Purpose</w:t>
            </w:r>
          </w:p>
        </w:tc>
        <w:tc>
          <w:tcPr>
            <w:tcW w:w="0" w:type="auto"/>
            <w:vAlign w:val="center"/>
            <w:hideMark/>
          </w:tcPr>
          <w:p w14:paraId="748A839A" w14:textId="77777777" w:rsidR="00852C6F" w:rsidRPr="00852C6F" w:rsidRDefault="00852C6F" w:rsidP="00852C6F">
            <w:pPr>
              <w:rPr>
                <w:b/>
                <w:bCs/>
              </w:rPr>
            </w:pPr>
            <w:r w:rsidRPr="00852C6F">
              <w:rPr>
                <w:b/>
                <w:bCs/>
              </w:rPr>
              <w:t>Current</w:t>
            </w:r>
            <w:r w:rsidRPr="00852C6F">
              <w:rPr>
                <w:b/>
                <w:bCs/>
              </w:rPr>
              <w:br/>
              <w:t>City/Highway</w:t>
            </w:r>
            <w:r w:rsidRPr="00852C6F">
              <w:rPr>
                <w:b/>
                <w:bCs/>
              </w:rPr>
              <w:br/>
              <w:t>Weighting</w:t>
            </w:r>
          </w:p>
        </w:tc>
        <w:tc>
          <w:tcPr>
            <w:tcW w:w="0" w:type="auto"/>
            <w:vAlign w:val="center"/>
            <w:hideMark/>
          </w:tcPr>
          <w:p w14:paraId="00E79E57" w14:textId="77777777" w:rsidR="00852C6F" w:rsidRPr="00852C6F" w:rsidRDefault="00852C6F" w:rsidP="00852C6F">
            <w:pPr>
              <w:rPr>
                <w:b/>
                <w:bCs/>
              </w:rPr>
            </w:pPr>
            <w:r w:rsidRPr="00852C6F">
              <w:rPr>
                <w:b/>
                <w:bCs/>
              </w:rPr>
              <w:t>Current Test</w:t>
            </w:r>
            <w:r w:rsidRPr="00852C6F">
              <w:rPr>
                <w:b/>
                <w:bCs/>
              </w:rPr>
              <w:br/>
              <w:t>Procedure Basis</w:t>
            </w:r>
          </w:p>
        </w:tc>
      </w:tr>
      <w:tr w:rsidR="00852C6F" w:rsidRPr="00852C6F" w14:paraId="7202136F" w14:textId="77777777" w:rsidTr="00852C6F">
        <w:trPr>
          <w:tblCellSpacing w:w="15" w:type="dxa"/>
        </w:trPr>
        <w:tc>
          <w:tcPr>
            <w:tcW w:w="0" w:type="auto"/>
            <w:vAlign w:val="center"/>
            <w:hideMark/>
          </w:tcPr>
          <w:p w14:paraId="5B664068" w14:textId="77777777" w:rsidR="00852C6F" w:rsidRPr="00852C6F" w:rsidRDefault="00852C6F" w:rsidP="00852C6F">
            <w:r w:rsidRPr="00852C6F">
              <w:t>Compliance</w:t>
            </w:r>
          </w:p>
        </w:tc>
        <w:tc>
          <w:tcPr>
            <w:tcW w:w="0" w:type="auto"/>
            <w:vAlign w:val="center"/>
            <w:hideMark/>
          </w:tcPr>
          <w:p w14:paraId="7CC1BC21" w14:textId="77777777" w:rsidR="00852C6F" w:rsidRPr="00852C6F" w:rsidRDefault="00852C6F" w:rsidP="00852C6F">
            <w:r w:rsidRPr="00852C6F">
              <w:t>Basis for manufacturer compliance with standards</w:t>
            </w:r>
          </w:p>
        </w:tc>
        <w:tc>
          <w:tcPr>
            <w:tcW w:w="0" w:type="auto"/>
            <w:vAlign w:val="center"/>
            <w:hideMark/>
          </w:tcPr>
          <w:p w14:paraId="2F5B42D6" w14:textId="77777777" w:rsidR="00852C6F" w:rsidRPr="00852C6F" w:rsidRDefault="00852C6F" w:rsidP="00852C6F">
            <w:r w:rsidRPr="00852C6F">
              <w:t>55% / 45%</w:t>
            </w:r>
          </w:p>
        </w:tc>
        <w:tc>
          <w:tcPr>
            <w:tcW w:w="0" w:type="auto"/>
            <w:vAlign w:val="center"/>
            <w:hideMark/>
          </w:tcPr>
          <w:p w14:paraId="5B1FE787" w14:textId="77777777" w:rsidR="00852C6F" w:rsidRPr="00852C6F" w:rsidRDefault="00852C6F" w:rsidP="00852C6F">
            <w:r w:rsidRPr="00852C6F">
              <w:t>2-cycle</w:t>
            </w:r>
          </w:p>
        </w:tc>
      </w:tr>
      <w:tr w:rsidR="00852C6F" w:rsidRPr="00852C6F" w14:paraId="024A5818" w14:textId="77777777" w:rsidTr="00852C6F">
        <w:trPr>
          <w:tblCellSpacing w:w="15" w:type="dxa"/>
        </w:trPr>
        <w:tc>
          <w:tcPr>
            <w:tcW w:w="0" w:type="auto"/>
            <w:vAlign w:val="center"/>
            <w:hideMark/>
          </w:tcPr>
          <w:p w14:paraId="54B09105" w14:textId="77777777" w:rsidR="00852C6F" w:rsidRPr="00852C6F" w:rsidRDefault="00852C6F" w:rsidP="00852C6F">
            <w:r w:rsidRPr="00852C6F">
              <w:t>Estimated Real-world</w:t>
            </w:r>
          </w:p>
        </w:tc>
        <w:tc>
          <w:tcPr>
            <w:tcW w:w="0" w:type="auto"/>
            <w:vAlign w:val="center"/>
            <w:hideMark/>
          </w:tcPr>
          <w:p w14:paraId="14B844DC" w14:textId="77777777" w:rsidR="00852C6F" w:rsidRPr="00852C6F" w:rsidRDefault="00852C6F" w:rsidP="00852C6F">
            <w:r w:rsidRPr="00852C6F">
              <w:t>Best estimate of real-world performance</w:t>
            </w:r>
          </w:p>
        </w:tc>
        <w:tc>
          <w:tcPr>
            <w:tcW w:w="0" w:type="auto"/>
            <w:vAlign w:val="center"/>
            <w:hideMark/>
          </w:tcPr>
          <w:p w14:paraId="7C366FCE" w14:textId="77777777" w:rsidR="00852C6F" w:rsidRPr="00852C6F" w:rsidRDefault="00852C6F" w:rsidP="00852C6F">
            <w:r w:rsidRPr="00852C6F">
              <w:t>43% / 57%</w:t>
            </w:r>
          </w:p>
        </w:tc>
        <w:tc>
          <w:tcPr>
            <w:tcW w:w="0" w:type="auto"/>
            <w:vAlign w:val="center"/>
            <w:hideMark/>
          </w:tcPr>
          <w:p w14:paraId="4F6C2167" w14:textId="77777777" w:rsidR="00852C6F" w:rsidRPr="00852C6F" w:rsidRDefault="00852C6F" w:rsidP="00852C6F">
            <w:r w:rsidRPr="00852C6F">
              <w:t>5-cycle</w:t>
            </w:r>
          </w:p>
        </w:tc>
      </w:tr>
    </w:tbl>
    <w:p w14:paraId="343E110E" w14:textId="77777777" w:rsidR="00BB1843" w:rsidRDefault="00BB1843"/>
    <w:sectPr w:rsidR="00BB1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255117"/>
    <w:multiLevelType w:val="multilevel"/>
    <w:tmpl w:val="2CBC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535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6F"/>
    <w:rsid w:val="00364065"/>
    <w:rsid w:val="00552363"/>
    <w:rsid w:val="006277B7"/>
    <w:rsid w:val="00852C6F"/>
    <w:rsid w:val="00A158DA"/>
    <w:rsid w:val="00BB1843"/>
    <w:rsid w:val="00EF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D765"/>
  <w15:chartTrackingRefBased/>
  <w15:docId w15:val="{D2AAC4AA-3DC4-4357-8C0C-A4845F17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C6F"/>
    <w:rPr>
      <w:rFonts w:eastAsiaTheme="majorEastAsia" w:cstheme="majorBidi"/>
      <w:color w:val="272727" w:themeColor="text1" w:themeTint="D8"/>
    </w:rPr>
  </w:style>
  <w:style w:type="paragraph" w:styleId="Title">
    <w:name w:val="Title"/>
    <w:basedOn w:val="Normal"/>
    <w:next w:val="Normal"/>
    <w:link w:val="TitleChar"/>
    <w:uiPriority w:val="10"/>
    <w:qFormat/>
    <w:rsid w:val="00852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C6F"/>
    <w:pPr>
      <w:spacing w:before="160"/>
      <w:jc w:val="center"/>
    </w:pPr>
    <w:rPr>
      <w:i/>
      <w:iCs/>
      <w:color w:val="404040" w:themeColor="text1" w:themeTint="BF"/>
    </w:rPr>
  </w:style>
  <w:style w:type="character" w:customStyle="1" w:styleId="QuoteChar">
    <w:name w:val="Quote Char"/>
    <w:basedOn w:val="DefaultParagraphFont"/>
    <w:link w:val="Quote"/>
    <w:uiPriority w:val="29"/>
    <w:rsid w:val="00852C6F"/>
    <w:rPr>
      <w:i/>
      <w:iCs/>
      <w:color w:val="404040" w:themeColor="text1" w:themeTint="BF"/>
    </w:rPr>
  </w:style>
  <w:style w:type="paragraph" w:styleId="ListParagraph">
    <w:name w:val="List Paragraph"/>
    <w:basedOn w:val="Normal"/>
    <w:uiPriority w:val="34"/>
    <w:qFormat/>
    <w:rsid w:val="00852C6F"/>
    <w:pPr>
      <w:ind w:left="720"/>
      <w:contextualSpacing/>
    </w:pPr>
  </w:style>
  <w:style w:type="character" w:styleId="IntenseEmphasis">
    <w:name w:val="Intense Emphasis"/>
    <w:basedOn w:val="DefaultParagraphFont"/>
    <w:uiPriority w:val="21"/>
    <w:qFormat/>
    <w:rsid w:val="00852C6F"/>
    <w:rPr>
      <w:i/>
      <w:iCs/>
      <w:color w:val="0F4761" w:themeColor="accent1" w:themeShade="BF"/>
    </w:rPr>
  </w:style>
  <w:style w:type="paragraph" w:styleId="IntenseQuote">
    <w:name w:val="Intense Quote"/>
    <w:basedOn w:val="Normal"/>
    <w:next w:val="Normal"/>
    <w:link w:val="IntenseQuoteChar"/>
    <w:uiPriority w:val="30"/>
    <w:qFormat/>
    <w:rsid w:val="00852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C6F"/>
    <w:rPr>
      <w:i/>
      <w:iCs/>
      <w:color w:val="0F4761" w:themeColor="accent1" w:themeShade="BF"/>
    </w:rPr>
  </w:style>
  <w:style w:type="character" w:styleId="IntenseReference">
    <w:name w:val="Intense Reference"/>
    <w:basedOn w:val="DefaultParagraphFont"/>
    <w:uiPriority w:val="32"/>
    <w:qFormat/>
    <w:rsid w:val="00852C6F"/>
    <w:rPr>
      <w:b/>
      <w:bCs/>
      <w:smallCaps/>
      <w:color w:val="0F4761" w:themeColor="accent1" w:themeShade="BF"/>
      <w:spacing w:val="5"/>
    </w:rPr>
  </w:style>
  <w:style w:type="character" w:styleId="Hyperlink">
    <w:name w:val="Hyperlink"/>
    <w:basedOn w:val="DefaultParagraphFont"/>
    <w:uiPriority w:val="99"/>
    <w:unhideWhenUsed/>
    <w:rsid w:val="00852C6F"/>
    <w:rPr>
      <w:color w:val="467886" w:themeColor="hyperlink"/>
      <w:u w:val="single"/>
    </w:rPr>
  </w:style>
  <w:style w:type="character" w:styleId="UnresolvedMention">
    <w:name w:val="Unresolved Mention"/>
    <w:basedOn w:val="DefaultParagraphFont"/>
    <w:uiPriority w:val="99"/>
    <w:semiHidden/>
    <w:unhideWhenUsed/>
    <w:rsid w:val="00852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80614">
      <w:bodyDiv w:val="1"/>
      <w:marLeft w:val="0"/>
      <w:marRight w:val="0"/>
      <w:marTop w:val="0"/>
      <w:marBottom w:val="0"/>
      <w:divBdr>
        <w:top w:val="none" w:sz="0" w:space="0" w:color="auto"/>
        <w:left w:val="none" w:sz="0" w:space="0" w:color="auto"/>
        <w:bottom w:val="none" w:sz="0" w:space="0" w:color="auto"/>
        <w:right w:val="none" w:sz="0" w:space="0" w:color="auto"/>
      </w:divBdr>
      <w:divsChild>
        <w:div w:id="1800760765">
          <w:marLeft w:val="0"/>
          <w:marRight w:val="0"/>
          <w:marTop w:val="0"/>
          <w:marBottom w:val="0"/>
          <w:divBdr>
            <w:top w:val="none" w:sz="0" w:space="0" w:color="auto"/>
            <w:left w:val="none" w:sz="0" w:space="0" w:color="auto"/>
            <w:bottom w:val="none" w:sz="0" w:space="0" w:color="auto"/>
            <w:right w:val="none" w:sz="0" w:space="0" w:color="auto"/>
          </w:divBdr>
          <w:divsChild>
            <w:div w:id="1434279845">
              <w:marLeft w:val="0"/>
              <w:marRight w:val="0"/>
              <w:marTop w:val="0"/>
              <w:marBottom w:val="0"/>
              <w:divBdr>
                <w:top w:val="none" w:sz="0" w:space="0" w:color="auto"/>
                <w:left w:val="none" w:sz="0" w:space="0" w:color="auto"/>
                <w:bottom w:val="none" w:sz="0" w:space="0" w:color="auto"/>
                <w:right w:val="none" w:sz="0" w:space="0" w:color="auto"/>
              </w:divBdr>
              <w:divsChild>
                <w:div w:id="6592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00912">
      <w:bodyDiv w:val="1"/>
      <w:marLeft w:val="0"/>
      <w:marRight w:val="0"/>
      <w:marTop w:val="0"/>
      <w:marBottom w:val="0"/>
      <w:divBdr>
        <w:top w:val="none" w:sz="0" w:space="0" w:color="auto"/>
        <w:left w:val="none" w:sz="0" w:space="0" w:color="auto"/>
        <w:bottom w:val="none" w:sz="0" w:space="0" w:color="auto"/>
        <w:right w:val="none" w:sz="0" w:space="0" w:color="auto"/>
      </w:divBdr>
      <w:divsChild>
        <w:div w:id="1051154703">
          <w:marLeft w:val="0"/>
          <w:marRight w:val="0"/>
          <w:marTop w:val="0"/>
          <w:marBottom w:val="0"/>
          <w:divBdr>
            <w:top w:val="none" w:sz="0" w:space="0" w:color="auto"/>
            <w:left w:val="none" w:sz="0" w:space="0" w:color="auto"/>
            <w:bottom w:val="none" w:sz="0" w:space="0" w:color="auto"/>
            <w:right w:val="none" w:sz="0" w:space="0" w:color="auto"/>
          </w:divBdr>
          <w:divsChild>
            <w:div w:id="1668173524">
              <w:marLeft w:val="0"/>
              <w:marRight w:val="0"/>
              <w:marTop w:val="0"/>
              <w:marBottom w:val="0"/>
              <w:divBdr>
                <w:top w:val="none" w:sz="0" w:space="0" w:color="auto"/>
                <w:left w:val="none" w:sz="0" w:space="0" w:color="auto"/>
                <w:bottom w:val="none" w:sz="0" w:space="0" w:color="auto"/>
                <w:right w:val="none" w:sz="0" w:space="0" w:color="auto"/>
              </w:divBdr>
              <w:divsChild>
                <w:div w:id="473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pa.gov/automotive-trends/download-automotive-trends-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Sampson</dc:creator>
  <cp:keywords/>
  <dc:description/>
  <cp:lastModifiedBy>Shawn Sampson</cp:lastModifiedBy>
  <cp:revision>1</cp:revision>
  <dcterms:created xsi:type="dcterms:W3CDTF">2025-03-03T05:29:00Z</dcterms:created>
  <dcterms:modified xsi:type="dcterms:W3CDTF">2025-03-03T05:30:00Z</dcterms:modified>
</cp:coreProperties>
</file>