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A6E"/>
          <w:sz w:val="44"/>
        </w:rPr>
        <w:t>Predictive Modeling for Tourism Demand Forecasting</w:t>
      </w:r>
    </w:p>
    <w:p/>
    <w:p>
      <w:pPr>
        <w:jc w:val="center"/>
      </w:pPr>
      <w:r>
        <w:rPr>
          <w:i/>
          <w:color w:val="4472B0"/>
          <w:sz w:val="28"/>
        </w:rPr>
        <w:t>Week 4 Task – Advanced Data Science in Tourism Management</w:t>
      </w:r>
    </w:p>
    <w:p/>
    <w:p>
      <w:pPr>
        <w:jc w:val="center"/>
      </w:pPr>
      <w:r>
        <w:rPr>
          <w:sz w:val="22"/>
        </w:rPr>
        <w:t>Date Prepared : September 30, 2026</w:t>
      </w:r>
    </w:p>
    <w:p>
      <w:pPr>
        <w:jc w:val="center"/>
      </w:pPr>
      <w:r>
        <w:rPr>
          <w:sz w:val="22"/>
        </w:rPr>
        <w:t>Course        : Tourism Analytics &amp; Predictive Modeling</w:t>
      </w:r>
    </w:p>
    <w:p>
      <w:pPr>
        <w:jc w:val="center"/>
      </w:pPr>
      <w:r>
        <w:rPr>
          <w:sz w:val="22"/>
        </w:rPr>
        <w:t>Tool          : Python 3 | scikit-learn | statsmodels</w:t>
      </w:r>
    </w:p>
    <w:p>
      <w:r>
        <w:br w:type="page"/>
      </w:r>
    </w:p>
    <w:p>
      <w:pPr>
        <w:pStyle w:val="Heading1"/>
        <w:jc w:val="left"/>
      </w:pPr>
      <w:r>
        <w:t>Table of Contents</w:t>
      </w:r>
    </w:p>
    <w:tbl>
      <w:tblPr>
        <w:tblStyle w:val="TableGrid"/>
        <w:tblW w:type="auto" w:w="0"/>
        <w:tblLook w:firstColumn="1" w:firstRow="1" w:lastColumn="0" w:lastRow="0" w:noHBand="0" w:noVBand="1" w:val="04A0"/>
      </w:tblPr>
      <w:tblGrid>
        <w:gridCol w:w="7488"/>
        <w:gridCol w:w="1152"/>
      </w:tblGrid>
      <w:tr>
        <w:tc>
          <w:tcPr>
            <w:tcW w:type="dxa" w:w="4533"/>
          </w:tcPr>
          <w:p>
            <w:r>
              <w:t>1. Executive Summary</w:t>
            </w:r>
          </w:p>
        </w:tc>
        <w:tc>
          <w:tcPr>
            <w:tcW w:type="dxa" w:w="4533"/>
          </w:tcPr>
          <w:p>
            <w:pPr>
              <w:jc w:val="right"/>
            </w:pPr>
            <w:r>
              <w:t>3</w:t>
            </w:r>
          </w:p>
        </w:tc>
      </w:tr>
      <w:tr>
        <w:tc>
          <w:tcPr>
            <w:tcW w:type="dxa" w:w="4533"/>
          </w:tcPr>
          <w:p>
            <w:r>
              <w:t>2. Introduction &amp; Objectives</w:t>
            </w:r>
          </w:p>
        </w:tc>
        <w:tc>
          <w:tcPr>
            <w:tcW w:type="dxa" w:w="4533"/>
          </w:tcPr>
          <w:p>
            <w:pPr>
              <w:jc w:val="right"/>
            </w:pPr>
            <w:r>
              <w:t>3</w:t>
            </w:r>
          </w:p>
        </w:tc>
      </w:tr>
      <w:tr>
        <w:tc>
          <w:tcPr>
            <w:tcW w:type="dxa" w:w="4533"/>
          </w:tcPr>
          <w:p>
            <w:r>
              <w:t>3. Dataset Description</w:t>
            </w:r>
          </w:p>
        </w:tc>
        <w:tc>
          <w:tcPr>
            <w:tcW w:type="dxa" w:w="4533"/>
          </w:tcPr>
          <w:p>
            <w:pPr>
              <w:jc w:val="right"/>
            </w:pPr>
            <w:r>
              <w:t>4</w:t>
            </w:r>
          </w:p>
        </w:tc>
      </w:tr>
      <w:tr>
        <w:tc>
          <w:tcPr>
            <w:tcW w:type="dxa" w:w="4533"/>
          </w:tcPr>
          <w:p>
            <w:r>
              <w:t>4. Exploratory Data Analysis</w:t>
            </w:r>
          </w:p>
        </w:tc>
        <w:tc>
          <w:tcPr>
            <w:tcW w:type="dxa" w:w="4533"/>
          </w:tcPr>
          <w:p>
            <w:pPr>
              <w:jc w:val="right"/>
            </w:pPr>
            <w:r>
              <w:t>5</w:t>
            </w:r>
          </w:p>
        </w:tc>
      </w:tr>
      <w:tr>
        <w:tc>
          <w:tcPr>
            <w:tcW w:type="dxa" w:w="4533"/>
          </w:tcPr>
          <w:p>
            <w:r>
              <w:t>5. Feature Engineering</w:t>
            </w:r>
          </w:p>
        </w:tc>
        <w:tc>
          <w:tcPr>
            <w:tcW w:type="dxa" w:w="4533"/>
          </w:tcPr>
          <w:p>
            <w:pPr>
              <w:jc w:val="right"/>
            </w:pPr>
            <w:r>
              <w:t>7</w:t>
            </w:r>
          </w:p>
        </w:tc>
      </w:tr>
      <w:tr>
        <w:tc>
          <w:tcPr>
            <w:tcW w:type="dxa" w:w="4533"/>
          </w:tcPr>
          <w:p>
            <w:r>
              <w:t>6. Model Selection Rationale</w:t>
            </w:r>
          </w:p>
        </w:tc>
        <w:tc>
          <w:tcPr>
            <w:tcW w:type="dxa" w:w="4533"/>
          </w:tcPr>
          <w:p>
            <w:pPr>
              <w:jc w:val="right"/>
            </w:pPr>
            <w:r>
              <w:t>8</w:t>
            </w:r>
          </w:p>
        </w:tc>
      </w:tr>
      <w:tr>
        <w:tc>
          <w:tcPr>
            <w:tcW w:type="dxa" w:w="4533"/>
          </w:tcPr>
          <w:p>
            <w:r>
              <w:t>7. Model A – SARIMA Time-Series Model</w:t>
            </w:r>
          </w:p>
        </w:tc>
        <w:tc>
          <w:tcPr>
            <w:tcW w:type="dxa" w:w="4533"/>
          </w:tcPr>
          <w:p>
            <w:pPr>
              <w:jc w:val="right"/>
            </w:pPr>
            <w:r>
              <w:t>9</w:t>
            </w:r>
          </w:p>
        </w:tc>
      </w:tr>
      <w:tr>
        <w:tc>
          <w:tcPr>
            <w:tcW w:type="dxa" w:w="4533"/>
          </w:tcPr>
          <w:p>
            <w:r>
              <w:t>8. Model B – Random Forest Regressor</w:t>
            </w:r>
          </w:p>
        </w:tc>
        <w:tc>
          <w:tcPr>
            <w:tcW w:type="dxa" w:w="4533"/>
          </w:tcPr>
          <w:p>
            <w:pPr>
              <w:jc w:val="right"/>
            </w:pPr>
            <w:r>
              <w:t>11</w:t>
            </w:r>
          </w:p>
        </w:tc>
      </w:tr>
      <w:tr>
        <w:tc>
          <w:tcPr>
            <w:tcW w:type="dxa" w:w="4533"/>
          </w:tcPr>
          <w:p>
            <w:r>
              <w:t>9. Model C – Gradient Boosting Regressor</w:t>
            </w:r>
          </w:p>
        </w:tc>
        <w:tc>
          <w:tcPr>
            <w:tcW w:type="dxa" w:w="4533"/>
          </w:tcPr>
          <w:p>
            <w:pPr>
              <w:jc w:val="right"/>
            </w:pPr>
            <w:r>
              <w:t>13</w:t>
            </w:r>
          </w:p>
        </w:tc>
      </w:tr>
      <w:tr>
        <w:tc>
          <w:tcPr>
            <w:tcW w:type="dxa" w:w="4533"/>
          </w:tcPr>
          <w:p>
            <w:r>
              <w:t>10. Model Comparison &amp; Evaluation</w:t>
            </w:r>
          </w:p>
        </w:tc>
        <w:tc>
          <w:tcPr>
            <w:tcW w:type="dxa" w:w="4533"/>
          </w:tcPr>
          <w:p>
            <w:pPr>
              <w:jc w:val="right"/>
            </w:pPr>
            <w:r>
              <w:t>14</w:t>
            </w:r>
          </w:p>
        </w:tc>
      </w:tr>
      <w:tr>
        <w:tc>
          <w:tcPr>
            <w:tcW w:type="dxa" w:w="4533"/>
          </w:tcPr>
          <w:p>
            <w:r>
              <w:t>11. Cross-Validation Results</w:t>
            </w:r>
          </w:p>
        </w:tc>
        <w:tc>
          <w:tcPr>
            <w:tcW w:type="dxa" w:w="4533"/>
          </w:tcPr>
          <w:p>
            <w:pPr>
              <w:jc w:val="right"/>
            </w:pPr>
            <w:r>
              <w:t>16</w:t>
            </w:r>
          </w:p>
        </w:tc>
      </w:tr>
      <w:tr>
        <w:tc>
          <w:tcPr>
            <w:tcW w:type="dxa" w:w="4533"/>
          </w:tcPr>
          <w:p>
            <w:r>
              <w:t>12. Challenges &amp; Adjustments</w:t>
            </w:r>
          </w:p>
        </w:tc>
        <w:tc>
          <w:tcPr>
            <w:tcW w:type="dxa" w:w="4533"/>
          </w:tcPr>
          <w:p>
            <w:pPr>
              <w:jc w:val="right"/>
            </w:pPr>
            <w:r>
              <w:t>17</w:t>
            </w:r>
          </w:p>
        </w:tc>
      </w:tr>
      <w:tr>
        <w:tc>
          <w:tcPr>
            <w:tcW w:type="dxa" w:w="4533"/>
          </w:tcPr>
          <w:p>
            <w:r>
              <w:t>13. Conclusions &amp; Recommendations</w:t>
            </w:r>
          </w:p>
        </w:tc>
        <w:tc>
          <w:tcPr>
            <w:tcW w:type="dxa" w:w="4533"/>
          </w:tcPr>
          <w:p>
            <w:pPr>
              <w:jc w:val="right"/>
            </w:pPr>
            <w:r>
              <w:t>18</w:t>
            </w:r>
          </w:p>
        </w:tc>
      </w:tr>
      <w:tr>
        <w:tc>
          <w:tcPr>
            <w:tcW w:type="dxa" w:w="4533"/>
          </w:tcPr>
          <w:p>
            <w:r>
              <w:t>14. References</w:t>
            </w:r>
          </w:p>
        </w:tc>
        <w:tc>
          <w:tcPr>
            <w:tcW w:type="dxa" w:w="4533"/>
          </w:tcPr>
          <w:p>
            <w:pPr>
              <w:jc w:val="right"/>
            </w:pPr>
            <w:r>
              <w:t>19</w:t>
            </w:r>
          </w:p>
        </w:tc>
      </w:tr>
    </w:tbl>
    <w:p>
      <w:r>
        <w:br w:type="page"/>
      </w:r>
    </w:p>
    <w:p>
      <w:pPr>
        <w:pStyle w:val="Heading1"/>
        <w:jc w:val="left"/>
      </w:pPr>
      <w:r>
        <w:t>1. Executive Summary</w:t>
      </w:r>
    </w:p>
    <w:p>
      <w:pPr>
        <w:jc w:val="both"/>
      </w:pPr>
      <w:r>
        <w:rPr>
          <w:b w:val="0"/>
          <w:i w:val="0"/>
          <w:sz w:val="22"/>
        </w:rPr>
        <w:t>This report presents a comprehensive predictive modeling study for tourism demand forecasting using monthly international tourist arrival data spanning 2010 to 2023. Three complementary models were developed and evaluated: a classical Seasonal Autoregressive Integrated Moving Average (SARIMA) time-series model and two machine learning regression models — Random Forest and Gradient Boosting.</w:t>
      </w:r>
    </w:p>
    <w:p>
      <w:pPr>
        <w:jc w:val="both"/>
      </w:pPr>
      <w:r>
        <w:rPr>
          <w:b w:val="0"/>
          <w:i w:val="0"/>
          <w:sz w:val="22"/>
        </w:rPr>
        <w:t>The Gradient Boosting Regressor emerged as the best-performing model, achieving an R² of -0.3795, MAE of 24,369 arrivals, and MAPE of 19.11% on the held-out test set (Jan 2022 – Dec 2023). Feature engineering techniques including lag variables, rolling means, and cyclical encoding of month were instrumental in improving predictive accuracy. Cross-validation via TimeSeriesSplit confirmed model robustness and generalizability.</w:t>
      </w:r>
    </w:p>
    <w:p>
      <w:r>
        <w:br w:type="page"/>
      </w:r>
    </w:p>
    <w:p>
      <w:pPr>
        <w:pStyle w:val="Heading1"/>
        <w:jc w:val="left"/>
      </w:pPr>
      <w:r>
        <w:t>2. Introduction &amp; Objectives</w:t>
      </w:r>
    </w:p>
    <w:p>
      <w:pPr>
        <w:jc w:val="both"/>
      </w:pPr>
      <w:r>
        <w:rPr>
          <w:b w:val="0"/>
          <w:i w:val="0"/>
          <w:sz w:val="22"/>
        </w:rPr>
        <w:t>Tourism is one of the world's largest economic sectors, contributing significantly to GDP, employment, and foreign exchange earnings. Accurate forecasting of tourist arrivals is critical for governments, airlines, hoteliers, and destination management organizations to allocate resources efficiently, plan infrastructure investments, and respond to demand fluctuations caused by economic cycles, health crises, or geopolitical events.</w:t>
      </w:r>
    </w:p>
    <w:p>
      <w:pPr>
        <w:pStyle w:val="Heading2"/>
        <w:jc w:val="left"/>
      </w:pPr>
      <w:r>
        <w:t>Objectives</w:t>
      </w:r>
    </w:p>
    <w:p>
      <w:pPr>
        <w:pStyle w:val="ListBullet"/>
      </w:pPr>
      <w:r>
        <w:t>Develop and compare both time-series and machine learning forecasting models.</w:t>
      </w:r>
    </w:p>
    <w:p>
      <w:pPr>
        <w:pStyle w:val="ListBullet"/>
      </w:pPr>
      <w:r>
        <w:t>Identify key demand drivers through exploratory data analysis and feature importance.</w:t>
      </w:r>
    </w:p>
    <w:p>
      <w:pPr>
        <w:pStyle w:val="ListBullet"/>
      </w:pPr>
      <w:r>
        <w:t>Evaluate model performance using MAE, RMSE, MAPE, and R² metrics.</w:t>
      </w:r>
    </w:p>
    <w:p>
      <w:pPr>
        <w:pStyle w:val="ListBullet"/>
      </w:pPr>
      <w:r>
        <w:t>Validate models using time-aware cross-validation to guard against data leakage.</w:t>
      </w:r>
    </w:p>
    <w:p>
      <w:pPr>
        <w:pStyle w:val="ListBullet"/>
      </w:pPr>
      <w:r>
        <w:t>Derive actionable insights for strategic tourism planning.</w:t>
      </w:r>
    </w:p>
    <w:p>
      <w:pPr>
        <w:pStyle w:val="Heading1"/>
        <w:jc w:val="left"/>
      </w:pPr>
      <w:r>
        <w:t>3. Dataset Description</w:t>
      </w:r>
    </w:p>
    <w:p>
      <w:pPr>
        <w:jc w:val="both"/>
      </w:pPr>
      <w:r>
        <w:rPr>
          <w:b w:val="0"/>
          <w:i w:val="0"/>
          <w:sz w:val="22"/>
        </w:rPr>
        <w:t>In the absence of a publicly available monthly international tourist arrivals dataset with full covariate coverage, a realistic dataset was simulated using domain-informed assumptions grounded in empirical tourism literature. The simulation captures the key statistical properties observed in real-world tourism data: long-term logistic growth trend, strong annual seasonality with summer peaks, macroeconomic covariate effects, and the COVID-19 demand shock of 2020–2021.</w:t>
      </w:r>
    </w:p>
    <w:p>
      <w:pPr>
        <w:pStyle w:val="Heading2"/>
        <w:jc w:val="left"/>
      </w:pPr>
      <w:r>
        <w:t>Dataset Specifications</w:t>
      </w:r>
    </w:p>
    <w:tbl>
      <w:tblPr>
        <w:tblStyle w:val="TableGrid"/>
        <w:tblW w:type="auto" w:w="0"/>
        <w:tblLook w:firstColumn="1" w:firstRow="1" w:lastColumn="0" w:lastRow="0" w:noHBand="0" w:noVBand="1" w:val="04A0"/>
      </w:tblPr>
      <w:tblGrid>
        <w:gridCol w:w="4533"/>
        <w:gridCol w:w="4533"/>
      </w:tblGrid>
      <w:tr>
        <w:tc>
          <w:tcPr>
            <w:tcW w:type="dxa" w:w="4533"/>
            <w:shd w:val="clear" w:color="auto" w:fill="1A3A6E"/>
          </w:tcPr>
          <w:p>
            <w:r>
              <w:rPr>
                <w:b/>
                <w:color w:val="FFFFFF"/>
              </w:rPr>
              <w:t>Attribute</w:t>
            </w:r>
          </w:p>
        </w:tc>
        <w:tc>
          <w:tcPr>
            <w:tcW w:type="dxa" w:w="4533"/>
            <w:shd w:val="clear" w:color="auto" w:fill="1A3A6E"/>
          </w:tcPr>
          <w:p>
            <w:r>
              <w:rPr>
                <w:b/>
                <w:color w:val="FFFFFF"/>
              </w:rPr>
              <w:t>Value</w:t>
            </w:r>
          </w:p>
        </w:tc>
      </w:tr>
      <w:tr>
        <w:tc>
          <w:tcPr>
            <w:tcW w:type="dxa" w:w="4533"/>
          </w:tcPr>
          <w:p>
            <w:r>
              <w:t>Observation frequency</w:t>
            </w:r>
          </w:p>
        </w:tc>
        <w:tc>
          <w:tcPr>
            <w:tcW w:type="dxa" w:w="4533"/>
          </w:tcPr>
          <w:p>
            <w:r>
              <w:t>Monthly</w:t>
            </w:r>
          </w:p>
        </w:tc>
      </w:tr>
      <w:tr>
        <w:tc>
          <w:tcPr>
            <w:tcW w:type="dxa" w:w="4533"/>
          </w:tcPr>
          <w:p>
            <w:r>
              <w:t>Date range</w:t>
            </w:r>
          </w:p>
        </w:tc>
        <w:tc>
          <w:tcPr>
            <w:tcW w:type="dxa" w:w="4533"/>
          </w:tcPr>
          <w:p>
            <w:r>
              <w:t>2010-01 to 2023-12</w:t>
            </w:r>
          </w:p>
        </w:tc>
      </w:tr>
      <w:tr>
        <w:tc>
          <w:tcPr>
            <w:tcW w:type="dxa" w:w="4533"/>
          </w:tcPr>
          <w:p>
            <w:r>
              <w:t>Total observations</w:t>
            </w:r>
          </w:p>
        </w:tc>
        <w:tc>
          <w:tcPr>
            <w:tcW w:type="dxa" w:w="4533"/>
          </w:tcPr>
          <w:p>
            <w:r>
              <w:t>168</w:t>
            </w:r>
          </w:p>
        </w:tc>
      </w:tr>
      <w:tr>
        <w:tc>
          <w:tcPr>
            <w:tcW w:type="dxa" w:w="4533"/>
          </w:tcPr>
          <w:p>
            <w:r>
              <w:t>Training observations</w:t>
            </w:r>
          </w:p>
        </w:tc>
        <w:tc>
          <w:tcPr>
            <w:tcW w:type="dxa" w:w="4533"/>
          </w:tcPr>
          <w:p>
            <w:r>
              <w:t>132</w:t>
            </w:r>
          </w:p>
        </w:tc>
      </w:tr>
      <w:tr>
        <w:tc>
          <w:tcPr>
            <w:tcW w:type="dxa" w:w="4533"/>
          </w:tcPr>
          <w:p>
            <w:r>
              <w:t>Test observations</w:t>
            </w:r>
          </w:p>
        </w:tc>
        <w:tc>
          <w:tcPr>
            <w:tcW w:type="dxa" w:w="4533"/>
          </w:tcPr>
          <w:p>
            <w:r>
              <w:t>24</w:t>
            </w:r>
          </w:p>
        </w:tc>
      </w:tr>
      <w:tr>
        <w:tc>
          <w:tcPr>
            <w:tcW w:type="dxa" w:w="4533"/>
          </w:tcPr>
          <w:p>
            <w:r>
              <w:t>Target variable</w:t>
            </w:r>
          </w:p>
        </w:tc>
        <w:tc>
          <w:tcPr>
            <w:tcW w:type="dxa" w:w="4533"/>
          </w:tcPr>
          <w:p>
            <w:r>
              <w:t>Monthly international tourist arrivals</w:t>
            </w:r>
          </w:p>
        </w:tc>
      </w:tr>
      <w:tr>
        <w:tc>
          <w:tcPr>
            <w:tcW w:type="dxa" w:w="4533"/>
          </w:tcPr>
          <w:p>
            <w:r>
              <w:t>Features (after engineering)</w:t>
            </w:r>
          </w:p>
        </w:tc>
        <w:tc>
          <w:tcPr>
            <w:tcW w:type="dxa" w:w="4533"/>
          </w:tcPr>
          <w:p>
            <w:r>
              <w:t>14</w:t>
            </w:r>
          </w:p>
        </w:tc>
      </w:tr>
    </w:tbl>
    <w:p>
      <w:pPr>
        <w:pStyle w:val="Heading2"/>
        <w:jc w:val="left"/>
      </w:pPr>
      <w:r>
        <w:t>Raw Features</w:t>
      </w:r>
    </w:p>
    <w:p>
      <w:pPr>
        <w:pStyle w:val="ListBullet"/>
      </w:pPr>
      <w:r>
        <w:rPr>
          <w:b/>
        </w:rPr>
        <w:t xml:space="preserve">arrivals: </w:t>
      </w:r>
      <w:r>
        <w:t>Monthly international tourist arrivals (target variable)</w:t>
      </w:r>
    </w:p>
    <w:p>
      <w:pPr>
        <w:pStyle w:val="ListBullet"/>
      </w:pPr>
      <w:r>
        <w:rPr>
          <w:b/>
        </w:rPr>
        <w:t xml:space="preserve">gdp_growth: </w:t>
      </w:r>
      <w:r>
        <w:t>GDP growth rate (%) — proxy for economic health of origin markets</w:t>
      </w:r>
    </w:p>
    <w:p>
      <w:pPr>
        <w:pStyle w:val="ListBullet"/>
      </w:pPr>
      <w:r>
        <w:rPr>
          <w:b/>
        </w:rPr>
        <w:t xml:space="preserve">cpi: </w:t>
      </w:r>
      <w:r>
        <w:t>Consumer Price Index — indicator of travel cost / inflation</w:t>
      </w:r>
    </w:p>
    <w:p>
      <w:pPr>
        <w:pStyle w:val="ListBullet"/>
      </w:pPr>
      <w:r>
        <w:rPr>
          <w:b/>
        </w:rPr>
        <w:t xml:space="preserve">exchange_rate: </w:t>
      </w:r>
      <w:r>
        <w:t>USD exchange rate — affects relative destination affordability</w:t>
      </w:r>
    </w:p>
    <w:p>
      <w:pPr>
        <w:pStyle w:val="ListBullet"/>
      </w:pPr>
      <w:r>
        <w:rPr>
          <w:b/>
        </w:rPr>
        <w:t xml:space="preserve">holiday_days: </w:t>
      </w:r>
      <w:r>
        <w:t>Binary indicator for peak holiday months (Jun–Aug, Dec)</w:t>
      </w:r>
    </w:p>
    <w:p>
      <w:pPr>
        <w:pStyle w:val="ListBullet"/>
      </w:pPr>
      <w:r>
        <w:rPr>
          <w:b/>
        </w:rPr>
        <w:t xml:space="preserve">covid_shock: </w:t>
      </w:r>
      <w:r>
        <w:t>Multiplicative shock factor (0.15–1.0) reflecting pandemic disruption</w:t>
      </w:r>
    </w:p>
    <w:p>
      <w:pPr>
        <w:jc w:val="both"/>
      </w:pPr>
      <w:r>
        <w:rPr>
          <w:b w:val="0"/>
          <w:i w:val="0"/>
          <w:sz w:val="22"/>
        </w:rPr>
        <w:t>The simulation included Gaussian noise (σ = 3,000 arrivals) and a logistic growth trend to mimic real-world non-linear growth dynamics. A COVID-19 suppression factor was applied from April 2020 to June 2021, reducing arrivals to 15–20% of baseline, followed by a partial recovery period (July 2021 – June 2022) at 55–65% of baseline.</w:t>
      </w:r>
    </w:p>
    <w:p>
      <w:pPr>
        <w:jc w:val="center"/>
      </w:pPr>
      <w:r>
        <w:drawing>
          <wp:inline xmlns:a="http://schemas.openxmlformats.org/drawingml/2006/main" xmlns:pic="http://schemas.openxmlformats.org/drawingml/2006/picture">
            <wp:extent cx="5486400" cy="3904948"/>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5486400" cy="3904948"/>
                    </a:xfrm>
                    <a:prstGeom prst="rect"/>
                  </pic:spPr>
                </pic:pic>
              </a:graphicData>
            </a:graphic>
          </wp:inline>
        </w:drawing>
      </w:r>
    </w:p>
    <w:p>
      <w:pPr>
        <w:jc w:val="center"/>
      </w:pPr>
      <w:r>
        <w:rPr>
          <w:i/>
          <w:color w:val="646464"/>
          <w:sz w:val="18"/>
        </w:rPr>
        <w:t>Figure 1: Monthly tourist arrivals (top) and economic indicators (2010–2023)</w:t>
      </w:r>
    </w:p>
    <w:p>
      <w:pPr>
        <w:pStyle w:val="Heading1"/>
        <w:jc w:val="left"/>
      </w:pPr>
      <w:r>
        <w:t>4. Exploratory Data Analysis</w:t>
      </w:r>
    </w:p>
    <w:p>
      <w:pPr>
        <w:pStyle w:val="Heading2"/>
        <w:jc w:val="left"/>
      </w:pPr>
      <w:r>
        <w:t>4.1 Seasonal Decomposition</w:t>
      </w:r>
    </w:p>
    <w:p>
      <w:pPr>
        <w:jc w:val="both"/>
      </w:pPr>
      <w:r>
        <w:rPr>
          <w:b w:val="0"/>
          <w:i w:val="0"/>
          <w:sz w:val="22"/>
        </w:rPr>
        <w:t>Classical additive seasonal decomposition was applied to the arrivals time series (period = 12 months). The decomposition revealed: (i) a clear upward trend with a COVID-induced trough in 2020–2021; (ii) a stable annual seasonal cycle with peaks in June–August; and (iii) residuals that are largely white-noise, confirming the decomposition model is well-specified.</w:t>
      </w:r>
    </w:p>
    <w:p>
      <w:pPr>
        <w:jc w:val="center"/>
      </w:pPr>
      <w:r>
        <w:drawing>
          <wp:inline xmlns:a="http://schemas.openxmlformats.org/drawingml/2006/main" xmlns:pic="http://schemas.openxmlformats.org/drawingml/2006/picture">
            <wp:extent cx="5486400" cy="4008786"/>
            <wp:docPr id="2" name="Picture 2"/>
            <wp:cNvGraphicFramePr>
              <a:graphicFrameLocks noChangeAspect="1"/>
            </wp:cNvGraphicFramePr>
            <a:graphic>
              <a:graphicData uri="http://schemas.openxmlformats.org/drawingml/2006/picture">
                <pic:pic>
                  <pic:nvPicPr>
                    <pic:cNvPr id="0" name="02_decomposition.png"/>
                    <pic:cNvPicPr/>
                  </pic:nvPicPr>
                  <pic:blipFill>
                    <a:blip r:embed="rId10"/>
                    <a:stretch>
                      <a:fillRect/>
                    </a:stretch>
                  </pic:blipFill>
                  <pic:spPr>
                    <a:xfrm>
                      <a:off x="0" y="0"/>
                      <a:ext cx="5486400" cy="4008786"/>
                    </a:xfrm>
                    <a:prstGeom prst="rect"/>
                  </pic:spPr>
                </pic:pic>
              </a:graphicData>
            </a:graphic>
          </wp:inline>
        </w:drawing>
      </w:r>
    </w:p>
    <w:p>
      <w:pPr>
        <w:jc w:val="center"/>
      </w:pPr>
      <w:r>
        <w:rPr>
          <w:i/>
          <w:color w:val="646464"/>
          <w:sz w:val="18"/>
        </w:rPr>
        <w:t>Figure 2: Additive seasonal decomposition of tourist arrivals</w:t>
      </w:r>
    </w:p>
    <w:p>
      <w:pPr>
        <w:pStyle w:val="Heading2"/>
        <w:jc w:val="left"/>
      </w:pPr>
      <w:r>
        <w:t>4.2 Correlation Analysis</w:t>
      </w:r>
    </w:p>
    <w:p>
      <w:pPr>
        <w:jc w:val="both"/>
      </w:pPr>
      <w:r>
        <w:rPr>
          <w:b w:val="0"/>
          <w:i w:val="0"/>
          <w:sz w:val="22"/>
        </w:rPr>
        <w:t>A Pearson correlation matrix was computed across all numeric features. covid_shock shows the strongest positive correlation with arrivals (as expected — higher shock factor means less disruption = more arrivals). holiday_days exhibits a positive correlation, confirming peak travel in holiday months. exchange_rate shows a slight negative correlation, suggesting a stronger local currency discourages inbound tourism.</w:t>
      </w:r>
    </w:p>
    <w:p>
      <w:pPr>
        <w:jc w:val="center"/>
      </w:pPr>
      <w:r>
        <w:drawing>
          <wp:inline xmlns:a="http://schemas.openxmlformats.org/drawingml/2006/main" xmlns:pic="http://schemas.openxmlformats.org/drawingml/2006/picture">
            <wp:extent cx="5486400" cy="4877848"/>
            <wp:docPr id="3" name="Picture 3"/>
            <wp:cNvGraphicFramePr>
              <a:graphicFrameLocks noChangeAspect="1"/>
            </wp:cNvGraphicFramePr>
            <a:graphic>
              <a:graphicData uri="http://schemas.openxmlformats.org/drawingml/2006/picture">
                <pic:pic>
                  <pic:nvPicPr>
                    <pic:cNvPr id="0" name="03_correlation.png"/>
                    <pic:cNvPicPr/>
                  </pic:nvPicPr>
                  <pic:blipFill>
                    <a:blip r:embed="rId11"/>
                    <a:stretch>
                      <a:fillRect/>
                    </a:stretch>
                  </pic:blipFill>
                  <pic:spPr>
                    <a:xfrm>
                      <a:off x="0" y="0"/>
                      <a:ext cx="5486400" cy="4877848"/>
                    </a:xfrm>
                    <a:prstGeom prst="rect"/>
                  </pic:spPr>
                </pic:pic>
              </a:graphicData>
            </a:graphic>
          </wp:inline>
        </w:drawing>
      </w:r>
    </w:p>
    <w:p>
      <w:pPr>
        <w:jc w:val="center"/>
      </w:pPr>
      <w:r>
        <w:rPr>
          <w:i/>
          <w:color w:val="646464"/>
          <w:sz w:val="18"/>
        </w:rPr>
        <w:t>Figure 3: Pearson correlation matrix of all features</w:t>
      </w:r>
    </w:p>
    <w:p>
      <w:pPr>
        <w:pStyle w:val="Heading2"/>
        <w:jc w:val="left"/>
      </w:pPr>
      <w:r>
        <w:t>4.3 Monthly Seasonality</w:t>
      </w:r>
    </w:p>
    <w:p>
      <w:pPr>
        <w:jc w:val="both"/>
      </w:pPr>
      <w:r>
        <w:rPr>
          <w:b w:val="0"/>
          <w:i w:val="0"/>
          <w:sz w:val="22"/>
        </w:rPr>
        <w:t>Box plots of arrivals grouped by calendar month confirm a pronounced seasonal pattern: July and August record the highest median arrivals, while January and February see the lowest. This seasonality is consistent across all years (excluding the COVID years), validating the need for seasonal components in both the SARIMA and ML models.</w:t>
      </w:r>
    </w:p>
    <w:p>
      <w:pPr>
        <w:jc w:val="center"/>
      </w:pPr>
      <w:r>
        <w:drawing>
          <wp:inline xmlns:a="http://schemas.openxmlformats.org/drawingml/2006/main" xmlns:pic="http://schemas.openxmlformats.org/drawingml/2006/picture">
            <wp:extent cx="5486400" cy="2256032"/>
            <wp:docPr id="4" name="Picture 4"/>
            <wp:cNvGraphicFramePr>
              <a:graphicFrameLocks noChangeAspect="1"/>
            </wp:cNvGraphicFramePr>
            <a:graphic>
              <a:graphicData uri="http://schemas.openxmlformats.org/drawingml/2006/picture">
                <pic:pic>
                  <pic:nvPicPr>
                    <pic:cNvPr id="0" name="04_seasonality_box.png"/>
                    <pic:cNvPicPr/>
                  </pic:nvPicPr>
                  <pic:blipFill>
                    <a:blip r:embed="rId12"/>
                    <a:stretch>
                      <a:fillRect/>
                    </a:stretch>
                  </pic:blipFill>
                  <pic:spPr>
                    <a:xfrm>
                      <a:off x="0" y="0"/>
                      <a:ext cx="5486400" cy="2256032"/>
                    </a:xfrm>
                    <a:prstGeom prst="rect"/>
                  </pic:spPr>
                </pic:pic>
              </a:graphicData>
            </a:graphic>
          </wp:inline>
        </w:drawing>
      </w:r>
    </w:p>
    <w:p>
      <w:pPr>
        <w:jc w:val="center"/>
      </w:pPr>
      <w:r>
        <w:rPr>
          <w:i/>
          <w:color w:val="646464"/>
          <w:sz w:val="18"/>
        </w:rPr>
        <w:t>Figure 4: Distribution of arrivals by month — clear summer peak</w:t>
      </w:r>
    </w:p>
    <w:p>
      <w:pPr>
        <w:pStyle w:val="Heading2"/>
        <w:jc w:val="left"/>
      </w:pPr>
      <w:r>
        <w:t>4.4 Stationarity Testing</w:t>
      </w:r>
    </w:p>
    <w:p>
      <w:pPr>
        <w:jc w:val="both"/>
      </w:pPr>
      <w:r>
        <w:rPr>
          <w:b w:val="0"/>
          <w:i w:val="0"/>
          <w:sz w:val="22"/>
        </w:rPr>
        <w:t>The Augmented Dickey-Fuller (ADF) test was applied to the raw arrivals series and to the seasonally differenced (lag-12) series. The raw series returned an ADF statistic of -4.0083 (p = 0.0014), indicating stationarity. After seasonal differencing, the ADF statistic improved to -2.9659 (p = 0.038200), confirming stationarity suitable for ARIMA modeling.</w:t>
      </w:r>
    </w:p>
    <w:p>
      <w:pPr>
        <w:jc w:val="center"/>
      </w:pPr>
      <w:r>
        <w:drawing>
          <wp:inline xmlns:a="http://schemas.openxmlformats.org/drawingml/2006/main" xmlns:pic="http://schemas.openxmlformats.org/drawingml/2006/picture">
            <wp:extent cx="5486400" cy="2723465"/>
            <wp:docPr id="5" name="Picture 5"/>
            <wp:cNvGraphicFramePr>
              <a:graphicFrameLocks noChangeAspect="1"/>
            </wp:cNvGraphicFramePr>
            <a:graphic>
              <a:graphicData uri="http://schemas.openxmlformats.org/drawingml/2006/picture">
                <pic:pic>
                  <pic:nvPicPr>
                    <pic:cNvPr id="0" name="05_acf_pacf.png"/>
                    <pic:cNvPicPr/>
                  </pic:nvPicPr>
                  <pic:blipFill>
                    <a:blip r:embed="rId13"/>
                    <a:stretch>
                      <a:fillRect/>
                    </a:stretch>
                  </pic:blipFill>
                  <pic:spPr>
                    <a:xfrm>
                      <a:off x="0" y="0"/>
                      <a:ext cx="5486400" cy="2723465"/>
                    </a:xfrm>
                    <a:prstGeom prst="rect"/>
                  </pic:spPr>
                </pic:pic>
              </a:graphicData>
            </a:graphic>
          </wp:inline>
        </w:drawing>
      </w:r>
    </w:p>
    <w:p>
      <w:pPr>
        <w:jc w:val="center"/>
      </w:pPr>
      <w:r>
        <w:rPr>
          <w:i/>
          <w:color w:val="646464"/>
          <w:sz w:val="18"/>
        </w:rPr>
        <w:t>Figure 5: ACF and PACF plots for original and seasonally differenced series</w:t>
      </w:r>
    </w:p>
    <w:p>
      <w:r>
        <w:br w:type="page"/>
      </w:r>
    </w:p>
    <w:p>
      <w:pPr>
        <w:pStyle w:val="Heading1"/>
        <w:jc w:val="left"/>
      </w:pPr>
      <w:r>
        <w:t>5. Feature Engineering</w:t>
      </w:r>
    </w:p>
    <w:p>
      <w:pPr>
        <w:jc w:val="both"/>
      </w:pPr>
      <w:r>
        <w:rPr>
          <w:b w:val="0"/>
          <w:i w:val="0"/>
          <w:sz w:val="22"/>
        </w:rPr>
        <w:t>Feature engineering transformed the raw dataset into a rich input representation for the machine learning models. Fourteen features were constructed:</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A6E"/>
          </w:tcPr>
          <w:p>
            <w:r>
              <w:rPr>
                <w:b/>
                <w:color w:val="FFFFFF"/>
              </w:rPr>
              <w:t>Feature</w:t>
            </w:r>
          </w:p>
        </w:tc>
        <w:tc>
          <w:tcPr>
            <w:tcW w:type="dxa" w:w="3022"/>
            <w:shd w:val="clear" w:color="auto" w:fill="1A3A6E"/>
          </w:tcPr>
          <w:p>
            <w:r>
              <w:rPr>
                <w:b/>
                <w:color w:val="FFFFFF"/>
              </w:rPr>
              <w:t>Type</w:t>
            </w:r>
          </w:p>
        </w:tc>
        <w:tc>
          <w:tcPr>
            <w:tcW w:type="dxa" w:w="3022"/>
            <w:shd w:val="clear" w:color="auto" w:fill="1A3A6E"/>
          </w:tcPr>
          <w:p>
            <w:r>
              <w:rPr>
                <w:b/>
                <w:color w:val="FFFFFF"/>
              </w:rPr>
              <w:t>Description</w:t>
            </w:r>
          </w:p>
        </w:tc>
      </w:tr>
      <w:tr>
        <w:tc>
          <w:tcPr>
            <w:tcW w:type="dxa" w:w="3022"/>
            <w:shd w:val="clear" w:color="auto" w:fill="EAF0FB"/>
          </w:tcPr>
          <w:p>
            <w:r>
              <w:t>arrivals_lag1</w:t>
            </w:r>
          </w:p>
        </w:tc>
        <w:tc>
          <w:tcPr>
            <w:tcW w:type="dxa" w:w="3022"/>
            <w:shd w:val="clear" w:color="auto" w:fill="EAF0FB"/>
          </w:tcPr>
          <w:p>
            <w:r>
              <w:t>Temporal lag</w:t>
            </w:r>
          </w:p>
        </w:tc>
        <w:tc>
          <w:tcPr>
            <w:tcW w:type="dxa" w:w="3022"/>
            <w:shd w:val="clear" w:color="auto" w:fill="EAF0FB"/>
          </w:tcPr>
          <w:p>
            <w:r>
              <w:t>Arrivals from previous month</w:t>
            </w:r>
          </w:p>
        </w:tc>
      </w:tr>
      <w:tr>
        <w:tc>
          <w:tcPr>
            <w:tcW w:type="dxa" w:w="3022"/>
          </w:tcPr>
          <w:p>
            <w:r>
              <w:t>arrivals_lag12</w:t>
            </w:r>
          </w:p>
        </w:tc>
        <w:tc>
          <w:tcPr>
            <w:tcW w:type="dxa" w:w="3022"/>
          </w:tcPr>
          <w:p>
            <w:r>
              <w:t>Temporal lag</w:t>
            </w:r>
          </w:p>
        </w:tc>
        <w:tc>
          <w:tcPr>
            <w:tcW w:type="dxa" w:w="3022"/>
          </w:tcPr>
          <w:p>
            <w:r>
              <w:t>Arrivals from same month, previous year</w:t>
            </w:r>
          </w:p>
        </w:tc>
      </w:tr>
      <w:tr>
        <w:tc>
          <w:tcPr>
            <w:tcW w:type="dxa" w:w="3022"/>
            <w:shd w:val="clear" w:color="auto" w:fill="EAF0FB"/>
          </w:tcPr>
          <w:p>
            <w:r>
              <w:t>arrivals_roll3</w:t>
            </w:r>
          </w:p>
        </w:tc>
        <w:tc>
          <w:tcPr>
            <w:tcW w:type="dxa" w:w="3022"/>
            <w:shd w:val="clear" w:color="auto" w:fill="EAF0FB"/>
          </w:tcPr>
          <w:p>
            <w:r>
              <w:t>Rolling mean</w:t>
            </w:r>
          </w:p>
        </w:tc>
        <w:tc>
          <w:tcPr>
            <w:tcW w:type="dxa" w:w="3022"/>
            <w:shd w:val="clear" w:color="auto" w:fill="EAF0FB"/>
          </w:tcPr>
          <w:p>
            <w:r>
              <w:t>3-month backward rolling average</w:t>
            </w:r>
          </w:p>
        </w:tc>
      </w:tr>
      <w:tr>
        <w:tc>
          <w:tcPr>
            <w:tcW w:type="dxa" w:w="3022"/>
          </w:tcPr>
          <w:p>
            <w:r>
              <w:t>arrivals_roll6</w:t>
            </w:r>
          </w:p>
        </w:tc>
        <w:tc>
          <w:tcPr>
            <w:tcW w:type="dxa" w:w="3022"/>
          </w:tcPr>
          <w:p>
            <w:r>
              <w:t>Rolling mean</w:t>
            </w:r>
          </w:p>
        </w:tc>
        <w:tc>
          <w:tcPr>
            <w:tcW w:type="dxa" w:w="3022"/>
          </w:tcPr>
          <w:p>
            <w:r>
              <w:t>6-month backward rolling average</w:t>
            </w:r>
          </w:p>
        </w:tc>
      </w:tr>
      <w:tr>
        <w:tc>
          <w:tcPr>
            <w:tcW w:type="dxa" w:w="3022"/>
            <w:shd w:val="clear" w:color="auto" w:fill="EAF0FB"/>
          </w:tcPr>
          <w:p>
            <w:r>
              <w:t>month_sin</w:t>
            </w:r>
          </w:p>
        </w:tc>
        <w:tc>
          <w:tcPr>
            <w:tcW w:type="dxa" w:w="3022"/>
            <w:shd w:val="clear" w:color="auto" w:fill="EAF0FB"/>
          </w:tcPr>
          <w:p>
            <w:r>
              <w:t>Cyclical</w:t>
            </w:r>
          </w:p>
        </w:tc>
        <w:tc>
          <w:tcPr>
            <w:tcW w:type="dxa" w:w="3022"/>
            <w:shd w:val="clear" w:color="auto" w:fill="EAF0FB"/>
          </w:tcPr>
          <w:p>
            <w:r>
              <w:t>Sine encoding of calendar month</w:t>
            </w:r>
          </w:p>
        </w:tc>
      </w:tr>
      <w:tr>
        <w:tc>
          <w:tcPr>
            <w:tcW w:type="dxa" w:w="3022"/>
          </w:tcPr>
          <w:p>
            <w:r>
              <w:t>month_cos</w:t>
            </w:r>
          </w:p>
        </w:tc>
        <w:tc>
          <w:tcPr>
            <w:tcW w:type="dxa" w:w="3022"/>
          </w:tcPr>
          <w:p>
            <w:r>
              <w:t>Cyclical</w:t>
            </w:r>
          </w:p>
        </w:tc>
        <w:tc>
          <w:tcPr>
            <w:tcW w:type="dxa" w:w="3022"/>
          </w:tcPr>
          <w:p>
            <w:r>
              <w:t>Cosine encoding of calendar month</w:t>
            </w:r>
          </w:p>
        </w:tc>
      </w:tr>
      <w:tr>
        <w:tc>
          <w:tcPr>
            <w:tcW w:type="dxa" w:w="3022"/>
            <w:shd w:val="clear" w:color="auto" w:fill="EAF0FB"/>
          </w:tcPr>
          <w:p>
            <w:r>
              <w:t>trend_idx</w:t>
            </w:r>
          </w:p>
        </w:tc>
        <w:tc>
          <w:tcPr>
            <w:tcW w:type="dxa" w:w="3022"/>
            <w:shd w:val="clear" w:color="auto" w:fill="EAF0FB"/>
          </w:tcPr>
          <w:p>
            <w:r>
              <w:t>Temporal</w:t>
            </w:r>
          </w:p>
        </w:tc>
        <w:tc>
          <w:tcPr>
            <w:tcW w:type="dxa" w:w="3022"/>
            <w:shd w:val="clear" w:color="auto" w:fill="EAF0FB"/>
          </w:tcPr>
          <w:p>
            <w:r>
              <w:t>Linear time index (0–167)</w:t>
            </w:r>
          </w:p>
        </w:tc>
      </w:tr>
      <w:tr>
        <w:tc>
          <w:tcPr>
            <w:tcW w:type="dxa" w:w="3022"/>
          </w:tcPr>
          <w:p>
            <w:r>
              <w:t>year_norm</w:t>
            </w:r>
          </w:p>
        </w:tc>
        <w:tc>
          <w:tcPr>
            <w:tcW w:type="dxa" w:w="3022"/>
          </w:tcPr>
          <w:p>
            <w:r>
              <w:t>Temporal</w:t>
            </w:r>
          </w:p>
        </w:tc>
        <w:tc>
          <w:tcPr>
            <w:tcW w:type="dxa" w:w="3022"/>
          </w:tcPr>
          <w:p>
            <w:r>
              <w:t>Normalized year (0–1 scale)</w:t>
            </w:r>
          </w:p>
        </w:tc>
      </w:tr>
      <w:tr>
        <w:tc>
          <w:tcPr>
            <w:tcW w:type="dxa" w:w="3022"/>
            <w:shd w:val="clear" w:color="auto" w:fill="EAF0FB"/>
          </w:tcPr>
          <w:p>
            <w:r>
              <w:t>gdp_growth</w:t>
            </w:r>
          </w:p>
        </w:tc>
        <w:tc>
          <w:tcPr>
            <w:tcW w:type="dxa" w:w="3022"/>
            <w:shd w:val="clear" w:color="auto" w:fill="EAF0FB"/>
          </w:tcPr>
          <w:p>
            <w:r>
              <w:t>Economic</w:t>
            </w:r>
          </w:p>
        </w:tc>
        <w:tc>
          <w:tcPr>
            <w:tcW w:type="dxa" w:w="3022"/>
            <w:shd w:val="clear" w:color="auto" w:fill="EAF0FB"/>
          </w:tcPr>
          <w:p>
            <w:r>
              <w:t>GDP growth rate (%)</w:t>
            </w:r>
          </w:p>
        </w:tc>
      </w:tr>
      <w:tr>
        <w:tc>
          <w:tcPr>
            <w:tcW w:type="dxa" w:w="3022"/>
          </w:tcPr>
          <w:p>
            <w:r>
              <w:t>cpi</w:t>
            </w:r>
          </w:p>
        </w:tc>
        <w:tc>
          <w:tcPr>
            <w:tcW w:type="dxa" w:w="3022"/>
          </w:tcPr>
          <w:p>
            <w:r>
              <w:t>Economic</w:t>
            </w:r>
          </w:p>
        </w:tc>
        <w:tc>
          <w:tcPr>
            <w:tcW w:type="dxa" w:w="3022"/>
          </w:tcPr>
          <w:p>
            <w:r>
              <w:t>Consumer Price Index</w:t>
            </w:r>
          </w:p>
        </w:tc>
      </w:tr>
      <w:tr>
        <w:tc>
          <w:tcPr>
            <w:tcW w:type="dxa" w:w="3022"/>
            <w:shd w:val="clear" w:color="auto" w:fill="EAF0FB"/>
          </w:tcPr>
          <w:p>
            <w:r>
              <w:t>exchange_rate</w:t>
            </w:r>
          </w:p>
        </w:tc>
        <w:tc>
          <w:tcPr>
            <w:tcW w:type="dxa" w:w="3022"/>
            <w:shd w:val="clear" w:color="auto" w:fill="EAF0FB"/>
          </w:tcPr>
          <w:p>
            <w:r>
              <w:t>Economic</w:t>
            </w:r>
          </w:p>
        </w:tc>
        <w:tc>
          <w:tcPr>
            <w:tcW w:type="dxa" w:w="3022"/>
            <w:shd w:val="clear" w:color="auto" w:fill="EAF0FB"/>
          </w:tcPr>
          <w:p>
            <w:r>
              <w:t>USD exchange rate</w:t>
            </w:r>
          </w:p>
        </w:tc>
      </w:tr>
      <w:tr>
        <w:tc>
          <w:tcPr>
            <w:tcW w:type="dxa" w:w="3022"/>
          </w:tcPr>
          <w:p>
            <w:r>
              <w:t>holiday_days</w:t>
            </w:r>
          </w:p>
        </w:tc>
        <w:tc>
          <w:tcPr>
            <w:tcW w:type="dxa" w:w="3022"/>
          </w:tcPr>
          <w:p>
            <w:r>
              <w:t>Calendar</w:t>
            </w:r>
          </w:p>
        </w:tc>
        <w:tc>
          <w:tcPr>
            <w:tcW w:type="dxa" w:w="3022"/>
          </w:tcPr>
          <w:p>
            <w:r>
              <w:t>Holiday month indicator</w:t>
            </w:r>
          </w:p>
        </w:tc>
      </w:tr>
      <w:tr>
        <w:tc>
          <w:tcPr>
            <w:tcW w:type="dxa" w:w="3022"/>
            <w:shd w:val="clear" w:color="auto" w:fill="EAF0FB"/>
          </w:tcPr>
          <w:p>
            <w:r>
              <w:t>covid_shock</w:t>
            </w:r>
          </w:p>
        </w:tc>
        <w:tc>
          <w:tcPr>
            <w:tcW w:type="dxa" w:w="3022"/>
            <w:shd w:val="clear" w:color="auto" w:fill="EAF0FB"/>
          </w:tcPr>
          <w:p>
            <w:r>
              <w:t>Event</w:t>
            </w:r>
          </w:p>
        </w:tc>
        <w:tc>
          <w:tcPr>
            <w:tcW w:type="dxa" w:w="3022"/>
            <w:shd w:val="clear" w:color="auto" w:fill="EAF0FB"/>
          </w:tcPr>
          <w:p>
            <w:r>
              <w:t>COVID-19 multiplicative suppression factor</w:t>
            </w:r>
          </w:p>
        </w:tc>
      </w:tr>
      <w:tr>
        <w:tc>
          <w:tcPr>
            <w:tcW w:type="dxa" w:w="3022"/>
          </w:tcPr>
          <w:p>
            <w:r>
              <w:t>gdp_cpi_ratio</w:t>
            </w:r>
          </w:p>
        </w:tc>
        <w:tc>
          <w:tcPr>
            <w:tcW w:type="dxa" w:w="3022"/>
          </w:tcPr>
          <w:p>
            <w:r>
              <w:t>Derived</w:t>
            </w:r>
          </w:p>
        </w:tc>
        <w:tc>
          <w:tcPr>
            <w:tcW w:type="dxa" w:w="3022"/>
          </w:tcPr>
          <w:p>
            <w:r>
              <w:t>GDP growth / (CPI/100) — real growth proxy</w:t>
            </w:r>
          </w:p>
        </w:tc>
      </w:tr>
    </w:tbl>
    <w:p>
      <w:pPr>
        <w:jc w:val="both"/>
      </w:pPr>
      <w:r>
        <w:rPr>
          <w:b w:val="0"/>
          <w:i w:val="0"/>
          <w:sz w:val="22"/>
        </w:rPr>
        <w:br/>
        <w:t>All lag and rolling features were calculated on shifted data to prevent data leakage. Cyclical encoding (sin/cos) preserves the circular nature of months — ensuring that December (month 12) is correctly recognised as adjacent to January (month 1), unlike a raw integer encoding. The 14 features were used as inputs to both regression models; SARIMA used the raw arrivals series directly.</w:t>
      </w:r>
    </w:p>
    <w:p>
      <w:r>
        <w:br w:type="page"/>
      </w:r>
    </w:p>
    <w:p>
      <w:pPr>
        <w:pStyle w:val="Heading1"/>
        <w:jc w:val="left"/>
      </w:pPr>
      <w:r>
        <w:t>6. Model Selection Rationale</w:t>
      </w:r>
    </w:p>
    <w:p>
      <w:pPr>
        <w:jc w:val="both"/>
      </w:pPr>
      <w:r>
        <w:rPr>
          <w:b w:val="0"/>
          <w:i w:val="0"/>
          <w:sz w:val="22"/>
        </w:rPr>
        <w:t>Two complementary paradigms were applied to exploit different aspects of the data:</w:t>
      </w:r>
    </w:p>
    <w:p>
      <w:pPr>
        <w:pStyle w:val="Heading2"/>
        <w:jc w:val="left"/>
      </w:pPr>
      <w:r>
        <w:t>6.1 Why SARIMA (Time-Series Approach)?</w:t>
      </w:r>
    </w:p>
    <w:p>
      <w:pPr>
        <w:pStyle w:val="ListBullet"/>
      </w:pPr>
      <w:r>
        <w:t>Tourism arrivals exhibit strong autocorrelation and seasonality — precisely the patterns SARIMA was designed to model.</w:t>
      </w:r>
    </w:p>
    <w:p>
      <w:pPr>
        <w:pStyle w:val="ListBullet"/>
      </w:pPr>
      <w:r>
        <w:t>SARIMA requires no feature engineering; it leverages the internal temporal structure of the series.</w:t>
      </w:r>
    </w:p>
    <w:p>
      <w:pPr>
        <w:pStyle w:val="ListBullet"/>
      </w:pPr>
      <w:r>
        <w:t>It provides probabilistic confidence intervals, valuable for risk-aware planning.</w:t>
      </w:r>
    </w:p>
    <w:p>
      <w:pPr>
        <w:pStyle w:val="ListBullet"/>
      </w:pPr>
      <w:r>
        <w:t>As a classical benchmark, it allows fair comparison against modern ML approaches.</w:t>
      </w:r>
    </w:p>
    <w:p>
      <w:pPr>
        <w:pStyle w:val="ListBullet"/>
      </w:pPr>
      <w:r>
        <w:t>The model is interpretable: each AR/MA/I parameter has a concrete statistical meaning.</w:t>
      </w:r>
    </w:p>
    <w:p>
      <w:pPr>
        <w:pStyle w:val="Heading2"/>
        <w:jc w:val="left"/>
      </w:pPr>
      <w:r>
        <w:t>6.2 Why Random Forest &amp; Gradient Boosting (Regression Approach)?</w:t>
      </w:r>
    </w:p>
    <w:p>
      <w:pPr>
        <w:pStyle w:val="ListBullet"/>
      </w:pPr>
      <w:r>
        <w:t>Machine learning models can naturally incorporate multiple exogenous features (GDP, CPI, exchange rate, COVID shock) alongside temporal features.</w:t>
      </w:r>
    </w:p>
    <w:p>
      <w:pPr>
        <w:pStyle w:val="ListBullet"/>
      </w:pPr>
      <w:r>
        <w:t>Tree-based ensembles handle non-linearity, feature interactions, and regime changes (e.g., COVID shock) better than linear models.</w:t>
      </w:r>
    </w:p>
    <w:p>
      <w:pPr>
        <w:pStyle w:val="ListBullet"/>
      </w:pPr>
      <w:r>
        <w:t>Random Forest is robust to outliers and provides built-in feature importance rankings.</w:t>
      </w:r>
    </w:p>
    <w:p>
      <w:pPr>
        <w:pStyle w:val="ListBullet"/>
      </w:pPr>
      <w:r>
        <w:t>Gradient Boosting sequentially corrects residuals, often achieving lower bias than Random Forest.</w:t>
      </w:r>
    </w:p>
    <w:p>
      <w:pPr>
        <w:pStyle w:val="ListBullet"/>
      </w:pPr>
      <w:r>
        <w:t>Both are non-parametric and require fewer assumptions than ARIMA-family models.</w:t>
      </w:r>
    </w:p>
    <w:p>
      <w:pPr>
        <w:pStyle w:val="Heading2"/>
        <w:jc w:val="left"/>
      </w:pPr>
      <w:r>
        <w:t>6.3 Why Not Other Models?</w:t>
      </w:r>
    </w:p>
    <w:p>
      <w:pPr>
        <w:pStyle w:val="ListBullet"/>
      </w:pPr>
      <w:r>
        <w:rPr>
          <w:b/>
        </w:rPr>
        <w:t xml:space="preserve">Simple Exponential Smoothing / Holt-Winters: </w:t>
      </w:r>
      <w:r>
        <w:t>Insufficient flexibility to incorporate exogenous regressors.</w:t>
      </w:r>
    </w:p>
    <w:p>
      <w:pPr>
        <w:pStyle w:val="ListBullet"/>
      </w:pPr>
      <w:r>
        <w:rPr>
          <w:b/>
        </w:rPr>
        <w:t xml:space="preserve">LSTM / Neural Networks: </w:t>
      </w:r>
      <w:r>
        <w:t>Require substantially more data and hyperparameter tuning; limited interpretability.</w:t>
      </w:r>
    </w:p>
    <w:p>
      <w:pPr>
        <w:pStyle w:val="ListBullet"/>
      </w:pPr>
      <w:r>
        <w:rPr>
          <w:b/>
        </w:rPr>
        <w:t xml:space="preserve">Linear Regression: </w:t>
      </w:r>
      <w:r>
        <w:t>Assumes linearity and independence — violated by temporal autocorrelation and seasonality.</w:t>
      </w:r>
    </w:p>
    <w:p>
      <w:pPr>
        <w:pStyle w:val="ListBullet"/>
      </w:pPr>
      <w:r>
        <w:rPr>
          <w:b/>
        </w:rPr>
        <w:t xml:space="preserve">Prophet (Facebook): </w:t>
      </w:r>
      <w:r>
        <w:t>Suitable but less transparent; excluded to keep the comparison within standard Python libraries.</w:t>
      </w:r>
    </w:p>
    <w:p>
      <w:pPr>
        <w:pStyle w:val="Heading1"/>
        <w:jc w:val="left"/>
      </w:pPr>
      <w:r>
        <w:t>7. Model A – SARIMA Time-Series Model</w:t>
      </w:r>
    </w:p>
    <w:p>
      <w:pPr>
        <w:pStyle w:val="Heading2"/>
        <w:jc w:val="left"/>
      </w:pPr>
      <w:r>
        <w:t>7.1 Model Specification</w:t>
      </w:r>
    </w:p>
    <w:p>
      <w:pPr>
        <w:jc w:val="both"/>
      </w:pPr>
      <w:r>
        <w:rPr>
          <w:b w:val="0"/>
          <w:i w:val="0"/>
          <w:sz w:val="22"/>
        </w:rPr>
        <w:t>Based on ACF/PACF analysis and stationarity testing, a SARIMA(1,1,1)(1,1,1)[12] specification was selected. The model parameters are:</w:t>
      </w:r>
    </w:p>
    <w:p>
      <w:pPr>
        <w:pStyle w:val="ListBullet"/>
      </w:pPr>
      <w:r>
        <w:rPr>
          <w:b/>
        </w:rPr>
        <w:t xml:space="preserve">p = 1: </w:t>
      </w:r>
      <w:r>
        <w:t>One non-seasonal autoregressive term</w:t>
      </w:r>
    </w:p>
    <w:p>
      <w:pPr>
        <w:pStyle w:val="ListBullet"/>
      </w:pPr>
      <w:r>
        <w:rPr>
          <w:b/>
        </w:rPr>
        <w:t xml:space="preserve">d = 1: </w:t>
      </w:r>
      <w:r>
        <w:t>One non-seasonal differencing step</w:t>
      </w:r>
    </w:p>
    <w:p>
      <w:pPr>
        <w:pStyle w:val="ListBullet"/>
      </w:pPr>
      <w:r>
        <w:rPr>
          <w:b/>
        </w:rPr>
        <w:t xml:space="preserve">q = 1: </w:t>
      </w:r>
      <w:r>
        <w:t>One non-seasonal moving-average term</w:t>
      </w:r>
    </w:p>
    <w:p>
      <w:pPr>
        <w:pStyle w:val="ListBullet"/>
      </w:pPr>
      <w:r>
        <w:rPr>
          <w:b/>
        </w:rPr>
        <w:t xml:space="preserve">P = 1: </w:t>
      </w:r>
      <w:r>
        <w:t>One seasonal AR term (lag 12)</w:t>
      </w:r>
    </w:p>
    <w:p>
      <w:pPr>
        <w:pStyle w:val="ListBullet"/>
      </w:pPr>
      <w:r>
        <w:rPr>
          <w:b/>
        </w:rPr>
        <w:t xml:space="preserve">D = 1: </w:t>
      </w:r>
      <w:r>
        <w:t>One seasonal differencing (removes annual trend)</w:t>
      </w:r>
    </w:p>
    <w:p>
      <w:pPr>
        <w:pStyle w:val="ListBullet"/>
      </w:pPr>
      <w:r>
        <w:rPr>
          <w:b/>
        </w:rPr>
        <w:t xml:space="preserve">Q = 1: </w:t>
      </w:r>
      <w:r>
        <w:t>One seasonal MA term (lag 12)</w:t>
      </w:r>
    </w:p>
    <w:p>
      <w:pPr>
        <w:pStyle w:val="ListBullet"/>
      </w:pPr>
      <w:r>
        <w:rPr>
          <w:b/>
        </w:rPr>
        <w:t xml:space="preserve">s = 12: </w:t>
      </w:r>
      <w:r>
        <w:t>Annual seasonality period (monthly data)</w:t>
      </w:r>
    </w:p>
    <w:p>
      <w:pPr>
        <w:jc w:val="both"/>
      </w:pPr>
      <w:r>
        <w:rPr>
          <w:b w:val="0"/>
          <w:i w:val="0"/>
          <w:sz w:val="22"/>
        </w:rPr>
        <w:t>The model was estimated using Maximum Likelihood Estimation (MLE) via the statsmodels SARIMAX class with enforce_stationarity=False and enforce_invertibility=False to allow flexible parameter estimation.</w:t>
      </w:r>
    </w:p>
    <w:p>
      <w:pPr>
        <w:pStyle w:val="Heading2"/>
        <w:jc w:val="left"/>
      </w:pPr>
      <w:r>
        <w:t>7.2 Diagnostic Checks</w:t>
      </w:r>
    </w:p>
    <w:p>
      <w:pPr>
        <w:jc w:val="both"/>
      </w:pPr>
      <w:r>
        <w:rPr>
          <w:b w:val="0"/>
          <w:i w:val="0"/>
          <w:sz w:val="22"/>
        </w:rPr>
        <w:t>The fitted model was assessed through four diagnostic checks: (i) standardized residual time plot — residuals should appear random; (ii) histogram + KDE — residuals should be approximately normal; (iii) Normal Q-Q plot — points should lie on the reference line; (iv) correlogram — no significant ACF spike should exceed the confidence bounds. The diagnostics confirmed a well-fitted model with no systematic residual structure.</w:t>
      </w:r>
    </w:p>
    <w:p>
      <w:pPr>
        <w:jc w:val="center"/>
      </w:pPr>
      <w:r>
        <w:drawing>
          <wp:inline xmlns:a="http://schemas.openxmlformats.org/drawingml/2006/main" xmlns:pic="http://schemas.openxmlformats.org/drawingml/2006/picture">
            <wp:extent cx="5486400" cy="3111768"/>
            <wp:docPr id="6" name="Picture 6"/>
            <wp:cNvGraphicFramePr>
              <a:graphicFrameLocks noChangeAspect="1"/>
            </wp:cNvGraphicFramePr>
            <a:graphic>
              <a:graphicData uri="http://schemas.openxmlformats.org/drawingml/2006/picture">
                <pic:pic>
                  <pic:nvPicPr>
                    <pic:cNvPr id="0" name="06_sarima_diagnostics.png"/>
                    <pic:cNvPicPr/>
                  </pic:nvPicPr>
                  <pic:blipFill>
                    <a:blip r:embed="rId14"/>
                    <a:stretch>
                      <a:fillRect/>
                    </a:stretch>
                  </pic:blipFill>
                  <pic:spPr>
                    <a:xfrm>
                      <a:off x="0" y="0"/>
                      <a:ext cx="5486400" cy="3111768"/>
                    </a:xfrm>
                    <a:prstGeom prst="rect"/>
                  </pic:spPr>
                </pic:pic>
              </a:graphicData>
            </a:graphic>
          </wp:inline>
        </w:drawing>
      </w:r>
    </w:p>
    <w:p>
      <w:pPr>
        <w:jc w:val="center"/>
      </w:pPr>
      <w:r>
        <w:rPr>
          <w:i/>
          <w:color w:val="646464"/>
          <w:sz w:val="18"/>
        </w:rPr>
        <w:t>Figure 6: SARIMA model diagnostic plots</w:t>
      </w:r>
    </w:p>
    <w:p>
      <w:pPr>
        <w:pStyle w:val="Heading2"/>
        <w:jc w:val="left"/>
      </w:pPr>
      <w:r>
        <w:t>7.3 SARIMA Performance</w:t>
      </w:r>
    </w:p>
    <w:tbl>
      <w:tblPr>
        <w:tblStyle w:val="TableGrid"/>
        <w:tblW w:type="auto" w:w="0"/>
        <w:tblLook w:firstColumn="1" w:firstRow="1" w:lastColumn="0" w:lastRow="0" w:noHBand="0" w:noVBand="1" w:val="04A0"/>
      </w:tblPr>
      <w:tblGrid>
        <w:gridCol w:w="4533"/>
        <w:gridCol w:w="4533"/>
      </w:tblGrid>
      <w:tr>
        <w:tc>
          <w:tcPr>
            <w:tcW w:type="dxa" w:w="4533"/>
            <w:shd w:val="clear" w:color="auto" w:fill="1A3A6E"/>
          </w:tcPr>
          <w:p>
            <w:r>
              <w:rPr>
                <w:b/>
                <w:color w:val="FFFFFF"/>
              </w:rPr>
              <w:t>Metric</w:t>
            </w:r>
          </w:p>
        </w:tc>
        <w:tc>
          <w:tcPr>
            <w:tcW w:type="dxa" w:w="4533"/>
            <w:shd w:val="clear" w:color="auto" w:fill="1A3A6E"/>
          </w:tcPr>
          <w:p>
            <w:r>
              <w:rPr>
                <w:b/>
                <w:color w:val="FFFFFF"/>
              </w:rPr>
              <w:t>Value</w:t>
            </w:r>
          </w:p>
        </w:tc>
      </w:tr>
      <w:tr>
        <w:tc>
          <w:tcPr>
            <w:tcW w:type="dxa" w:w="4533"/>
          </w:tcPr>
          <w:p>
            <w:r>
              <w:t>Model</w:t>
            </w:r>
          </w:p>
        </w:tc>
        <w:tc>
          <w:tcPr>
            <w:tcW w:type="dxa" w:w="4533"/>
          </w:tcPr>
          <w:p>
            <w:r>
              <w:t>SARIMA(1,1,1)(1,1,1)[12]</w:t>
            </w:r>
          </w:p>
        </w:tc>
      </w:tr>
      <w:tr>
        <w:tc>
          <w:tcPr>
            <w:tcW w:type="dxa" w:w="4533"/>
          </w:tcPr>
          <w:p>
            <w:r>
              <w:t>MAE</w:t>
            </w:r>
          </w:p>
        </w:tc>
        <w:tc>
          <w:tcPr>
            <w:tcW w:type="dxa" w:w="4533"/>
          </w:tcPr>
          <w:p>
            <w:r>
              <w:t>68,521 arrivals</w:t>
            </w:r>
          </w:p>
        </w:tc>
      </w:tr>
      <w:tr>
        <w:tc>
          <w:tcPr>
            <w:tcW w:type="dxa" w:w="4533"/>
          </w:tcPr>
          <w:p>
            <w:r>
              <w:t>RMSE</w:t>
            </w:r>
          </w:p>
        </w:tc>
        <w:tc>
          <w:tcPr>
            <w:tcW w:type="dxa" w:w="4533"/>
          </w:tcPr>
          <w:p>
            <w:r>
              <w:t>74,797 arrivals</w:t>
            </w:r>
          </w:p>
        </w:tc>
      </w:tr>
      <w:tr>
        <w:tc>
          <w:tcPr>
            <w:tcW w:type="dxa" w:w="4533"/>
          </w:tcPr>
          <w:p>
            <w:r>
              <w:t>MAPE</w:t>
            </w:r>
          </w:p>
        </w:tc>
        <w:tc>
          <w:tcPr>
            <w:tcW w:type="dxa" w:w="4533"/>
          </w:tcPr>
          <w:p>
            <w:r>
              <w:t>54.11%</w:t>
            </w:r>
          </w:p>
        </w:tc>
      </w:tr>
      <w:tr>
        <w:tc>
          <w:tcPr>
            <w:tcW w:type="dxa" w:w="4533"/>
          </w:tcPr>
          <w:p>
            <w:r>
              <w:t>R²</w:t>
            </w:r>
          </w:p>
        </w:tc>
        <w:tc>
          <w:tcPr>
            <w:tcW w:type="dxa" w:w="4533"/>
          </w:tcPr>
          <w:p>
            <w:r>
              <w:t>-6.9099</w:t>
            </w:r>
          </w:p>
        </w:tc>
      </w:tr>
    </w:tbl>
    <w:p>
      <w:r>
        <w:br w:type="page"/>
      </w:r>
    </w:p>
    <w:p>
      <w:pPr>
        <w:pStyle w:val="Heading1"/>
        <w:jc w:val="left"/>
      </w:pPr>
      <w:r>
        <w:t>8. Model B – Random Forest Regressor</w:t>
      </w:r>
    </w:p>
    <w:p>
      <w:pPr>
        <w:pStyle w:val="Heading2"/>
        <w:jc w:val="left"/>
      </w:pPr>
      <w:r>
        <w:t>8.1 Hyperparameters</w:t>
      </w:r>
    </w:p>
    <w:p>
      <w:pPr>
        <w:pStyle w:val="ListBullet"/>
      </w:pPr>
      <w:r>
        <w:rPr>
          <w:b/>
        </w:rPr>
        <w:t xml:space="preserve">n_estimators: </w:t>
      </w:r>
      <w:r>
        <w:t>300 decision trees</w:t>
      </w:r>
    </w:p>
    <w:p>
      <w:pPr>
        <w:pStyle w:val="ListBullet"/>
      </w:pPr>
      <w:r>
        <w:rPr>
          <w:b/>
        </w:rPr>
        <w:t xml:space="preserve">max_depth: </w:t>
      </w:r>
      <w:r>
        <w:t>12 levels per tree</w:t>
      </w:r>
    </w:p>
    <w:p>
      <w:pPr>
        <w:pStyle w:val="ListBullet"/>
      </w:pPr>
      <w:r>
        <w:rPr>
          <w:b/>
        </w:rPr>
        <w:t xml:space="preserve">min_samples_leaf: </w:t>
      </w:r>
      <w:r>
        <w:t>2 samples minimum per leaf</w:t>
      </w:r>
    </w:p>
    <w:p>
      <w:pPr>
        <w:pStyle w:val="ListBullet"/>
      </w:pPr>
      <w:r>
        <w:rPr>
          <w:b/>
        </w:rPr>
        <w:t xml:space="preserve">random_state: </w:t>
      </w:r>
      <w:r>
        <w:t>42 (reproducibility)</w:t>
      </w:r>
    </w:p>
    <w:p>
      <w:pPr>
        <w:pStyle w:val="ListBullet"/>
      </w:pPr>
      <w:r>
        <w:rPr>
          <w:b/>
        </w:rPr>
        <w:t xml:space="preserve">n_jobs: </w:t>
      </w:r>
      <w:r>
        <w:t>-1 (all CPU cores)</w:t>
      </w:r>
    </w:p>
    <w:p>
      <w:pPr>
        <w:pStyle w:val="Heading2"/>
        <w:jc w:val="left"/>
      </w:pPr>
      <w:r>
        <w:t>8.2 Random Forest Performance</w:t>
      </w:r>
    </w:p>
    <w:tbl>
      <w:tblPr>
        <w:tblStyle w:val="TableGrid"/>
        <w:tblW w:type="auto" w:w="0"/>
        <w:tblLook w:firstColumn="1" w:firstRow="1" w:lastColumn="0" w:lastRow="0" w:noHBand="0" w:noVBand="1" w:val="04A0"/>
      </w:tblPr>
      <w:tblGrid>
        <w:gridCol w:w="4533"/>
        <w:gridCol w:w="4533"/>
      </w:tblGrid>
      <w:tr>
        <w:tc>
          <w:tcPr>
            <w:tcW w:type="dxa" w:w="4533"/>
            <w:shd w:val="clear" w:color="auto" w:fill="1A3A6E"/>
          </w:tcPr>
          <w:p>
            <w:r>
              <w:rPr>
                <w:b/>
                <w:color w:val="FFFFFF"/>
              </w:rPr>
              <w:t>Metric</w:t>
            </w:r>
          </w:p>
        </w:tc>
        <w:tc>
          <w:tcPr>
            <w:tcW w:type="dxa" w:w="4533"/>
            <w:shd w:val="clear" w:color="auto" w:fill="1A3A6E"/>
          </w:tcPr>
          <w:p>
            <w:r>
              <w:rPr>
                <w:b/>
                <w:color w:val="FFFFFF"/>
              </w:rPr>
              <w:t>Value</w:t>
            </w:r>
          </w:p>
        </w:tc>
      </w:tr>
      <w:tr>
        <w:tc>
          <w:tcPr>
            <w:tcW w:type="dxa" w:w="4533"/>
          </w:tcPr>
          <w:p>
            <w:r>
              <w:t>n_estimators</w:t>
            </w:r>
          </w:p>
        </w:tc>
        <w:tc>
          <w:tcPr>
            <w:tcW w:type="dxa" w:w="4533"/>
          </w:tcPr>
          <w:p>
            <w:r>
              <w:t>300</w:t>
            </w:r>
          </w:p>
        </w:tc>
      </w:tr>
      <w:tr>
        <w:tc>
          <w:tcPr>
            <w:tcW w:type="dxa" w:w="4533"/>
          </w:tcPr>
          <w:p>
            <w:r>
              <w:t>MAE (test)</w:t>
            </w:r>
          </w:p>
        </w:tc>
        <w:tc>
          <w:tcPr>
            <w:tcW w:type="dxa" w:w="4533"/>
          </w:tcPr>
          <w:p>
            <w:r>
              <w:t>25,832 arrivals</w:t>
            </w:r>
          </w:p>
        </w:tc>
      </w:tr>
      <w:tr>
        <w:tc>
          <w:tcPr>
            <w:tcW w:type="dxa" w:w="4533"/>
          </w:tcPr>
          <w:p>
            <w:r>
              <w:t>RMSE (test)</w:t>
            </w:r>
          </w:p>
        </w:tc>
        <w:tc>
          <w:tcPr>
            <w:tcW w:type="dxa" w:w="4533"/>
          </w:tcPr>
          <w:p>
            <w:r>
              <w:t>33,181 arrivals</w:t>
            </w:r>
          </w:p>
        </w:tc>
      </w:tr>
      <w:tr>
        <w:tc>
          <w:tcPr>
            <w:tcW w:type="dxa" w:w="4533"/>
          </w:tcPr>
          <w:p>
            <w:r>
              <w:t>MAPE (test)</w:t>
            </w:r>
          </w:p>
        </w:tc>
        <w:tc>
          <w:tcPr>
            <w:tcW w:type="dxa" w:w="4533"/>
          </w:tcPr>
          <w:p>
            <w:r>
              <w:t>20.21%</w:t>
            </w:r>
          </w:p>
        </w:tc>
      </w:tr>
      <w:tr>
        <w:tc>
          <w:tcPr>
            <w:tcW w:type="dxa" w:w="4533"/>
          </w:tcPr>
          <w:p>
            <w:r>
              <w:t>R² (test)</w:t>
            </w:r>
          </w:p>
        </w:tc>
        <w:tc>
          <w:tcPr>
            <w:tcW w:type="dxa" w:w="4533"/>
          </w:tcPr>
          <w:p>
            <w:r>
              <w:t>-0.5566</w:t>
            </w:r>
          </w:p>
        </w:tc>
      </w:tr>
      <w:tr>
        <w:tc>
          <w:tcPr>
            <w:tcW w:type="dxa" w:w="4533"/>
          </w:tcPr>
          <w:p>
            <w:r>
              <w:t>CV R² (mean ± std)</w:t>
            </w:r>
          </w:p>
        </w:tc>
        <w:tc>
          <w:tcPr>
            <w:tcW w:type="dxa" w:w="4533"/>
          </w:tcPr>
          <w:p>
            <w:r>
              <w:t>-0.4577 ± 2.5328</w:t>
            </w:r>
          </w:p>
        </w:tc>
      </w:tr>
      <w:tr>
        <w:tc>
          <w:tcPr>
            <w:tcW w:type="dxa" w:w="4533"/>
          </w:tcPr>
          <w:p>
            <w:r>
              <w:t>CV MAE (mean)</w:t>
            </w:r>
          </w:p>
        </w:tc>
        <w:tc>
          <w:tcPr>
            <w:tcW w:type="dxa" w:w="4533"/>
          </w:tcPr>
          <w:p>
            <w:r>
              <w:t>17,569 arrivals</w:t>
            </w:r>
          </w:p>
        </w:tc>
      </w:tr>
    </w:tbl>
    <w:p>
      <w:pPr>
        <w:pStyle w:val="Heading2"/>
        <w:jc w:val="left"/>
      </w:pPr>
      <w:r>
        <w:t>8.3 Feature Importance</w:t>
      </w:r>
    </w:p>
    <w:p>
      <w:pPr>
        <w:jc w:val="both"/>
      </w:pPr>
      <w:r>
        <w:rPr>
          <w:b w:val="0"/>
          <w:i w:val="0"/>
          <w:sz w:val="22"/>
        </w:rPr>
        <w:t>The top 5 most important features for Random Forest were:</w:t>
      </w:r>
    </w:p>
    <w:p>
      <w:pPr>
        <w:pStyle w:val="ListBullet"/>
      </w:pPr>
      <w:r>
        <w:rPr>
          <w:b/>
        </w:rPr>
        <w:t xml:space="preserve">covid_shock: </w:t>
      </w:r>
      <w:r>
        <w:t>importance = 0.5959</w:t>
      </w:r>
    </w:p>
    <w:p>
      <w:pPr>
        <w:pStyle w:val="ListBullet"/>
      </w:pPr>
      <w:r>
        <w:rPr>
          <w:b/>
        </w:rPr>
        <w:t xml:space="preserve">arrivals_lag12: </w:t>
      </w:r>
      <w:r>
        <w:t>importance = 0.3109</w:t>
      </w:r>
    </w:p>
    <w:p>
      <w:pPr>
        <w:pStyle w:val="ListBullet"/>
      </w:pPr>
      <w:r>
        <w:rPr>
          <w:b/>
        </w:rPr>
        <w:t xml:space="preserve">arrivals_lag1: </w:t>
      </w:r>
      <w:r>
        <w:t>importance = 0.0772</w:t>
      </w:r>
    </w:p>
    <w:p>
      <w:pPr>
        <w:pStyle w:val="ListBullet"/>
      </w:pPr>
      <w:r>
        <w:rPr>
          <w:b/>
        </w:rPr>
        <w:t xml:space="preserve">arrivals_roll3: </w:t>
      </w:r>
      <w:r>
        <w:t>importance = 0.0030</w:t>
      </w:r>
    </w:p>
    <w:p>
      <w:pPr>
        <w:pStyle w:val="ListBullet"/>
      </w:pPr>
      <w:r>
        <w:rPr>
          <w:b/>
        </w:rPr>
        <w:t xml:space="preserve">cpi: </w:t>
      </w:r>
      <w:r>
        <w:t>importance = 0.0022</w:t>
      </w:r>
    </w:p>
    <w:p>
      <w:r>
        <w:br w:type="page"/>
      </w:r>
    </w:p>
    <w:p>
      <w:pPr>
        <w:pStyle w:val="Heading1"/>
        <w:jc w:val="left"/>
      </w:pPr>
      <w:r>
        <w:t>9. Model C – Gradient Boosting Regressor</w:t>
      </w:r>
    </w:p>
    <w:p>
      <w:pPr>
        <w:pStyle w:val="Heading2"/>
        <w:jc w:val="left"/>
      </w:pPr>
      <w:r>
        <w:t>9.1 Hyperparameters</w:t>
      </w:r>
    </w:p>
    <w:p>
      <w:pPr>
        <w:pStyle w:val="ListBullet"/>
      </w:pPr>
      <w:r>
        <w:rPr>
          <w:b/>
        </w:rPr>
        <w:t xml:space="preserve">n_estimators: </w:t>
      </w:r>
      <w:r>
        <w:t>400 boosting stages</w:t>
      </w:r>
    </w:p>
    <w:p>
      <w:pPr>
        <w:pStyle w:val="ListBullet"/>
      </w:pPr>
      <w:r>
        <w:rPr>
          <w:b/>
        </w:rPr>
        <w:t xml:space="preserve">learning_rate: </w:t>
      </w:r>
      <w:r>
        <w:t>0.05 (shrinkage factor)</w:t>
      </w:r>
    </w:p>
    <w:p>
      <w:pPr>
        <w:pStyle w:val="ListBullet"/>
      </w:pPr>
      <w:r>
        <w:rPr>
          <w:b/>
        </w:rPr>
        <w:t xml:space="preserve">max_depth: </w:t>
      </w:r>
      <w:r>
        <w:t>4 levels per tree</w:t>
      </w:r>
    </w:p>
    <w:p>
      <w:pPr>
        <w:pStyle w:val="ListBullet"/>
      </w:pPr>
      <w:r>
        <w:rPr>
          <w:b/>
        </w:rPr>
        <w:t xml:space="preserve">subsample: </w:t>
      </w:r>
      <w:r>
        <w:t>0.80 (stochastic gradient boosting)</w:t>
      </w:r>
    </w:p>
    <w:p>
      <w:pPr>
        <w:pStyle w:val="ListBullet"/>
      </w:pPr>
      <w:r>
        <w:rPr>
          <w:b/>
        </w:rPr>
        <w:t xml:space="preserve">random_state: </w:t>
      </w:r>
      <w:r>
        <w:t>42 (reproducibility)</w:t>
      </w:r>
    </w:p>
    <w:p>
      <w:pPr>
        <w:pStyle w:val="Heading2"/>
        <w:jc w:val="left"/>
      </w:pPr>
      <w:r>
        <w:t>9.2 Gradient Boosting Performance</w:t>
      </w:r>
    </w:p>
    <w:tbl>
      <w:tblPr>
        <w:tblStyle w:val="TableGrid"/>
        <w:tblW w:type="auto" w:w="0"/>
        <w:tblLook w:firstColumn="1" w:firstRow="1" w:lastColumn="0" w:lastRow="0" w:noHBand="0" w:noVBand="1" w:val="04A0"/>
      </w:tblPr>
      <w:tblGrid>
        <w:gridCol w:w="4533"/>
        <w:gridCol w:w="4533"/>
      </w:tblGrid>
      <w:tr>
        <w:tc>
          <w:tcPr>
            <w:tcW w:type="dxa" w:w="4533"/>
            <w:shd w:val="clear" w:color="auto" w:fill="1A3A6E"/>
          </w:tcPr>
          <w:p>
            <w:r>
              <w:rPr>
                <w:b/>
                <w:color w:val="FFFFFF"/>
              </w:rPr>
              <w:t>Metric</w:t>
            </w:r>
          </w:p>
        </w:tc>
        <w:tc>
          <w:tcPr>
            <w:tcW w:type="dxa" w:w="4533"/>
            <w:shd w:val="clear" w:color="auto" w:fill="1A3A6E"/>
          </w:tcPr>
          <w:p>
            <w:r>
              <w:rPr>
                <w:b/>
                <w:color w:val="FFFFFF"/>
              </w:rPr>
              <w:t>Value</w:t>
            </w:r>
          </w:p>
        </w:tc>
      </w:tr>
      <w:tr>
        <w:tc>
          <w:tcPr>
            <w:tcW w:type="dxa" w:w="4533"/>
          </w:tcPr>
          <w:p>
            <w:r>
              <w:t>n_estimators</w:t>
            </w:r>
          </w:p>
        </w:tc>
        <w:tc>
          <w:tcPr>
            <w:tcW w:type="dxa" w:w="4533"/>
          </w:tcPr>
          <w:p>
            <w:r>
              <w:t>400</w:t>
            </w:r>
          </w:p>
        </w:tc>
      </w:tr>
      <w:tr>
        <w:tc>
          <w:tcPr>
            <w:tcW w:type="dxa" w:w="4533"/>
          </w:tcPr>
          <w:p>
            <w:r>
              <w:t>MAE (test)</w:t>
            </w:r>
          </w:p>
        </w:tc>
        <w:tc>
          <w:tcPr>
            <w:tcW w:type="dxa" w:w="4533"/>
          </w:tcPr>
          <w:p>
            <w:r>
              <w:t>24,369 arrivals</w:t>
            </w:r>
          </w:p>
        </w:tc>
      </w:tr>
      <w:tr>
        <w:tc>
          <w:tcPr>
            <w:tcW w:type="dxa" w:w="4533"/>
          </w:tcPr>
          <w:p>
            <w:r>
              <w:t>RMSE (test)</w:t>
            </w:r>
          </w:p>
        </w:tc>
        <w:tc>
          <w:tcPr>
            <w:tcW w:type="dxa" w:w="4533"/>
          </w:tcPr>
          <w:p>
            <w:r>
              <w:t>31,236 arrivals</w:t>
            </w:r>
          </w:p>
        </w:tc>
      </w:tr>
      <w:tr>
        <w:tc>
          <w:tcPr>
            <w:tcW w:type="dxa" w:w="4533"/>
          </w:tcPr>
          <w:p>
            <w:r>
              <w:t>MAPE (test)</w:t>
            </w:r>
          </w:p>
        </w:tc>
        <w:tc>
          <w:tcPr>
            <w:tcW w:type="dxa" w:w="4533"/>
          </w:tcPr>
          <w:p>
            <w:r>
              <w:t>19.11%</w:t>
            </w:r>
          </w:p>
        </w:tc>
      </w:tr>
      <w:tr>
        <w:tc>
          <w:tcPr>
            <w:tcW w:type="dxa" w:w="4533"/>
          </w:tcPr>
          <w:p>
            <w:r>
              <w:t>R² (test)</w:t>
            </w:r>
          </w:p>
        </w:tc>
        <w:tc>
          <w:tcPr>
            <w:tcW w:type="dxa" w:w="4533"/>
          </w:tcPr>
          <w:p>
            <w:r>
              <w:t>-0.3795</w:t>
            </w:r>
          </w:p>
        </w:tc>
      </w:tr>
      <w:tr>
        <w:tc>
          <w:tcPr>
            <w:tcW w:type="dxa" w:w="4533"/>
          </w:tcPr>
          <w:p>
            <w:r>
              <w:t>CV R² (mean ± std)</w:t>
            </w:r>
          </w:p>
        </w:tc>
        <w:tc>
          <w:tcPr>
            <w:tcW w:type="dxa" w:w="4533"/>
          </w:tcPr>
          <w:p>
            <w:r>
              <w:t>-0.3977 ± 2.4140</w:t>
            </w:r>
          </w:p>
        </w:tc>
      </w:tr>
      <w:tr>
        <w:tc>
          <w:tcPr>
            <w:tcW w:type="dxa" w:w="4533"/>
          </w:tcPr>
          <w:p>
            <w:r>
              <w:t>CV MAE (mean)</w:t>
            </w:r>
          </w:p>
        </w:tc>
        <w:tc>
          <w:tcPr>
            <w:tcW w:type="dxa" w:w="4533"/>
          </w:tcPr>
          <w:p>
            <w:r>
              <w:t>17,165 arrivals</w:t>
            </w:r>
          </w:p>
        </w:tc>
      </w:tr>
    </w:tbl>
    <w:p>
      <w:pPr>
        <w:pStyle w:val="Heading2"/>
        <w:jc w:val="left"/>
      </w:pPr>
      <w:r>
        <w:t>9.3 Feature Importance</w:t>
      </w:r>
    </w:p>
    <w:p>
      <w:pPr>
        <w:jc w:val="both"/>
      </w:pPr>
      <w:r>
        <w:rPr>
          <w:b w:val="0"/>
          <w:i w:val="0"/>
          <w:sz w:val="22"/>
        </w:rPr>
        <w:t>The top 5 most important features for Gradient Boosting were:</w:t>
      </w:r>
    </w:p>
    <w:p>
      <w:pPr>
        <w:pStyle w:val="ListBullet"/>
      </w:pPr>
      <w:r>
        <w:rPr>
          <w:b/>
        </w:rPr>
        <w:t xml:space="preserve">covid_shock: </w:t>
      </w:r>
      <w:r>
        <w:t>importance = 0.6241</w:t>
      </w:r>
    </w:p>
    <w:p>
      <w:pPr>
        <w:pStyle w:val="ListBullet"/>
      </w:pPr>
      <w:r>
        <w:rPr>
          <w:b/>
        </w:rPr>
        <w:t xml:space="preserve">arrivals_lag12: </w:t>
      </w:r>
      <w:r>
        <w:t>importance = 0.2924</w:t>
      </w:r>
    </w:p>
    <w:p>
      <w:pPr>
        <w:pStyle w:val="ListBullet"/>
      </w:pPr>
      <w:r>
        <w:rPr>
          <w:b/>
        </w:rPr>
        <w:t xml:space="preserve">arrivals_lag1: </w:t>
      </w:r>
      <w:r>
        <w:t>importance = 0.0572</w:t>
      </w:r>
    </w:p>
    <w:p>
      <w:pPr>
        <w:pStyle w:val="ListBullet"/>
      </w:pPr>
      <w:r>
        <w:rPr>
          <w:b/>
        </w:rPr>
        <w:t xml:space="preserve">exchange_rate: </w:t>
      </w:r>
      <w:r>
        <w:t>importance = 0.0043</w:t>
      </w:r>
    </w:p>
    <w:p>
      <w:pPr>
        <w:pStyle w:val="ListBullet"/>
      </w:pPr>
      <w:r>
        <w:rPr>
          <w:b/>
        </w:rPr>
        <w:t xml:space="preserve">month_cos: </w:t>
      </w:r>
      <w:r>
        <w:t>importance = 0.0040</w:t>
      </w:r>
    </w:p>
    <w:p>
      <w:pPr>
        <w:jc w:val="center"/>
      </w:pPr>
      <w:r>
        <w:drawing>
          <wp:inline xmlns:a="http://schemas.openxmlformats.org/drawingml/2006/main" xmlns:pic="http://schemas.openxmlformats.org/drawingml/2006/picture">
            <wp:extent cx="5486400" cy="2033534"/>
            <wp:docPr id="7" name="Picture 7"/>
            <wp:cNvGraphicFramePr>
              <a:graphicFrameLocks noChangeAspect="1"/>
            </wp:cNvGraphicFramePr>
            <a:graphic>
              <a:graphicData uri="http://schemas.openxmlformats.org/drawingml/2006/picture">
                <pic:pic>
                  <pic:nvPicPr>
                    <pic:cNvPr id="0" name="10_feature_importance.png"/>
                    <pic:cNvPicPr/>
                  </pic:nvPicPr>
                  <pic:blipFill>
                    <a:blip r:embed="rId15"/>
                    <a:stretch>
                      <a:fillRect/>
                    </a:stretch>
                  </pic:blipFill>
                  <pic:spPr>
                    <a:xfrm>
                      <a:off x="0" y="0"/>
                      <a:ext cx="5486400" cy="2033534"/>
                    </a:xfrm>
                    <a:prstGeom prst="rect"/>
                  </pic:spPr>
                </pic:pic>
              </a:graphicData>
            </a:graphic>
          </wp:inline>
        </w:drawing>
      </w:r>
    </w:p>
    <w:p>
      <w:pPr>
        <w:jc w:val="center"/>
      </w:pPr>
      <w:r>
        <w:rPr>
          <w:i/>
          <w:color w:val="646464"/>
          <w:sz w:val="18"/>
        </w:rPr>
        <w:t>Figure 7: Feature importance — Random Forest (left) vs Gradient Boosting (right)</w:t>
      </w:r>
    </w:p>
    <w:p>
      <w:r>
        <w:br w:type="page"/>
      </w:r>
    </w:p>
    <w:p>
      <w:pPr>
        <w:pStyle w:val="Heading1"/>
        <w:jc w:val="left"/>
      </w:pPr>
      <w:r>
        <w:t>10. Model Comparison &amp; Evaluation</w:t>
      </w:r>
    </w:p>
    <w:p>
      <w:pPr>
        <w:jc w:val="both"/>
      </w:pPr>
      <w:r>
        <w:rPr>
          <w:b w:val="0"/>
          <w:i w:val="0"/>
          <w:sz w:val="22"/>
        </w:rPr>
        <w:t>The three models were evaluated on an identical 24-month held-out test set (January 2022 – December 2023) using four performance metrics: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1A3A6E"/>
          </w:tcPr>
          <w:p>
            <w:pPr>
              <w:jc w:val="center"/>
            </w:pPr>
            <w:r>
              <w:rPr>
                <w:b/>
                <w:color w:val="FFFFFF"/>
              </w:rPr>
              <w:t>Model</w:t>
            </w:r>
          </w:p>
        </w:tc>
        <w:tc>
          <w:tcPr>
            <w:tcW w:type="dxa" w:w="1813"/>
            <w:shd w:val="clear" w:color="auto" w:fill="1A3A6E"/>
          </w:tcPr>
          <w:p>
            <w:pPr>
              <w:jc w:val="center"/>
            </w:pPr>
            <w:r>
              <w:rPr>
                <w:b/>
                <w:color w:val="FFFFFF"/>
              </w:rPr>
              <w:t>MAE</w:t>
            </w:r>
          </w:p>
        </w:tc>
        <w:tc>
          <w:tcPr>
            <w:tcW w:type="dxa" w:w="1813"/>
            <w:shd w:val="clear" w:color="auto" w:fill="1A3A6E"/>
          </w:tcPr>
          <w:p>
            <w:pPr>
              <w:jc w:val="center"/>
            </w:pPr>
            <w:r>
              <w:rPr>
                <w:b/>
                <w:color w:val="FFFFFF"/>
              </w:rPr>
              <w:t>RMSE</w:t>
            </w:r>
          </w:p>
        </w:tc>
        <w:tc>
          <w:tcPr>
            <w:tcW w:type="dxa" w:w="1813"/>
            <w:shd w:val="clear" w:color="auto" w:fill="1A3A6E"/>
          </w:tcPr>
          <w:p>
            <w:pPr>
              <w:jc w:val="center"/>
            </w:pPr>
            <w:r>
              <w:rPr>
                <w:b/>
                <w:color w:val="FFFFFF"/>
              </w:rPr>
              <w:t>MAPE (%)</w:t>
            </w:r>
          </w:p>
        </w:tc>
        <w:tc>
          <w:tcPr>
            <w:tcW w:type="dxa" w:w="1813"/>
            <w:shd w:val="clear" w:color="auto" w:fill="1A3A6E"/>
          </w:tcPr>
          <w:p>
            <w:pPr>
              <w:jc w:val="center"/>
            </w:pPr>
            <w:r>
              <w:rPr>
                <w:b/>
                <w:color w:val="FFFFFF"/>
              </w:rPr>
              <w:t>R²</w:t>
            </w:r>
          </w:p>
        </w:tc>
      </w:tr>
      <w:tr>
        <w:tc>
          <w:tcPr>
            <w:tcW w:type="dxa" w:w="1813"/>
          </w:tcPr>
          <w:p>
            <w:pPr>
              <w:jc w:val="center"/>
            </w:pPr>
            <w:r>
              <w:t>SARIMA(1,1,1)(1,1,1)[12]</w:t>
            </w:r>
          </w:p>
        </w:tc>
        <w:tc>
          <w:tcPr>
            <w:tcW w:type="dxa" w:w="1813"/>
          </w:tcPr>
          <w:p>
            <w:pPr>
              <w:jc w:val="center"/>
            </w:pPr>
            <w:r>
              <w:t>68,521</w:t>
            </w:r>
          </w:p>
        </w:tc>
        <w:tc>
          <w:tcPr>
            <w:tcW w:type="dxa" w:w="1813"/>
          </w:tcPr>
          <w:p>
            <w:pPr>
              <w:jc w:val="center"/>
            </w:pPr>
            <w:r>
              <w:t>74,797</w:t>
            </w:r>
          </w:p>
        </w:tc>
        <w:tc>
          <w:tcPr>
            <w:tcW w:type="dxa" w:w="1813"/>
          </w:tcPr>
          <w:p>
            <w:pPr>
              <w:jc w:val="center"/>
            </w:pPr>
            <w:r>
              <w:t>54.11%</w:t>
            </w:r>
          </w:p>
        </w:tc>
        <w:tc>
          <w:tcPr>
            <w:tcW w:type="dxa" w:w="1813"/>
          </w:tcPr>
          <w:p>
            <w:pPr>
              <w:jc w:val="center"/>
            </w:pPr>
            <w:r>
              <w:t>-6.9099</w:t>
            </w:r>
          </w:p>
        </w:tc>
      </w:tr>
      <w:tr>
        <w:tc>
          <w:tcPr>
            <w:tcW w:type="dxa" w:w="1813"/>
          </w:tcPr>
          <w:p>
            <w:pPr>
              <w:jc w:val="center"/>
            </w:pPr>
            <w:r>
              <w:t>Random Forest</w:t>
            </w:r>
          </w:p>
        </w:tc>
        <w:tc>
          <w:tcPr>
            <w:tcW w:type="dxa" w:w="1813"/>
          </w:tcPr>
          <w:p>
            <w:pPr>
              <w:jc w:val="center"/>
            </w:pPr>
            <w:r>
              <w:t>25,832</w:t>
            </w:r>
          </w:p>
        </w:tc>
        <w:tc>
          <w:tcPr>
            <w:tcW w:type="dxa" w:w="1813"/>
          </w:tcPr>
          <w:p>
            <w:pPr>
              <w:jc w:val="center"/>
            </w:pPr>
            <w:r>
              <w:t>33,181</w:t>
            </w:r>
          </w:p>
        </w:tc>
        <w:tc>
          <w:tcPr>
            <w:tcW w:type="dxa" w:w="1813"/>
          </w:tcPr>
          <w:p>
            <w:pPr>
              <w:jc w:val="center"/>
            </w:pPr>
            <w:r>
              <w:t>20.21%</w:t>
            </w:r>
          </w:p>
        </w:tc>
        <w:tc>
          <w:tcPr>
            <w:tcW w:type="dxa" w:w="1813"/>
          </w:tcPr>
          <w:p>
            <w:pPr>
              <w:jc w:val="center"/>
            </w:pPr>
            <w:r>
              <w:t>-0.5566</w:t>
            </w:r>
          </w:p>
        </w:tc>
      </w:tr>
      <w:tr>
        <w:tc>
          <w:tcPr>
            <w:tcW w:type="dxa" w:w="1813"/>
            <w:shd w:val="clear" w:color="auto" w:fill="D4EDDA"/>
          </w:tcPr>
          <w:p>
            <w:pPr>
              <w:jc w:val="center"/>
            </w:pPr>
            <w:r>
              <w:t>Gradient Boosting ★</w:t>
            </w:r>
          </w:p>
        </w:tc>
        <w:tc>
          <w:tcPr>
            <w:tcW w:type="dxa" w:w="1813"/>
            <w:shd w:val="clear" w:color="auto" w:fill="D4EDDA"/>
          </w:tcPr>
          <w:p>
            <w:pPr>
              <w:jc w:val="center"/>
            </w:pPr>
            <w:r>
              <w:t>24,369</w:t>
            </w:r>
          </w:p>
        </w:tc>
        <w:tc>
          <w:tcPr>
            <w:tcW w:type="dxa" w:w="1813"/>
            <w:shd w:val="clear" w:color="auto" w:fill="D4EDDA"/>
          </w:tcPr>
          <w:p>
            <w:pPr>
              <w:jc w:val="center"/>
            </w:pPr>
            <w:r>
              <w:t>31,236</w:t>
            </w:r>
          </w:p>
        </w:tc>
        <w:tc>
          <w:tcPr>
            <w:tcW w:type="dxa" w:w="1813"/>
            <w:shd w:val="clear" w:color="auto" w:fill="D4EDDA"/>
          </w:tcPr>
          <w:p>
            <w:pPr>
              <w:jc w:val="center"/>
            </w:pPr>
            <w:r>
              <w:t>19.11%</w:t>
            </w:r>
          </w:p>
        </w:tc>
        <w:tc>
          <w:tcPr>
            <w:tcW w:type="dxa" w:w="1813"/>
            <w:shd w:val="clear" w:color="auto" w:fill="D4EDDA"/>
          </w:tcPr>
          <w:p>
            <w:pPr>
              <w:jc w:val="center"/>
            </w:pPr>
            <w:r>
              <w:t>-0.3795</w:t>
            </w:r>
          </w:p>
        </w:tc>
      </w:tr>
    </w:tbl>
    <w:p>
      <w:pPr>
        <w:jc w:val="both"/>
      </w:pPr>
      <w:r>
        <w:rPr>
          <w:b w:val="0"/>
          <w:i/>
          <w:sz w:val="18"/>
        </w:rPr>
        <w:br/>
        <w:t>★ = Best model based on R² and MAE on the test set.</w:t>
      </w:r>
    </w:p>
    <w:p>
      <w:pPr>
        <w:jc w:val="center"/>
      </w:pPr>
      <w:r>
        <w:drawing>
          <wp:inline xmlns:a="http://schemas.openxmlformats.org/drawingml/2006/main" xmlns:pic="http://schemas.openxmlformats.org/drawingml/2006/picture">
            <wp:extent cx="5486400" cy="2170984"/>
            <wp:docPr id="8" name="Picture 8"/>
            <wp:cNvGraphicFramePr>
              <a:graphicFrameLocks noChangeAspect="1"/>
            </wp:cNvGraphicFramePr>
            <a:graphic>
              <a:graphicData uri="http://schemas.openxmlformats.org/drawingml/2006/picture">
                <pic:pic>
                  <pic:nvPicPr>
                    <pic:cNvPr id="0" name="07_forecast_comparison.png"/>
                    <pic:cNvPicPr/>
                  </pic:nvPicPr>
                  <pic:blipFill>
                    <a:blip r:embed="rId16"/>
                    <a:stretch>
                      <a:fillRect/>
                    </a:stretch>
                  </pic:blipFill>
                  <pic:spPr>
                    <a:xfrm>
                      <a:off x="0" y="0"/>
                      <a:ext cx="5486400" cy="2170984"/>
                    </a:xfrm>
                    <a:prstGeom prst="rect"/>
                  </pic:spPr>
                </pic:pic>
              </a:graphicData>
            </a:graphic>
          </wp:inline>
        </w:drawing>
      </w:r>
    </w:p>
    <w:p>
      <w:pPr>
        <w:jc w:val="center"/>
      </w:pPr>
      <w:r>
        <w:rPr>
          <w:i/>
          <w:color w:val="646464"/>
          <w:sz w:val="18"/>
        </w:rPr>
        <w:t>Figure 8: Forecasted vs actual arrivals — all three models (test period shaded)</w:t>
      </w:r>
    </w:p>
    <w:p>
      <w:pPr>
        <w:jc w:val="center"/>
      </w:pPr>
      <w:r>
        <w:drawing>
          <wp:inline xmlns:a="http://schemas.openxmlformats.org/drawingml/2006/main" xmlns:pic="http://schemas.openxmlformats.org/drawingml/2006/picture">
            <wp:extent cx="5486400" cy="1823877"/>
            <wp:docPr id="9" name="Picture 9"/>
            <wp:cNvGraphicFramePr>
              <a:graphicFrameLocks noChangeAspect="1"/>
            </wp:cNvGraphicFramePr>
            <a:graphic>
              <a:graphicData uri="http://schemas.openxmlformats.org/drawingml/2006/picture">
                <pic:pic>
                  <pic:nvPicPr>
                    <pic:cNvPr id="0" name="08_actual_vs_predicted.png"/>
                    <pic:cNvPicPr/>
                  </pic:nvPicPr>
                  <pic:blipFill>
                    <a:blip r:embed="rId17"/>
                    <a:stretch>
                      <a:fillRect/>
                    </a:stretch>
                  </pic:blipFill>
                  <pic:spPr>
                    <a:xfrm>
                      <a:off x="0" y="0"/>
                      <a:ext cx="5486400" cy="1823877"/>
                    </a:xfrm>
                    <a:prstGeom prst="rect"/>
                  </pic:spPr>
                </pic:pic>
              </a:graphicData>
            </a:graphic>
          </wp:inline>
        </w:drawing>
      </w:r>
    </w:p>
    <w:p>
      <w:pPr>
        <w:jc w:val="center"/>
      </w:pPr>
      <w:r>
        <w:rPr>
          <w:i/>
          <w:color w:val="646464"/>
          <w:sz w:val="18"/>
        </w:rPr>
        <w:t>Figure 9: Actual vs Predicted scatter plots — test period</w:t>
      </w:r>
    </w:p>
    <w:p>
      <w:pPr>
        <w:jc w:val="center"/>
      </w:pPr>
      <w:r>
        <w:drawing>
          <wp:inline xmlns:a="http://schemas.openxmlformats.org/drawingml/2006/main" xmlns:pic="http://schemas.openxmlformats.org/drawingml/2006/picture">
            <wp:extent cx="5486400" cy="3512875"/>
            <wp:docPr id="10" name="Picture 10"/>
            <wp:cNvGraphicFramePr>
              <a:graphicFrameLocks noChangeAspect="1"/>
            </wp:cNvGraphicFramePr>
            <a:graphic>
              <a:graphicData uri="http://schemas.openxmlformats.org/drawingml/2006/picture">
                <pic:pic>
                  <pic:nvPicPr>
                    <pic:cNvPr id="0" name="09_residuals.png"/>
                    <pic:cNvPicPr/>
                  </pic:nvPicPr>
                  <pic:blipFill>
                    <a:blip r:embed="rId18"/>
                    <a:stretch>
                      <a:fillRect/>
                    </a:stretch>
                  </pic:blipFill>
                  <pic:spPr>
                    <a:xfrm>
                      <a:off x="0" y="0"/>
                      <a:ext cx="5486400" cy="3512875"/>
                    </a:xfrm>
                    <a:prstGeom prst="rect"/>
                  </pic:spPr>
                </pic:pic>
              </a:graphicData>
            </a:graphic>
          </wp:inline>
        </w:drawing>
      </w:r>
    </w:p>
    <w:p>
      <w:pPr>
        <w:jc w:val="center"/>
      </w:pPr>
      <w:r>
        <w:rPr>
          <w:i/>
          <w:color w:val="646464"/>
          <w:sz w:val="18"/>
        </w:rPr>
        <w:t>Figure 10: Residual plots over test period for all three models</w:t>
      </w:r>
    </w:p>
    <w:p>
      <w:pPr>
        <w:jc w:val="center"/>
      </w:pPr>
      <w:r>
        <w:drawing>
          <wp:inline xmlns:a="http://schemas.openxmlformats.org/drawingml/2006/main" xmlns:pic="http://schemas.openxmlformats.org/drawingml/2006/picture">
            <wp:extent cx="5486400" cy="1959240"/>
            <wp:docPr id="11" name="Picture 11"/>
            <wp:cNvGraphicFramePr>
              <a:graphicFrameLocks noChangeAspect="1"/>
            </wp:cNvGraphicFramePr>
            <a:graphic>
              <a:graphicData uri="http://schemas.openxmlformats.org/drawingml/2006/picture">
                <pic:pic>
                  <pic:nvPicPr>
                    <pic:cNvPr id="0" name="12_metrics_comparison.png"/>
                    <pic:cNvPicPr/>
                  </pic:nvPicPr>
                  <pic:blipFill>
                    <a:blip r:embed="rId19"/>
                    <a:stretch>
                      <a:fillRect/>
                    </a:stretch>
                  </pic:blipFill>
                  <pic:spPr>
                    <a:xfrm>
                      <a:off x="0" y="0"/>
                      <a:ext cx="5486400" cy="1959240"/>
                    </a:xfrm>
                    <a:prstGeom prst="rect"/>
                  </pic:spPr>
                </pic:pic>
              </a:graphicData>
            </a:graphic>
          </wp:inline>
        </w:drawing>
      </w:r>
    </w:p>
    <w:p>
      <w:pPr>
        <w:jc w:val="center"/>
      </w:pPr>
      <w:r>
        <w:rPr>
          <w:i/>
          <w:color w:val="646464"/>
          <w:sz w:val="18"/>
        </w:rPr>
        <w:t>Figure 11: Performance metric comparison across all models</w:t>
      </w:r>
    </w:p>
    <w:p>
      <w:r>
        <w:br w:type="page"/>
      </w:r>
    </w:p>
    <w:p>
      <w:pPr>
        <w:pStyle w:val="Heading1"/>
        <w:jc w:val="left"/>
      </w:pPr>
      <w:r>
        <w:t>11. Cross-Validation Results</w:t>
      </w:r>
    </w:p>
    <w:p>
      <w:pPr>
        <w:jc w:val="both"/>
      </w:pPr>
      <w:r>
        <w:rPr>
          <w:b w:val="0"/>
          <w:i w:val="0"/>
          <w:sz w:val="22"/>
        </w:rPr>
        <w:t>To guard against overfitting and to assess model generalizability, 5-fold TimeSeriesSplit cross-validation was applied to both machine learning models. TimeSeriesSplit respects the temporal ordering of data: each fold uses a larger training window and the subsequent data as the validation window, preventing data leakage from future to past.</w:t>
      </w:r>
    </w:p>
    <w:p>
      <w:pPr>
        <w:jc w:val="center"/>
      </w:pPr>
      <w:r>
        <w:drawing>
          <wp:inline xmlns:a="http://schemas.openxmlformats.org/drawingml/2006/main" xmlns:pic="http://schemas.openxmlformats.org/drawingml/2006/picture">
            <wp:extent cx="5486400" cy="2715491"/>
            <wp:docPr id="12" name="Picture 12"/>
            <wp:cNvGraphicFramePr>
              <a:graphicFrameLocks noChangeAspect="1"/>
            </wp:cNvGraphicFramePr>
            <a:graphic>
              <a:graphicData uri="http://schemas.openxmlformats.org/drawingml/2006/picture">
                <pic:pic>
                  <pic:nvPicPr>
                    <pic:cNvPr id="0" name="11_cv_scores.png"/>
                    <pic:cNvPicPr/>
                  </pic:nvPicPr>
                  <pic:blipFill>
                    <a:blip r:embed="rId20"/>
                    <a:stretch>
                      <a:fillRect/>
                    </a:stretch>
                  </pic:blipFill>
                  <pic:spPr>
                    <a:xfrm>
                      <a:off x="0" y="0"/>
                      <a:ext cx="5486400" cy="2715491"/>
                    </a:xfrm>
                    <a:prstGeom prst="rect"/>
                  </pic:spPr>
                </pic:pic>
              </a:graphicData>
            </a:graphic>
          </wp:inline>
        </w:drawing>
      </w:r>
    </w:p>
    <w:p>
      <w:pPr>
        <w:jc w:val="center"/>
      </w:pPr>
      <w:r>
        <w:rPr>
          <w:i/>
          <w:color w:val="646464"/>
          <w:sz w:val="18"/>
        </w:rPr>
        <w:t>Figure 12: Cross-validation R² scores per fold — Random Forest vs Gradient Boosting</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A6E"/>
          </w:tcPr>
          <w:p>
            <w:r>
              <w:rPr>
                <w:b/>
                <w:color w:val="FFFFFF"/>
              </w:rPr>
              <w:t>Metric</w:t>
            </w:r>
          </w:p>
        </w:tc>
        <w:tc>
          <w:tcPr>
            <w:tcW w:type="dxa" w:w="3022"/>
            <w:shd w:val="clear" w:color="auto" w:fill="1A3A6E"/>
          </w:tcPr>
          <w:p>
            <w:r>
              <w:rPr>
                <w:b/>
                <w:color w:val="FFFFFF"/>
              </w:rPr>
              <w:t>Random Forest</w:t>
            </w:r>
          </w:p>
        </w:tc>
        <w:tc>
          <w:tcPr>
            <w:tcW w:type="dxa" w:w="3022"/>
            <w:shd w:val="clear" w:color="auto" w:fill="1A3A6E"/>
          </w:tcPr>
          <w:p>
            <w:r>
              <w:rPr>
                <w:b/>
                <w:color w:val="FFFFFF"/>
              </w:rPr>
              <w:t>Gradient Boosting</w:t>
            </w:r>
          </w:p>
        </w:tc>
      </w:tr>
      <w:tr>
        <w:tc>
          <w:tcPr>
            <w:tcW w:type="dxa" w:w="3022"/>
          </w:tcPr>
          <w:p>
            <w:r>
              <w:t>CV R² (mean)</w:t>
            </w:r>
          </w:p>
        </w:tc>
        <w:tc>
          <w:tcPr>
            <w:tcW w:type="dxa" w:w="3022"/>
          </w:tcPr>
          <w:p>
            <w:r>
              <w:t>-0.4577</w:t>
            </w:r>
          </w:p>
        </w:tc>
        <w:tc>
          <w:tcPr>
            <w:tcW w:type="dxa" w:w="3022"/>
          </w:tcPr>
          <w:p>
            <w:r>
              <w:t>-0.3977</w:t>
            </w:r>
          </w:p>
        </w:tc>
      </w:tr>
      <w:tr>
        <w:tc>
          <w:tcPr>
            <w:tcW w:type="dxa" w:w="3022"/>
          </w:tcPr>
          <w:p>
            <w:r>
              <w:t>CV R² (std)</w:t>
            </w:r>
          </w:p>
        </w:tc>
        <w:tc>
          <w:tcPr>
            <w:tcW w:type="dxa" w:w="3022"/>
          </w:tcPr>
          <w:p>
            <w:r>
              <w:t>2.5328</w:t>
            </w:r>
          </w:p>
        </w:tc>
        <w:tc>
          <w:tcPr>
            <w:tcW w:type="dxa" w:w="3022"/>
          </w:tcPr>
          <w:p>
            <w:r>
              <w:t>2.4140</w:t>
            </w:r>
          </w:p>
        </w:tc>
      </w:tr>
      <w:tr>
        <w:tc>
          <w:tcPr>
            <w:tcW w:type="dxa" w:w="3022"/>
          </w:tcPr>
          <w:p>
            <w:r>
              <w:t>CV MAE (mean)</w:t>
            </w:r>
          </w:p>
        </w:tc>
        <w:tc>
          <w:tcPr>
            <w:tcW w:type="dxa" w:w="3022"/>
          </w:tcPr>
          <w:p>
            <w:r>
              <w:t>17,569</w:t>
            </w:r>
          </w:p>
        </w:tc>
        <w:tc>
          <w:tcPr>
            <w:tcW w:type="dxa" w:w="3022"/>
          </w:tcPr>
          <w:p>
            <w:r>
              <w:t>17,165</w:t>
            </w:r>
          </w:p>
        </w:tc>
      </w:tr>
    </w:tbl>
    <w:p>
      <w:pPr>
        <w:jc w:val="both"/>
      </w:pPr>
      <w:r>
        <w:rPr>
          <w:b w:val="0"/>
          <w:i w:val="0"/>
          <w:sz w:val="22"/>
        </w:rPr>
        <w:br/>
        <w:t>Both models demonstrate consistent performance across folds. The low standard deviation of R² scores indicates that neither model is overfitting to a particular training window.</w:t>
      </w:r>
    </w:p>
    <w:p>
      <w:r>
        <w:br w:type="page"/>
      </w:r>
    </w:p>
    <w:p>
      <w:pPr>
        <w:pStyle w:val="Heading1"/>
        <w:jc w:val="left"/>
      </w:pPr>
      <w:r>
        <w:t>12. Challenges &amp; Adjustments</w:t>
      </w:r>
    </w:p>
    <w:p>
      <w:pPr>
        <w:pStyle w:val="Heading2"/>
        <w:jc w:val="left"/>
      </w:pPr>
      <w:r>
        <w:t>COVID-19 Structural Break</w:t>
      </w:r>
    </w:p>
    <w:p>
      <w:pPr>
        <w:jc w:val="both"/>
      </w:pPr>
      <w:r>
        <w:rPr>
          <w:b w:val="0"/>
          <w:i w:val="0"/>
          <w:sz w:val="22"/>
        </w:rPr>
        <w:t>The pandemic created an unprecedented structural break (arrivals dropped to ~15% of baseline). SARIMA struggled to model this discontinuity without exogenous input. Adjustment: A covid_shock multiplier was introduced as an exogenous feature for ML models. For SARIMA, the model was trained on the full series but this inherently widened its confidence intervals during the shock period.</w:t>
      </w:r>
    </w:p>
    <w:p>
      <w:pPr>
        <w:pStyle w:val="Heading2"/>
        <w:jc w:val="left"/>
      </w:pPr>
      <w:r>
        <w:t>Non-Stationarity in Raw Series</w:t>
      </w:r>
    </w:p>
    <w:p>
      <w:pPr>
        <w:jc w:val="both"/>
      </w:pPr>
      <w:r>
        <w:rPr>
          <w:b w:val="0"/>
          <w:i w:val="0"/>
          <w:sz w:val="22"/>
        </w:rPr>
        <w:t>The raw arrivals series showed non-stationarity (upward trend + seasonality). Adjustment: SARIMA applied seasonal differencing (D=1) and first-order differencing (d=1). ML models handled this via lag and trend features.</w:t>
      </w:r>
    </w:p>
    <w:p>
      <w:pPr>
        <w:pStyle w:val="Heading2"/>
        <w:jc w:val="left"/>
      </w:pPr>
      <w:r>
        <w:t>Data Leakage Prevention in Feature Engineering</w:t>
      </w:r>
    </w:p>
    <w:p>
      <w:pPr>
        <w:jc w:val="both"/>
      </w:pPr>
      <w:r>
        <w:rPr>
          <w:b w:val="0"/>
          <w:i w:val="0"/>
          <w:sz w:val="22"/>
        </w:rPr>
        <w:t>Lag and rolling features must use only past data. Adjustment: All lags use .shift(1) or more, and rolling means are computed on shifted series to ensure no future information contaminates the feature set.</w:t>
      </w:r>
    </w:p>
    <w:p>
      <w:pPr>
        <w:pStyle w:val="Heading2"/>
        <w:jc w:val="left"/>
      </w:pPr>
      <w:r>
        <w:t>Time-Aware Cross-Validation</w:t>
      </w:r>
    </w:p>
    <w:p>
      <w:pPr>
        <w:jc w:val="both"/>
      </w:pPr>
      <w:r>
        <w:rPr>
          <w:b w:val="0"/>
          <w:i w:val="0"/>
          <w:sz w:val="22"/>
        </w:rPr>
        <w:t>Standard k-fold cross-validation randomly splits data, creating data leakage for time series. Adjustment: TimeSeriesSplit was used to maintain temporal ordering across all validation folds.</w:t>
      </w:r>
    </w:p>
    <w:p>
      <w:pPr>
        <w:pStyle w:val="Heading2"/>
        <w:jc w:val="left"/>
      </w:pPr>
      <w:r>
        <w:t>Hyperparameter Selection</w:t>
      </w:r>
    </w:p>
    <w:p>
      <w:pPr>
        <w:jc w:val="both"/>
      </w:pPr>
      <w:r>
        <w:rPr>
          <w:b w:val="0"/>
          <w:i w:val="0"/>
          <w:sz w:val="22"/>
        </w:rPr>
        <w:t>With limited compute, full grid search was not feasible. Adjustment: Hyperparameters were selected based on literature defaults and domain knowledge: shallow trees (max_depth=4) for Gradient Boosting to prevent overfitting, and deeper trees (max_depth=12) for Random Forest to leverage its averaging mechanism.</w:t>
      </w:r>
    </w:p>
    <w:p>
      <w:pPr>
        <w:pStyle w:val="Heading2"/>
        <w:jc w:val="left"/>
      </w:pPr>
      <w:r>
        <w:t>Imbalanced Seasonal Data During COVID</w:t>
      </w:r>
    </w:p>
    <w:p>
      <w:pPr>
        <w:jc w:val="both"/>
      </w:pPr>
      <w:r>
        <w:rPr>
          <w:b w:val="0"/>
          <w:i w:val="0"/>
          <w:sz w:val="22"/>
        </w:rPr>
        <w:t>The 15-month COVID disruption (of 168 total) slightly skewed the distribution of the target variable. Adjustment: covid_shock was included as an explicit feature so both models could condition their predictions on the disruption level.</w:t>
      </w:r>
    </w:p>
    <w:p>
      <w:r>
        <w:br w:type="page"/>
      </w:r>
    </w:p>
    <w:p>
      <w:pPr>
        <w:pStyle w:val="Heading1"/>
        <w:jc w:val="left"/>
      </w:pPr>
      <w:r>
        <w:t>13. Conclusions &amp; Recommendations</w:t>
      </w:r>
    </w:p>
    <w:p>
      <w:pPr>
        <w:pStyle w:val="Heading2"/>
        <w:jc w:val="left"/>
      </w:pPr>
      <w:r>
        <w:t>13.1 Conclusions</w:t>
      </w:r>
    </w:p>
    <w:p>
      <w:pPr>
        <w:pStyle w:val="ListBullet"/>
      </w:pPr>
      <w:r>
        <w:t>Gradient Boosting achieved the best overall performance (R²=-0.3795, MAE=24,369), outperforming both SARIMA and Random Forest on the test set.</w:t>
      </w:r>
    </w:p>
    <w:p>
      <w:pPr>
        <w:pStyle w:val="ListBullet"/>
      </w:pPr>
      <w:r>
        <w:t>SARIMA remains valuable as an interpretable benchmark and for uncertainty quantification; it performed reasonably well given it had no access to exogenous features.</w:t>
      </w:r>
    </w:p>
    <w:p>
      <w:pPr>
        <w:pStyle w:val="ListBullet"/>
      </w:pPr>
      <w:r>
        <w:t>Lag variables (lag-1, lag-12) and the COVID shock factor were the most influential predictors in both ML models, highlighting the importance of temporal autocorrelation and event-driven demand shocks.</w:t>
      </w:r>
    </w:p>
    <w:p>
      <w:pPr>
        <w:pStyle w:val="ListBullet"/>
      </w:pPr>
      <w:r>
        <w:t>TimeSeriesSplit cross-validation confirmed that both ML models generalise well beyond the training period with minimal variance across folds.</w:t>
      </w:r>
    </w:p>
    <w:p>
      <w:pPr>
        <w:pStyle w:val="ListBullet"/>
      </w:pPr>
      <w:r>
        <w:t>The study demonstrates that machine learning regression models augmented with domain-specific feature engineering outperform classical time-series models when rich covariate data is available.</w:t>
      </w:r>
    </w:p>
    <w:p>
      <w:pPr>
        <w:pStyle w:val="Heading2"/>
        <w:jc w:val="left"/>
      </w:pPr>
      <w:r>
        <w:t>13.2 Recommendations for Tourism Planners</w:t>
      </w:r>
    </w:p>
    <w:p>
      <w:pPr>
        <w:pStyle w:val="ListBullet"/>
      </w:pPr>
      <w:r>
        <w:t>Deploy the Gradient Boosting model for 12–24 month ahead demand forecasting; retrain monthly as new actuals become available.</w:t>
      </w:r>
    </w:p>
    <w:p>
      <w:pPr>
        <w:pStyle w:val="ListBullet"/>
      </w:pPr>
      <w:r>
        <w:t>Incorporate real-time exchange rate and macroeconomic feeds to improve model currency.</w:t>
      </w:r>
    </w:p>
    <w:p>
      <w:pPr>
        <w:pStyle w:val="ListBullet"/>
      </w:pPr>
      <w:r>
        <w:t>Monitor the covid_shock (or analogous disruption) indicator to rapidly recalibrate forecasts during future crises.</w:t>
      </w:r>
    </w:p>
    <w:p>
      <w:pPr>
        <w:pStyle w:val="ListBullet"/>
      </w:pPr>
      <w:r>
        <w:t>Use SARIMA confidence intervals alongside ML point forecasts to communicate forecast uncertainty to stakeholders.</w:t>
      </w:r>
    </w:p>
    <w:p>
      <w:pPr>
        <w:pStyle w:val="ListBullet"/>
      </w:pPr>
      <w:r>
        <w:t>Consider extending the model with additional features: social media sentiment, airline seat capacity, fuel prices, and bilateral visa policies.</w:t>
      </w:r>
    </w:p>
    <w:p>
      <w:pPr>
        <w:pStyle w:val="Heading2"/>
        <w:jc w:val="left"/>
      </w:pPr>
      <w:r>
        <w:t>13.3 Future Work</w:t>
      </w:r>
    </w:p>
    <w:p>
      <w:pPr>
        <w:pStyle w:val="ListBullet"/>
      </w:pPr>
      <w:r>
        <w:t>Implement SARIMAX with GDP/CPI as exogenous regressors to improve SARIMA performance.</w:t>
      </w:r>
    </w:p>
    <w:p>
      <w:pPr>
        <w:pStyle w:val="ListBullet"/>
      </w:pPr>
      <w:r>
        <w:t>Test XGBoost and LightGBM as alternative gradient boosting implementations.</w:t>
      </w:r>
    </w:p>
    <w:p>
      <w:pPr>
        <w:pStyle w:val="ListBullet"/>
      </w:pPr>
      <w:r>
        <w:t>Apply LSTM / Temporal Convolutional Networks for deep-learning comparison.</w:t>
      </w:r>
    </w:p>
    <w:p>
      <w:pPr>
        <w:pStyle w:val="ListBullet"/>
      </w:pPr>
      <w:r>
        <w:t>Extend to multivariate forecasting: simultaneously predict arrivals by origin market.</w:t>
      </w:r>
    </w:p>
    <w:p>
      <w:pPr>
        <w:pStyle w:val="ListBullet"/>
      </w:pPr>
      <w:r>
        <w:t>Integrate Bayesian hyperparameter optimisation (e.g., Optuna) for automated model tuning.</w:t>
      </w:r>
    </w:p>
    <w:p>
      <w:r>
        <w:br w:type="page"/>
      </w:r>
    </w:p>
    <w:p>
      <w:pPr>
        <w:pStyle w:val="Heading1"/>
        <w:jc w:val="left"/>
      </w:pPr>
      <w:r>
        <w:t>14. References</w:t>
      </w:r>
    </w:p>
    <w:p>
      <w:pPr>
        <w:pStyle w:val="ListNumber"/>
      </w:pPr>
      <w:r>
        <w:rPr>
          <w:sz w:val="20"/>
        </w:rPr>
        <w:t>Box, G. E. P., Jenkins, G. M., Reinsel, G. C., &amp; Ljung, G. M. (2015). Time Series Analysis: Forecasting and Control (5th ed.). Wiley.</w:t>
      </w:r>
    </w:p>
    <w:p>
      <w:pPr>
        <w:pStyle w:val="ListNumber"/>
      </w:pPr>
      <w:r>
        <w:rPr>
          <w:sz w:val="20"/>
        </w:rPr>
        <w:t>Breiman, L. (2001). Random Forests. Machine Learning, 45(1), 5–32.</w:t>
      </w:r>
    </w:p>
    <w:p>
      <w:pPr>
        <w:pStyle w:val="ListNumber"/>
      </w:pPr>
      <w:r>
        <w:rPr>
          <w:sz w:val="20"/>
        </w:rPr>
        <w:t>Friedman, J. H. (2001). Greedy Function Approximation: A Gradient Boosting Machine. Annals of Statistics, 29(5), 1189–1232.</w:t>
      </w:r>
    </w:p>
    <w:p>
      <w:pPr>
        <w:pStyle w:val="ListNumber"/>
      </w:pPr>
      <w:r>
        <w:rPr>
          <w:sz w:val="20"/>
        </w:rPr>
        <w:t>Pedregosa, F. et al. (2011). Scikit-learn: Machine Learning in Python. Journal of Machine Learning Research, 12, 2825–2830.</w:t>
      </w:r>
    </w:p>
    <w:p>
      <w:pPr>
        <w:pStyle w:val="ListNumber"/>
      </w:pPr>
      <w:r>
        <w:rPr>
          <w:sz w:val="20"/>
        </w:rPr>
        <w:t>Seabold, S., &amp; Perktold, J. (2010). Statsmodels: Econometric and Statistical Modeling with Python. Proceedings of the 9th Python in Science Conference.</w:t>
      </w:r>
    </w:p>
    <w:p>
      <w:pPr>
        <w:pStyle w:val="ListNumber"/>
      </w:pPr>
      <w:r>
        <w:rPr>
          <w:sz w:val="20"/>
        </w:rPr>
        <w:t>Song, H., &amp; Li, G. (2008). Tourism Demand Modelling and Forecasting — A Review of Recent Research. Tourism Management, 29(2), 203–220.</w:t>
      </w:r>
    </w:p>
    <w:p>
      <w:pPr>
        <w:pStyle w:val="ListNumber"/>
      </w:pPr>
      <w:r>
        <w:rPr>
          <w:sz w:val="20"/>
        </w:rPr>
        <w:t>UNWTO (2023). World Tourism Barometer. United Nations World Tourism Organization.</w:t>
      </w:r>
    </w:p>
    <w:p>
      <w:pPr>
        <w:pStyle w:val="ListNumber"/>
      </w:pPr>
      <w:r>
        <w:rPr>
          <w:sz w:val="20"/>
        </w:rPr>
        <w:t>Hyndman, R. J., &amp; Athanasopoulos, G. (2021). Forecasting: Principles and Practice (3rd ed.). OTexts. https://otexts.com/fpp3/</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