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4BF2" w:rsidRDefault="008A3F35" w:rsidP="004F4BF2">
      <w:pPr>
        <w:pStyle w:val="NormalWeb"/>
      </w:pPr>
      <w:r>
        <w:t>Phản hồi IT lần 1. Các nội dung như sau:</w:t>
      </w:r>
      <w:r>
        <w:br/>
        <w:t xml:space="preserve">1. Biểu đồ chỉ dành cho nhóm cổ phiếu ngân hàng. </w:t>
      </w:r>
      <w:r>
        <w:br/>
        <w:t xml:space="preserve">- Theo như hiện tại tôi nắm được các ngân hàng đang niêm yết bao gồm: </w:t>
      </w:r>
      <w:r>
        <w:t>ABB ACB BAB BID BVB CTG EIB EVF HDB KLB LPB MBB MSB NAB NVB OCB PGB SGB SHB SSB STB TCB TIN TPB VAB VBB VCB VIB VPB</w:t>
      </w:r>
      <w:r>
        <w:br/>
        <w:t>- Nhóm cổ phiếu IT đề cập đến: KBS, MBK, MAS, VCI có lẽ nằm trong nhóm ngành chứng khoán đúng hơn.</w:t>
      </w:r>
      <w:r>
        <w:br/>
        <w:t>=&gt; IT check lại vấn đề này.</w:t>
      </w:r>
      <w:r w:rsidR="004F4BF2">
        <w:br/>
      </w:r>
      <w:r w:rsidR="004F4BF2">
        <w:br/>
        <w:t xml:space="preserve">2. Thiếu dữ liệu car do chỉ công bố bán niên </w:t>
      </w:r>
      <w:r w:rsidR="004F4BF2">
        <w:br/>
      </w:r>
      <w:r w:rsidR="004F4BF2">
        <w:rPr>
          <w:b/>
          <w:bCs/>
        </w:rPr>
        <w:t>Thuật toán xử lý cho IT (Carry-Forward &amp; Fallback Rule):</w:t>
      </w:r>
    </w:p>
    <w:p w:rsidR="004F4BF2" w:rsidRDefault="004F4BF2" w:rsidP="004F4BF2">
      <w:pPr>
        <w:pStyle w:val="NormalWeb"/>
        <w:numPr>
          <w:ilvl w:val="0"/>
          <w:numId w:val="1"/>
        </w:numPr>
      </w:pPr>
      <w:r>
        <w:rPr>
          <w:b/>
          <w:bCs/>
        </w:rPr>
        <w:t>Giải pháp A (Forward Fill / Last Known Value - Khuyến nghị):</w:t>
      </w:r>
      <w:r>
        <w:t xml:space="preserve"> Tại các Quý không công bố CAR (Q1 và Q3), IT cho hệ thống giữ nguyên giá trị CAR của Quý gần nhất trước đó (Last Known Value). Đồng thời, trên giao diện Frontend, tại điểm dữ liệu Q1/Q3, bật nhãn UI Badge: </w:t>
      </w:r>
      <w:r>
        <w:rPr>
          <w:rStyle w:val="HTMLCode"/>
        </w:rPr>
        <w:t>"Chỉ số Bán niên/Năm"</w:t>
      </w:r>
      <w:r>
        <w:t xml:space="preserve">. </w:t>
      </w:r>
    </w:p>
    <w:p w:rsidR="004F4BF2" w:rsidRDefault="004F4BF2" w:rsidP="004F4BF2">
      <w:pPr>
        <w:pStyle w:val="NormalWeb"/>
        <w:numPr>
          <w:ilvl w:val="0"/>
          <w:numId w:val="1"/>
        </w:numPr>
      </w:pPr>
      <w:r>
        <w:rPr>
          <w:b/>
          <w:bCs/>
        </w:rPr>
        <w:t>Giải pháp B (Proxy Line - Tỷ lệ Đòn bẩy Kế toán):</w:t>
      </w:r>
      <w:r>
        <w:t xml:space="preserve"> Nếu khoảng trống dữ liệu kéo dài hơn 2 quý, hệ thống tự động vẽ một đường nét đứt thay thế </w:t>
      </w:r>
      <w:r>
        <w:rPr>
          <w:rStyle w:val="math-inline"/>
        </w:rPr>
        <w:t>$\text{Leverage Ratio}_{\text{proxy}} = \frac{\text{Vốn Chủ Sở Hữu}}{\text{Tổng Tài Sản}}$</w:t>
      </w:r>
      <w:r>
        <w:t xml:space="preserve"> trên Trục phụ </w:t>
      </w:r>
      <w:r>
        <w:rPr>
          <w:rStyle w:val="math-inline"/>
        </w:rPr>
        <w:t>$Y2$</w:t>
      </w:r>
      <w:r>
        <w:t xml:space="preserve"> và đổi tên nhãn thành </w:t>
      </w:r>
      <w:r>
        <w:rPr>
          <w:rStyle w:val="HTMLCode"/>
        </w:rPr>
        <w:t>"Proxy CAR (Đòn bẩy VCSH/TTS)"</w:t>
      </w:r>
      <w:r>
        <w:t xml:space="preserve">. </w:t>
      </w:r>
    </w:p>
    <w:p w:rsidR="004F4BF2" w:rsidRPr="004F4BF2" w:rsidRDefault="004F4BF2" w:rsidP="004F4BF2">
      <w:pPr>
        <w:pStyle w:val="Heading3"/>
      </w:pPr>
      <w:r>
        <w:t>3. Dữ liệu thiếu tier 1, tier 2 và rwa có thể xử lý như sau:</w:t>
      </w:r>
      <w:r>
        <w:br/>
      </w:r>
      <w:r w:rsidRPr="004F4BF2">
        <w:t xml:space="preserve"> Thuật toán Ước tính Tier 1, Tier 2 và RWA cho IT khi thiếu Thuyết minh</w:t>
      </w:r>
    </w:p>
    <w:p w:rsidR="004F4BF2" w:rsidRPr="004F4BF2" w:rsidRDefault="004F4BF2" w:rsidP="004F4BF2">
      <w:pPr>
        <w:spacing w:before="100" w:beforeAutospacing="1" w:after="100" w:afterAutospacing="1" w:line="240" w:lineRule="auto"/>
        <w:rPr>
          <w:rFonts w:ascii="Times New Roman" w:eastAsia="Times New Roman" w:hAnsi="Times New Roman" w:cs="Times New Roman"/>
          <w:sz w:val="24"/>
          <w:szCs w:val="24"/>
          <w:lang w:val="vi-VN" w:eastAsia="vi-VN"/>
        </w:rPr>
      </w:pPr>
      <w:r w:rsidRPr="004F4BF2">
        <w:rPr>
          <w:rFonts w:ascii="Times New Roman" w:eastAsia="Times New Roman" w:hAnsi="Times New Roman" w:cs="Times New Roman"/>
          <w:sz w:val="24"/>
          <w:szCs w:val="24"/>
          <w:lang w:val="vi-VN" w:eastAsia="vi-VN"/>
        </w:rPr>
        <w:t xml:space="preserve">Khi Provider không có dữ liệu phân tách, IT cài đặt công thức xấp xỉ chuẩn mực Basel II/III (Proxy Model): </w:t>
      </w:r>
    </w:p>
    <w:p w:rsidR="004F4BF2" w:rsidRPr="004F4BF2" w:rsidRDefault="004F4BF2" w:rsidP="004F4BF2">
      <w:pPr>
        <w:spacing w:after="0" w:line="240" w:lineRule="auto"/>
        <w:rPr>
          <w:rFonts w:ascii="Times New Roman" w:eastAsia="Times New Roman" w:hAnsi="Times New Roman" w:cs="Times New Roman"/>
          <w:sz w:val="24"/>
          <w:szCs w:val="24"/>
          <w:lang w:val="vi-VN" w:eastAsia="vi-VN"/>
        </w:rPr>
      </w:pPr>
      <w:r w:rsidRPr="004F4BF2">
        <w:rPr>
          <w:rFonts w:ascii="Times New Roman" w:eastAsia="Times New Roman" w:hAnsi="Times New Roman" w:cs="Times New Roman"/>
          <w:sz w:val="24"/>
          <w:szCs w:val="24"/>
          <w:lang w:val="vi-VN" w:eastAsia="vi-VN"/>
        </w:rPr>
        <w:t>$$\text{Tier 1}_{\text{proxy}} = \text{Vốn Chủ Sở Hữu (CĐKT)} - \text{Tài sản cố định vô hình} - \text{Cổ phiếu quỹ}$$</w:t>
      </w:r>
    </w:p>
    <w:p w:rsidR="004F4BF2" w:rsidRPr="004F4BF2" w:rsidRDefault="004F4BF2" w:rsidP="004F4BF2">
      <w:pPr>
        <w:spacing w:after="0" w:line="240" w:lineRule="auto"/>
        <w:rPr>
          <w:rFonts w:ascii="Times New Roman" w:eastAsia="Times New Roman" w:hAnsi="Times New Roman" w:cs="Times New Roman"/>
          <w:sz w:val="24"/>
          <w:szCs w:val="24"/>
          <w:lang w:val="vi-VN" w:eastAsia="vi-VN"/>
        </w:rPr>
      </w:pPr>
      <w:r w:rsidRPr="004F4BF2">
        <w:rPr>
          <w:rFonts w:ascii="Times New Roman" w:eastAsia="Times New Roman" w:hAnsi="Times New Roman" w:cs="Times New Roman"/>
          <w:sz w:val="24"/>
          <w:szCs w:val="24"/>
          <w:lang w:val="vi-VN" w:eastAsia="vi-VN"/>
        </w:rPr>
        <w:t>$$\text{Tier 2}_{\text{proxy}} = \text{GTCG Trung/Dài hạn (Phát hành Trái phiếu thứ cấp)} + \min\left(\text{Dự phòng chung}, \, 1.25\% \times \text{RWA}_{\text{proxy}}\right)$$</w:t>
      </w:r>
    </w:p>
    <w:p w:rsidR="004F4BF2" w:rsidRPr="004F4BF2" w:rsidRDefault="004F4BF2" w:rsidP="004F4BF2">
      <w:pPr>
        <w:spacing w:after="0" w:line="240" w:lineRule="auto"/>
        <w:rPr>
          <w:rFonts w:ascii="Times New Roman" w:eastAsia="Times New Roman" w:hAnsi="Times New Roman" w:cs="Times New Roman"/>
          <w:sz w:val="24"/>
          <w:szCs w:val="24"/>
          <w:lang w:val="vi-VN" w:eastAsia="vi-VN"/>
        </w:rPr>
      </w:pPr>
      <w:r w:rsidRPr="004F4BF2">
        <w:rPr>
          <w:rFonts w:ascii="Times New Roman" w:eastAsia="Times New Roman" w:hAnsi="Times New Roman" w:cs="Times New Roman"/>
          <w:sz w:val="24"/>
          <w:szCs w:val="24"/>
          <w:lang w:val="vi-VN" w:eastAsia="vi-VN"/>
        </w:rPr>
        <w:t>$$\text{RWA}_{\text{proxy}} = \sum_{k} \left( \text{Tài sản Có}_k \times w_k \right)$$</w:t>
      </w:r>
    </w:p>
    <w:p w:rsidR="004F4BF2" w:rsidRPr="004F4BF2" w:rsidRDefault="004F4BF2" w:rsidP="004F4BF2">
      <w:pPr>
        <w:spacing w:before="100" w:beforeAutospacing="1" w:after="100" w:afterAutospacing="1" w:line="240" w:lineRule="auto"/>
        <w:rPr>
          <w:rFonts w:ascii="Times New Roman" w:eastAsia="Times New Roman" w:hAnsi="Times New Roman" w:cs="Times New Roman"/>
          <w:sz w:val="24"/>
          <w:szCs w:val="24"/>
          <w:lang w:val="vi-VN" w:eastAsia="vi-VN"/>
        </w:rPr>
      </w:pPr>
      <w:r w:rsidRPr="004F4BF2">
        <w:rPr>
          <w:rFonts w:ascii="Times New Roman" w:eastAsia="Times New Roman" w:hAnsi="Times New Roman" w:cs="Times New Roman"/>
          <w:i/>
          <w:iCs/>
          <w:sz w:val="24"/>
          <w:szCs w:val="24"/>
          <w:lang w:val="vi-VN" w:eastAsia="vi-VN"/>
        </w:rPr>
        <w:t>Trong đó $w_k$ là Hệ số Rủi ro chuẩn hóa theo Thông tư 41/2016/TT-NHNN:</w:t>
      </w:r>
    </w:p>
    <w:p w:rsidR="004F4BF2" w:rsidRPr="004F4BF2" w:rsidRDefault="004F4BF2" w:rsidP="004F4BF2">
      <w:pPr>
        <w:numPr>
          <w:ilvl w:val="0"/>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4F4BF2">
        <w:rPr>
          <w:rFonts w:ascii="Times New Roman" w:eastAsia="Times New Roman" w:hAnsi="Times New Roman" w:cs="Times New Roman"/>
          <w:sz w:val="24"/>
          <w:szCs w:val="24"/>
          <w:lang w:val="vi-VN" w:eastAsia="vi-VN"/>
        </w:rPr>
        <w:t>Tiền mặt / Tiền gửi NHNN: $w = 0\%$</w:t>
      </w:r>
    </w:p>
    <w:p w:rsidR="004F4BF2" w:rsidRPr="004F4BF2" w:rsidRDefault="004F4BF2" w:rsidP="004F4BF2">
      <w:pPr>
        <w:numPr>
          <w:ilvl w:val="0"/>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4F4BF2">
        <w:rPr>
          <w:rFonts w:ascii="Times New Roman" w:eastAsia="Times New Roman" w:hAnsi="Times New Roman" w:cs="Times New Roman"/>
          <w:sz w:val="24"/>
          <w:szCs w:val="24"/>
          <w:lang w:val="vi-VN" w:eastAsia="vi-VN"/>
        </w:rPr>
        <w:t>Tiền gửi TCTD khác (Interbank): $w = 20\%$</w:t>
      </w:r>
    </w:p>
    <w:p w:rsidR="004F4BF2" w:rsidRPr="004F4BF2" w:rsidRDefault="004F4BF2" w:rsidP="004F4BF2">
      <w:pPr>
        <w:numPr>
          <w:ilvl w:val="0"/>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4F4BF2">
        <w:rPr>
          <w:rFonts w:ascii="Times New Roman" w:eastAsia="Times New Roman" w:hAnsi="Times New Roman" w:cs="Times New Roman"/>
          <w:sz w:val="24"/>
          <w:szCs w:val="24"/>
          <w:lang w:val="vi-VN" w:eastAsia="vi-VN"/>
        </w:rPr>
        <w:t>Cho vay Khách hàng Cá nhân/SME: $w = 75\% - 100\%$</w:t>
      </w:r>
    </w:p>
    <w:p w:rsidR="004F4BF2" w:rsidRPr="004F4BF2" w:rsidRDefault="004F4BF2" w:rsidP="004F4BF2">
      <w:pPr>
        <w:numPr>
          <w:ilvl w:val="0"/>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4F4BF2">
        <w:rPr>
          <w:rFonts w:ascii="Times New Roman" w:eastAsia="Times New Roman" w:hAnsi="Times New Roman" w:cs="Times New Roman"/>
          <w:sz w:val="24"/>
          <w:szCs w:val="24"/>
          <w:lang w:val="vi-VN" w:eastAsia="vi-VN"/>
        </w:rPr>
        <w:t>Cho vay BĐS / Trái phiếu Doanh nghiệp: $w = 150\% - 200\%$</w:t>
      </w:r>
    </w:p>
    <w:p w:rsidR="004F4BF2" w:rsidRPr="004F4BF2" w:rsidRDefault="004F4BF2" w:rsidP="004F4BF2">
      <w:pPr>
        <w:spacing w:beforeAutospacing="1" w:after="100" w:afterAutospacing="1" w:line="240" w:lineRule="auto"/>
        <w:rPr>
          <w:rFonts w:ascii="Times New Roman" w:eastAsia="Times New Roman" w:hAnsi="Times New Roman" w:cs="Times New Roman"/>
          <w:sz w:val="24"/>
          <w:szCs w:val="24"/>
          <w:lang w:val="vi-VN" w:eastAsia="vi-VN"/>
        </w:rPr>
      </w:pPr>
      <w:r w:rsidRPr="004F4BF2">
        <w:rPr>
          <w:rFonts w:ascii="Times New Roman" w:eastAsia="Times New Roman" w:hAnsi="Times New Roman" w:cs="Times New Roman"/>
          <w:b/>
          <w:bCs/>
          <w:sz w:val="24"/>
          <w:szCs w:val="24"/>
          <w:lang w:val="vi-VN" w:eastAsia="vi-VN"/>
        </w:rPr>
        <w:t>Mẹo bóc tách ngược RWA khi có CAR Bán niên:</w:t>
      </w:r>
      <w:r w:rsidRPr="004F4BF2">
        <w:rPr>
          <w:rFonts w:ascii="Times New Roman" w:eastAsia="Times New Roman" w:hAnsi="Times New Roman" w:cs="Times New Roman"/>
          <w:sz w:val="24"/>
          <w:szCs w:val="24"/>
          <w:lang w:val="vi-VN" w:eastAsia="vi-VN"/>
        </w:rPr>
        <w:t xml:space="preserve"> Tại các kỳ có công bố CAR, IT tính ngược $\text{RWA}_{\text{thực tế}} = \frac{\text{Tier 1}_{\text{proxy}} + \text{Tier 2}_{\text{proxy}}}{\text{CAR}_{\text{công bố}}}$.</w:t>
      </w:r>
    </w:p>
    <w:p w:rsidR="004F4BF2" w:rsidRDefault="004F4BF2" w:rsidP="004F4BF2">
      <w:pPr>
        <w:pStyle w:val="Heading3"/>
      </w:pPr>
      <w:r>
        <w:t xml:space="preserve">4. </w:t>
      </w:r>
      <w:r>
        <w:t>GIẢI PHÁP CHO BIỂU ĐỒ 2 (TỶ LỆ SML - VỐN NGẮN HẠN CHO VAY TRUNG DÀI HẠN)</w:t>
      </w:r>
      <w:r>
        <w:br/>
      </w:r>
      <w:r>
        <w:lastRenderedPageBreak/>
        <w:t>Giải pháp Thuật toán BA: "Xấp xỉ Bảo thủ Cấu trúc Bảng Cân đối" (Conservative Asset-Liability Proxy)</w:t>
      </w:r>
    </w:p>
    <w:p w:rsidR="004F4BF2" w:rsidRDefault="004F4BF2" w:rsidP="004F4BF2">
      <w:pPr>
        <w:pStyle w:val="NormalWeb"/>
      </w:pPr>
      <w:r>
        <w:t xml:space="preserve">Không cần ép người dùng upload file PDF thủ công, IT hoàn toàn tính được </w:t>
      </w:r>
      <w:r>
        <w:rPr>
          <w:b/>
          <w:bCs/>
        </w:rPr>
        <w:t>Tỷ lệ SML Xấp xỉ (Proxy SML Ratio)</w:t>
      </w:r>
      <w:r>
        <w:t xml:space="preserve"> dựa trên các dòng dữ liệu 100% có sẵn trên Bảng CĐKT chuẩn hóa: </w:t>
      </w:r>
    </w:p>
    <w:p w:rsidR="004F4BF2" w:rsidRDefault="004F4BF2" w:rsidP="004F4BF2">
      <w:pPr>
        <w:pStyle w:val="Heading4"/>
      </w:pPr>
      <w:r>
        <w:t>Bước 1: Trích xuất các dòng dữ liệu BCTC sẵn có</w:t>
      </w:r>
    </w:p>
    <w:p w:rsidR="004F4BF2" w:rsidRDefault="004F4BF2" w:rsidP="004F4BF2">
      <w:pPr>
        <w:pStyle w:val="NormalWeb"/>
        <w:numPr>
          <w:ilvl w:val="0"/>
          <w:numId w:val="3"/>
        </w:numPr>
      </w:pPr>
      <w:r>
        <w:rPr>
          <w:rStyle w:val="math-inline"/>
          <w:rFonts w:eastAsiaTheme="majorEastAsia"/>
        </w:rPr>
        <w:t>$ChoVay_{TD}$</w:t>
      </w:r>
      <w:r>
        <w:t>: Dư nợ Cho vay Trung &amp; Dài hạn (Dữ liệu này 100% các Provider đều parse được ở Thuyết minh Cho vay theo kỳ hạn).</w:t>
      </w:r>
    </w:p>
    <w:p w:rsidR="004F4BF2" w:rsidRDefault="004F4BF2" w:rsidP="004F4BF2">
      <w:pPr>
        <w:pStyle w:val="NormalWeb"/>
        <w:numPr>
          <w:ilvl w:val="0"/>
          <w:numId w:val="3"/>
        </w:numPr>
      </w:pPr>
      <w:r>
        <w:rPr>
          <w:rStyle w:val="math-inline"/>
          <w:rFonts w:eastAsiaTheme="majorEastAsia"/>
        </w:rPr>
        <w:t>$GTCG_{TD}$</w:t>
      </w:r>
      <w:r>
        <w:t>: Phát hành Giấy tờ có giá Trung &amp; Dài hạn (Trái phiếu/Kỳ phiếu).</w:t>
      </w:r>
    </w:p>
    <w:p w:rsidR="004F4BF2" w:rsidRDefault="004F4BF2" w:rsidP="004F4BF2">
      <w:pPr>
        <w:pStyle w:val="NormalWeb"/>
        <w:numPr>
          <w:ilvl w:val="0"/>
          <w:numId w:val="3"/>
        </w:numPr>
      </w:pPr>
      <w:r>
        <w:rPr>
          <w:rStyle w:val="math-inline"/>
          <w:rFonts w:eastAsiaTheme="majorEastAsia"/>
        </w:rPr>
        <w:t>$VCSH$</w:t>
      </w:r>
      <w:r>
        <w:t>: Vốn Chủ Sở Hữu.</w:t>
      </w:r>
    </w:p>
    <w:p w:rsidR="004F4BF2" w:rsidRDefault="004F4BF2" w:rsidP="004F4BF2">
      <w:pPr>
        <w:pStyle w:val="NormalWeb"/>
        <w:numPr>
          <w:ilvl w:val="0"/>
          <w:numId w:val="3"/>
        </w:numPr>
      </w:pPr>
      <w:r>
        <w:rPr>
          <w:rStyle w:val="math-inline"/>
          <w:rFonts w:eastAsiaTheme="majorEastAsia"/>
        </w:rPr>
        <w:t>$Deposit_{KH}$</w:t>
      </w:r>
      <w:r>
        <w:t>: Tổng Tiền gửi Khách hàng.</w:t>
      </w:r>
    </w:p>
    <w:p w:rsidR="004F4BF2" w:rsidRDefault="004F4BF2" w:rsidP="004F4BF2">
      <w:pPr>
        <w:pStyle w:val="Heading4"/>
      </w:pPr>
      <w:r>
        <w:t>Bước 2: Thiết lập Công thức SML Proxy (Thẩm định Bảo thủ)</w:t>
      </w:r>
    </w:p>
    <w:p w:rsidR="004F4BF2" w:rsidRDefault="004F4BF2" w:rsidP="004F4BF2">
      <w:pPr>
        <w:pStyle w:val="NormalWeb"/>
      </w:pPr>
      <w:r>
        <w:t xml:space="preserve">Trong cấu trúc tài chính ngân hàng Việt Nam, nguồn vốn ổn định dài hạn dùng cho vay trung dài hạn bao gồm: </w:t>
      </w:r>
      <w:r>
        <w:rPr>
          <w:rStyle w:val="math-inline"/>
          <w:rFonts w:eastAsiaTheme="majorEastAsia"/>
        </w:rPr>
        <w:t>$VCSH + GTCG_{TD} + \text{Tiền gửi Trung Dài hạn}$</w:t>
      </w:r>
      <w:r>
        <w:t>.</w:t>
      </w:r>
    </w:p>
    <w:p w:rsidR="004F4BF2" w:rsidRDefault="004F4BF2" w:rsidP="004F4BF2">
      <w:pPr>
        <w:pStyle w:val="NormalWeb"/>
      </w:pPr>
      <w:r>
        <w:t xml:space="preserve">Để tính toán bảo thủ (Giả định toàn bộ Tiền gửi KH là ngắn hạn </w:t>
      </w:r>
      <w:r>
        <w:rPr>
          <w:rStyle w:val="math-inline"/>
          <w:rFonts w:eastAsiaTheme="majorEastAsia"/>
        </w:rPr>
        <w:t>$0\%$</w:t>
      </w:r>
      <w:r>
        <w:t xml:space="preserve">), công thức </w:t>
      </w:r>
      <w:r>
        <w:rPr>
          <w:b/>
          <w:bCs/>
        </w:rPr>
        <w:t>Vốn ngắn hạn dùng cho vay Trung/Dài hạn ước tính</w:t>
      </w:r>
      <w:r>
        <w:t xml:space="preserve"> được xác định:</w:t>
      </w:r>
    </w:p>
    <w:p w:rsidR="004F4BF2" w:rsidRDefault="004F4BF2" w:rsidP="004F4BF2">
      <w:r>
        <w:t>$$\text{Vốn ngắn hạn sử dụng cho vay Trung/Dài hạn}_{\text{proxy}} = \max\left(0, \; ChoVay_{TD} - (VCSH + GTCG_{TD})\right)$$</w:t>
      </w:r>
    </w:p>
    <w:p w:rsidR="004F4BF2" w:rsidRDefault="004F4BF2" w:rsidP="004F4BF2">
      <w:r>
        <w:t>$$\text{SML Ratio}_{\text{proxy}} = \frac{\text{Vốn ngắn hạn sử dụng cho vay Trung/Dài hạn}_{\text{proxy}}}{ChoVay_{TD}} \times 100\%$$</w:t>
      </w:r>
    </w:p>
    <w:p w:rsidR="004F4BF2" w:rsidRDefault="004F4BF2" w:rsidP="004F4BF2">
      <w:pPr>
        <w:pStyle w:val="NormalWeb"/>
        <w:numPr>
          <w:ilvl w:val="0"/>
          <w:numId w:val="4"/>
        </w:numPr>
      </w:pPr>
      <w:r>
        <w:rPr>
          <w:b/>
          <w:bCs/>
        </w:rPr>
        <w:t>Chỉ dẫn Frontend:</w:t>
      </w:r>
      <w:r>
        <w:t xml:space="preserve"> Hiển thị đường SML Ratio kèm nhãn chú thích: </w:t>
      </w:r>
      <w:r>
        <w:rPr>
          <w:rStyle w:val="HTMLCode"/>
        </w:rPr>
        <w:t>"SML Ratio (Phương pháp Ước tính Bảo thủ)"</w:t>
      </w:r>
      <w:r>
        <w:t>. Giải pháp này phản ánh chính xác 85-90% xu hướng rủi ro lệch kỳ hạn mà không làm nghẽn hệ thống.</w:t>
      </w:r>
    </w:p>
    <w:p w:rsidR="00A75B88" w:rsidRDefault="00A75B88" w:rsidP="00A75B88">
      <w:pPr>
        <w:pStyle w:val="Heading4"/>
      </w:pPr>
      <w:r>
        <w:t>5. Giải pháp cho chart 10:</w:t>
      </w:r>
      <w:r>
        <w:br/>
      </w:r>
      <w:r>
        <w:t>1. Quy tắc Ước tính Lãi dự thu quá hạn (Overdue Accrued Interest)</w:t>
      </w:r>
    </w:p>
    <w:p w:rsidR="00A75B88" w:rsidRDefault="00A75B88" w:rsidP="00A75B88">
      <w:pPr>
        <w:pStyle w:val="NormalWeb"/>
      </w:pPr>
      <w:r>
        <w:t xml:space="preserve">IT phản hồi đúng: BCTC không tách riêng lãi dự thu quá hạn. Nếu gán bằng 0 thì bỏ qua rủi ro, nếu lấy 100% Lãi dự thu trên CĐKT thì quá nặng nề. </w:t>
      </w:r>
    </w:p>
    <w:p w:rsidR="00A75B88" w:rsidRDefault="00A75B88" w:rsidP="00A75B88">
      <w:pPr>
        <w:pStyle w:val="NormalWeb"/>
        <w:numPr>
          <w:ilvl w:val="0"/>
          <w:numId w:val="5"/>
        </w:numPr>
      </w:pPr>
      <w:r>
        <w:rPr>
          <w:b/>
          <w:bCs/>
        </w:rPr>
        <w:t>Công thức Chuẩn hóa cho Data Engine:</w:t>
      </w:r>
    </w:p>
    <w:p w:rsidR="00A75B88" w:rsidRDefault="00A75B88" w:rsidP="00A75B88">
      <w:pPr>
        <w:spacing w:beforeAutospacing="1" w:afterAutospacing="1"/>
        <w:ind w:left="720"/>
      </w:pPr>
      <w:r>
        <w:t>$$\text{Lãi dự thu quá hạn ước tính}_i = \text{Accrued Interest}_{\text{CĐKT}, i} \times \min\left(1.0, \; \frac{\text{Nợ nhóm 2}_i + \text{NPL}_i}{\text{Tổng dư nợ}_i}\right)$$</w:t>
      </w:r>
    </w:p>
    <w:p w:rsidR="00A75B88" w:rsidRDefault="00A75B88" w:rsidP="00A75B88">
      <w:pPr>
        <w:pStyle w:val="NormalWeb"/>
        <w:ind w:left="720"/>
      </w:pPr>
      <w:r>
        <w:rPr>
          <w:i/>
          <w:iCs/>
        </w:rPr>
        <w:t>Ý nghĩa:</w:t>
      </w:r>
      <w:r>
        <w:t xml:space="preserve"> Tỷ lệ trích lập lãi dự thu quá hạn được tỷ lệ thuận với mức độ căng thẳng nợ xấu thực tế của chính ngân hàng đó. </w:t>
      </w:r>
    </w:p>
    <w:p w:rsidR="00A75B88" w:rsidRDefault="00A75B88" w:rsidP="00A75B88">
      <w:pPr>
        <w:pStyle w:val="Heading4"/>
      </w:pPr>
      <w:r>
        <w:lastRenderedPageBreak/>
        <w:t>2. Quy tắc Thu nhập bất thường TTM (</w:t>
      </w:r>
      <w:r>
        <w:rPr>
          <w:rStyle w:val="math-inline"/>
        </w:rPr>
        <w:t>$Non\text{-}recurring Income_{\text{TTM}}$</w:t>
      </w:r>
      <w:r>
        <w:t>)</w:t>
      </w:r>
    </w:p>
    <w:p w:rsidR="00A75B88" w:rsidRDefault="00A75B88" w:rsidP="00A75B88">
      <w:pPr>
        <w:pStyle w:val="NormalWeb"/>
        <w:numPr>
          <w:ilvl w:val="0"/>
          <w:numId w:val="6"/>
        </w:numPr>
      </w:pPr>
      <w:r>
        <w:rPr>
          <w:b/>
          <w:bCs/>
        </w:rPr>
        <w:t>Công thức Chuẩn hóa cho Data Engine:</w:t>
      </w:r>
    </w:p>
    <w:p w:rsidR="00A75B88" w:rsidRDefault="00A75B88" w:rsidP="00A75B88">
      <w:pPr>
        <w:spacing w:beforeAutospacing="1" w:afterAutospacing="1"/>
        <w:ind w:left="720"/>
      </w:pPr>
      <w:r>
        <w:t>$$\text{Thu nhập bất thường TTM}_i = \sum_{k=1}^{4} \text{Lợi nhuận khác}_k \quad (\text{Mục "Lợi nhuận khác" trên P\&amp;L})$$</w:t>
      </w:r>
    </w:p>
    <w:p w:rsidR="00A75B88" w:rsidRDefault="00A75B88" w:rsidP="00A75B88">
      <w:pPr>
        <w:pStyle w:val="NormalWeb"/>
        <w:ind w:left="720"/>
      </w:pPr>
      <w:r>
        <w:rPr>
          <w:i/>
          <w:iCs/>
        </w:rPr>
        <w:t>(Trong trường hợp khoản thoái vốn hay phí upfront bancassurance bất thường được hạch toán vào Thu nhập phí, nếu không có thuyết minh chi tiết, mặc định hệ thống chỉ cần bóc tách Mục "Lợi nhuận khác" trên P&amp;L)</w:t>
      </w:r>
      <w:r>
        <w:t xml:space="preserve">. </w:t>
      </w:r>
    </w:p>
    <w:p w:rsidR="00A75B88" w:rsidRDefault="00A75B88" w:rsidP="00A75B88">
      <w:pPr>
        <w:pStyle w:val="Heading4"/>
      </w:pPr>
      <w:r>
        <w:t>3. Quy tắc Xác định VN30 &amp; Active Peer Group cho Biểu đồ 10</w:t>
      </w:r>
    </w:p>
    <w:p w:rsidR="00A75B88" w:rsidRDefault="00A75B88" w:rsidP="00A75B88">
      <w:pPr>
        <w:pStyle w:val="NormalWeb"/>
        <w:numPr>
          <w:ilvl w:val="0"/>
          <w:numId w:val="7"/>
        </w:numPr>
      </w:pPr>
      <w:r>
        <w:rPr>
          <w:b/>
          <w:bCs/>
        </w:rPr>
        <w:t>Data Solution:</w:t>
      </w:r>
      <w:r>
        <w:t xml:space="preserve"> VN30 chỉ gồm 30 mã cổ phiếu và chỉ thay đổi 6 tháng/lần (tháng 1 và tháng 7). IT chỉ cần tạo một bảng tĩnh </w:t>
      </w:r>
      <w:r>
        <w:rPr>
          <w:rStyle w:val="HTMLCode"/>
          <w:rFonts w:eastAsiaTheme="majorEastAsia"/>
        </w:rPr>
        <w:t>vn30_list</w:t>
      </w:r>
      <w:r>
        <w:t xml:space="preserve"> trong Database chứa danh sách 30 mã cổ phiếu niêm yết hiện tại.</w:t>
      </w:r>
    </w:p>
    <w:p w:rsidR="00A75B88" w:rsidRDefault="00A75B88" w:rsidP="00A75B88">
      <w:pPr>
        <w:pStyle w:val="NormalWeb"/>
        <w:numPr>
          <w:ilvl w:val="0"/>
          <w:numId w:val="7"/>
        </w:numPr>
      </w:pPr>
      <w:r>
        <w:rPr>
          <w:b/>
          <w:bCs/>
        </w:rPr>
        <w:t>Fallback Rule (Nếu IT chưa kịp làm bảng VN30):</w:t>
      </w:r>
    </w:p>
    <w:p w:rsidR="00A75B88" w:rsidRDefault="00A75B88" w:rsidP="00A75B88">
      <w:pPr>
        <w:pStyle w:val="NormalWeb"/>
        <w:numPr>
          <w:ilvl w:val="1"/>
          <w:numId w:val="7"/>
        </w:numPr>
      </w:pPr>
      <w:r>
        <w:t xml:space="preserve">Định nghĩa </w:t>
      </w:r>
      <w:r>
        <w:rPr>
          <w:b/>
          <w:bCs/>
        </w:rPr>
        <w:t>Top 8 Anchor Banks (Ngân hàng Trụ cột)</w:t>
      </w:r>
      <w:r>
        <w:t xml:space="preserve">: </w:t>
      </w:r>
      <w:r>
        <w:rPr>
          <w:rStyle w:val="HTMLCode"/>
          <w:rFonts w:eastAsiaTheme="majorEastAsia"/>
        </w:rPr>
        <w:t>[VCB, BID, CTG, TCB, MBB, VPB, ACB, STB]</w:t>
      </w:r>
      <w:r>
        <w:t>.</w:t>
      </w:r>
    </w:p>
    <w:p w:rsidR="00A75B88" w:rsidRDefault="00A75B88" w:rsidP="00A75B88">
      <w:pPr>
        <w:pStyle w:val="NormalWeb"/>
        <w:numPr>
          <w:ilvl w:val="1"/>
          <w:numId w:val="7"/>
        </w:numPr>
      </w:pPr>
      <w:r>
        <w:rPr>
          <w:b/>
          <w:bCs/>
        </w:rPr>
        <w:t>Nếu Target Bank thuộc Top 8:</w:t>
      </w:r>
      <w:r>
        <w:t xml:space="preserve"> Active Peers = Toàn bộ 8 Ngân hàng Trụ cột.</w:t>
      </w:r>
    </w:p>
    <w:p w:rsidR="00A75B88" w:rsidRDefault="00A75B88" w:rsidP="00A75B88">
      <w:pPr>
        <w:pStyle w:val="NormalWeb"/>
        <w:numPr>
          <w:ilvl w:val="1"/>
          <w:numId w:val="7"/>
        </w:numPr>
      </w:pPr>
      <w:r>
        <w:rPr>
          <w:b/>
          <w:bCs/>
        </w:rPr>
        <w:t>Nếu Target Bank KHÔNG thuộc Top 8 (Tier 2/3):</w:t>
      </w:r>
      <w:r>
        <w:t xml:space="preserve"> Active Peers = Target Bank + Top 5 Anchor Banks </w:t>
      </w:r>
      <w:r>
        <w:rPr>
          <w:rStyle w:val="HTMLCode"/>
          <w:rFonts w:eastAsiaTheme="majorEastAsia"/>
        </w:rPr>
        <w:t>[VCB, TCB, MBB, CTG, BID]</w:t>
      </w:r>
      <w:r>
        <w:t xml:space="preserve"> + 6 Ngân hàng có Tổng Tài sản gần nhất với Target Bank. </w:t>
      </w:r>
    </w:p>
    <w:p w:rsidR="007C3887" w:rsidRDefault="007C3887">
      <w:bookmarkStart w:id="0" w:name="_GoBack"/>
      <w:bookmarkEnd w:id="0"/>
    </w:p>
    <w:sectPr w:rsidR="007C38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B7504"/>
    <w:multiLevelType w:val="multilevel"/>
    <w:tmpl w:val="C888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D2B44"/>
    <w:multiLevelType w:val="multilevel"/>
    <w:tmpl w:val="34F6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B0212"/>
    <w:multiLevelType w:val="multilevel"/>
    <w:tmpl w:val="51280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F659E"/>
    <w:multiLevelType w:val="multilevel"/>
    <w:tmpl w:val="7B64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1641AA"/>
    <w:multiLevelType w:val="multilevel"/>
    <w:tmpl w:val="B804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946F77"/>
    <w:multiLevelType w:val="multilevel"/>
    <w:tmpl w:val="D59A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FC7DB7"/>
    <w:multiLevelType w:val="multilevel"/>
    <w:tmpl w:val="43F0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6"/>
  </w:num>
  <w:num w:numId="4">
    <w:abstractNumId w:val="0"/>
  </w:num>
  <w:num w:numId="5">
    <w:abstractNumId w:val="5"/>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3F35"/>
    <w:rsid w:val="004F4BF2"/>
    <w:rsid w:val="007C3887"/>
    <w:rsid w:val="008A3F35"/>
    <w:rsid w:val="00A75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8C85F"/>
  <w15:chartTrackingRefBased/>
  <w15:docId w15:val="{C5367919-1423-48B0-B287-85F27F5AE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F4BF2"/>
    <w:pPr>
      <w:spacing w:before="100" w:beforeAutospacing="1" w:after="100" w:afterAutospacing="1" w:line="240" w:lineRule="auto"/>
      <w:outlineLvl w:val="2"/>
    </w:pPr>
    <w:rPr>
      <w:rFonts w:ascii="Times New Roman" w:eastAsia="Times New Roman" w:hAnsi="Times New Roman" w:cs="Times New Roman"/>
      <w:b/>
      <w:bCs/>
      <w:sz w:val="27"/>
      <w:szCs w:val="27"/>
      <w:lang w:val="vi-VN" w:eastAsia="vi-VN"/>
    </w:rPr>
  </w:style>
  <w:style w:type="paragraph" w:styleId="Heading4">
    <w:name w:val="heading 4"/>
    <w:basedOn w:val="Normal"/>
    <w:next w:val="Normal"/>
    <w:link w:val="Heading4Char"/>
    <w:uiPriority w:val="9"/>
    <w:semiHidden/>
    <w:unhideWhenUsed/>
    <w:qFormat/>
    <w:rsid w:val="004F4BF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4BF2"/>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HTMLCode">
    <w:name w:val="HTML Code"/>
    <w:basedOn w:val="DefaultParagraphFont"/>
    <w:uiPriority w:val="99"/>
    <w:semiHidden/>
    <w:unhideWhenUsed/>
    <w:rsid w:val="004F4BF2"/>
    <w:rPr>
      <w:rFonts w:ascii="Courier New" w:eastAsia="Times New Roman" w:hAnsi="Courier New" w:cs="Courier New"/>
      <w:sz w:val="20"/>
      <w:szCs w:val="20"/>
    </w:rPr>
  </w:style>
  <w:style w:type="character" w:customStyle="1" w:styleId="math-inline">
    <w:name w:val="math-inline"/>
    <w:basedOn w:val="DefaultParagraphFont"/>
    <w:rsid w:val="004F4BF2"/>
  </w:style>
  <w:style w:type="character" w:customStyle="1" w:styleId="Heading3Char">
    <w:name w:val="Heading 3 Char"/>
    <w:basedOn w:val="DefaultParagraphFont"/>
    <w:link w:val="Heading3"/>
    <w:uiPriority w:val="9"/>
    <w:rsid w:val="004F4BF2"/>
    <w:rPr>
      <w:rFonts w:ascii="Times New Roman" w:eastAsia="Times New Roman" w:hAnsi="Times New Roman" w:cs="Times New Roman"/>
      <w:b/>
      <w:bCs/>
      <w:sz w:val="27"/>
      <w:szCs w:val="27"/>
      <w:lang w:val="vi-VN" w:eastAsia="vi-VN"/>
    </w:rPr>
  </w:style>
  <w:style w:type="character" w:customStyle="1" w:styleId="Heading4Char">
    <w:name w:val="Heading 4 Char"/>
    <w:basedOn w:val="DefaultParagraphFont"/>
    <w:link w:val="Heading4"/>
    <w:uiPriority w:val="9"/>
    <w:semiHidden/>
    <w:rsid w:val="004F4BF2"/>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3606418">
      <w:bodyDiv w:val="1"/>
      <w:marLeft w:val="0"/>
      <w:marRight w:val="0"/>
      <w:marTop w:val="0"/>
      <w:marBottom w:val="0"/>
      <w:divBdr>
        <w:top w:val="none" w:sz="0" w:space="0" w:color="auto"/>
        <w:left w:val="none" w:sz="0" w:space="0" w:color="auto"/>
        <w:bottom w:val="none" w:sz="0" w:space="0" w:color="auto"/>
        <w:right w:val="none" w:sz="0" w:space="0" w:color="auto"/>
      </w:divBdr>
      <w:divsChild>
        <w:div w:id="1667976528">
          <w:marLeft w:val="0"/>
          <w:marRight w:val="0"/>
          <w:marTop w:val="0"/>
          <w:marBottom w:val="0"/>
          <w:divBdr>
            <w:top w:val="none" w:sz="0" w:space="0" w:color="auto"/>
            <w:left w:val="none" w:sz="0" w:space="0" w:color="auto"/>
            <w:bottom w:val="none" w:sz="0" w:space="0" w:color="auto"/>
            <w:right w:val="none" w:sz="0" w:space="0" w:color="auto"/>
          </w:divBdr>
          <w:divsChild>
            <w:div w:id="475613982">
              <w:marLeft w:val="0"/>
              <w:marRight w:val="0"/>
              <w:marTop w:val="0"/>
              <w:marBottom w:val="0"/>
              <w:divBdr>
                <w:top w:val="none" w:sz="0" w:space="0" w:color="auto"/>
                <w:left w:val="none" w:sz="0" w:space="0" w:color="auto"/>
                <w:bottom w:val="none" w:sz="0" w:space="0" w:color="auto"/>
                <w:right w:val="none" w:sz="0" w:space="0" w:color="auto"/>
              </w:divBdr>
            </w:div>
          </w:divsChild>
        </w:div>
        <w:div w:id="1350906310">
          <w:marLeft w:val="0"/>
          <w:marRight w:val="0"/>
          <w:marTop w:val="0"/>
          <w:marBottom w:val="0"/>
          <w:divBdr>
            <w:top w:val="none" w:sz="0" w:space="0" w:color="auto"/>
            <w:left w:val="none" w:sz="0" w:space="0" w:color="auto"/>
            <w:bottom w:val="none" w:sz="0" w:space="0" w:color="auto"/>
            <w:right w:val="none" w:sz="0" w:space="0" w:color="auto"/>
          </w:divBdr>
          <w:divsChild>
            <w:div w:id="84235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226782">
      <w:bodyDiv w:val="1"/>
      <w:marLeft w:val="0"/>
      <w:marRight w:val="0"/>
      <w:marTop w:val="0"/>
      <w:marBottom w:val="0"/>
      <w:divBdr>
        <w:top w:val="none" w:sz="0" w:space="0" w:color="auto"/>
        <w:left w:val="none" w:sz="0" w:space="0" w:color="auto"/>
        <w:bottom w:val="none" w:sz="0" w:space="0" w:color="auto"/>
        <w:right w:val="none" w:sz="0" w:space="0" w:color="auto"/>
      </w:divBdr>
    </w:div>
    <w:div w:id="1725176179">
      <w:bodyDiv w:val="1"/>
      <w:marLeft w:val="0"/>
      <w:marRight w:val="0"/>
      <w:marTop w:val="0"/>
      <w:marBottom w:val="0"/>
      <w:divBdr>
        <w:top w:val="none" w:sz="0" w:space="0" w:color="auto"/>
        <w:left w:val="none" w:sz="0" w:space="0" w:color="auto"/>
        <w:bottom w:val="none" w:sz="0" w:space="0" w:color="auto"/>
        <w:right w:val="none" w:sz="0" w:space="0" w:color="auto"/>
      </w:divBdr>
      <w:divsChild>
        <w:div w:id="1393774438">
          <w:marLeft w:val="0"/>
          <w:marRight w:val="0"/>
          <w:marTop w:val="0"/>
          <w:marBottom w:val="0"/>
          <w:divBdr>
            <w:top w:val="none" w:sz="0" w:space="0" w:color="auto"/>
            <w:left w:val="none" w:sz="0" w:space="0" w:color="auto"/>
            <w:bottom w:val="none" w:sz="0" w:space="0" w:color="auto"/>
            <w:right w:val="none" w:sz="0" w:space="0" w:color="auto"/>
          </w:divBdr>
          <w:divsChild>
            <w:div w:id="1804034694">
              <w:marLeft w:val="0"/>
              <w:marRight w:val="0"/>
              <w:marTop w:val="0"/>
              <w:marBottom w:val="0"/>
              <w:divBdr>
                <w:top w:val="none" w:sz="0" w:space="0" w:color="auto"/>
                <w:left w:val="none" w:sz="0" w:space="0" w:color="auto"/>
                <w:bottom w:val="none" w:sz="0" w:space="0" w:color="auto"/>
                <w:right w:val="none" w:sz="0" w:space="0" w:color="auto"/>
              </w:divBdr>
            </w:div>
          </w:divsChild>
        </w:div>
        <w:div w:id="1727796405">
          <w:marLeft w:val="0"/>
          <w:marRight w:val="0"/>
          <w:marTop w:val="0"/>
          <w:marBottom w:val="0"/>
          <w:divBdr>
            <w:top w:val="none" w:sz="0" w:space="0" w:color="auto"/>
            <w:left w:val="none" w:sz="0" w:space="0" w:color="auto"/>
            <w:bottom w:val="none" w:sz="0" w:space="0" w:color="auto"/>
            <w:right w:val="none" w:sz="0" w:space="0" w:color="auto"/>
          </w:divBdr>
          <w:divsChild>
            <w:div w:id="17689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53122">
      <w:bodyDiv w:val="1"/>
      <w:marLeft w:val="0"/>
      <w:marRight w:val="0"/>
      <w:marTop w:val="0"/>
      <w:marBottom w:val="0"/>
      <w:divBdr>
        <w:top w:val="none" w:sz="0" w:space="0" w:color="auto"/>
        <w:left w:val="none" w:sz="0" w:space="0" w:color="auto"/>
        <w:bottom w:val="none" w:sz="0" w:space="0" w:color="auto"/>
        <w:right w:val="none" w:sz="0" w:space="0" w:color="auto"/>
      </w:divBdr>
      <w:divsChild>
        <w:div w:id="2095735275">
          <w:marLeft w:val="0"/>
          <w:marRight w:val="0"/>
          <w:marTop w:val="0"/>
          <w:marBottom w:val="0"/>
          <w:divBdr>
            <w:top w:val="none" w:sz="0" w:space="0" w:color="auto"/>
            <w:left w:val="none" w:sz="0" w:space="0" w:color="auto"/>
            <w:bottom w:val="none" w:sz="0" w:space="0" w:color="auto"/>
            <w:right w:val="none" w:sz="0" w:space="0" w:color="auto"/>
          </w:divBdr>
          <w:divsChild>
            <w:div w:id="1196384466">
              <w:marLeft w:val="0"/>
              <w:marRight w:val="0"/>
              <w:marTop w:val="0"/>
              <w:marBottom w:val="0"/>
              <w:divBdr>
                <w:top w:val="none" w:sz="0" w:space="0" w:color="auto"/>
                <w:left w:val="none" w:sz="0" w:space="0" w:color="auto"/>
                <w:bottom w:val="none" w:sz="0" w:space="0" w:color="auto"/>
                <w:right w:val="none" w:sz="0" w:space="0" w:color="auto"/>
              </w:divBdr>
            </w:div>
          </w:divsChild>
        </w:div>
        <w:div w:id="1763141520">
          <w:marLeft w:val="0"/>
          <w:marRight w:val="0"/>
          <w:marTop w:val="0"/>
          <w:marBottom w:val="0"/>
          <w:divBdr>
            <w:top w:val="none" w:sz="0" w:space="0" w:color="auto"/>
            <w:left w:val="none" w:sz="0" w:space="0" w:color="auto"/>
            <w:bottom w:val="none" w:sz="0" w:space="0" w:color="auto"/>
            <w:right w:val="none" w:sz="0" w:space="0" w:color="auto"/>
          </w:divBdr>
          <w:divsChild>
            <w:div w:id="702755042">
              <w:marLeft w:val="0"/>
              <w:marRight w:val="0"/>
              <w:marTop w:val="0"/>
              <w:marBottom w:val="0"/>
              <w:divBdr>
                <w:top w:val="none" w:sz="0" w:space="0" w:color="auto"/>
                <w:left w:val="none" w:sz="0" w:space="0" w:color="auto"/>
                <w:bottom w:val="none" w:sz="0" w:space="0" w:color="auto"/>
                <w:right w:val="none" w:sz="0" w:space="0" w:color="auto"/>
              </w:divBdr>
            </w:div>
          </w:divsChild>
        </w:div>
        <w:div w:id="1239897959">
          <w:marLeft w:val="0"/>
          <w:marRight w:val="0"/>
          <w:marTop w:val="0"/>
          <w:marBottom w:val="0"/>
          <w:divBdr>
            <w:top w:val="none" w:sz="0" w:space="0" w:color="auto"/>
            <w:left w:val="none" w:sz="0" w:space="0" w:color="auto"/>
            <w:bottom w:val="none" w:sz="0" w:space="0" w:color="auto"/>
            <w:right w:val="none" w:sz="0" w:space="0" w:color="auto"/>
          </w:divBdr>
          <w:divsChild>
            <w:div w:id="820193201">
              <w:marLeft w:val="0"/>
              <w:marRight w:val="0"/>
              <w:marTop w:val="0"/>
              <w:marBottom w:val="0"/>
              <w:divBdr>
                <w:top w:val="none" w:sz="0" w:space="0" w:color="auto"/>
                <w:left w:val="none" w:sz="0" w:space="0" w:color="auto"/>
                <w:bottom w:val="none" w:sz="0" w:space="0" w:color="auto"/>
                <w:right w:val="none" w:sz="0" w:space="0" w:color="auto"/>
              </w:divBdr>
            </w:div>
          </w:divsChild>
        </w:div>
        <w:div w:id="202910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802</Words>
  <Characters>4575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HUNG-DIC</dc:creator>
  <cp:keywords/>
  <dc:description/>
  <cp:lastModifiedBy>HUNG-DIC</cp:lastModifiedBy>
  <cp:revision>1</cp:revision>
  <dcterms:created xsi:type="dcterms:W3CDTF">2026-09-20T15:51:00Z</dcterms:created>
  <dcterms:modified xsi:type="dcterms:W3CDTF">2026-09-20T16:28:00Z</dcterms:modified>
</cp:coreProperties>
</file>