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E22BA" w14:textId="77777777" w:rsidR="00A24596" w:rsidRPr="00A24596" w:rsidRDefault="00A24596" w:rsidP="00A24596">
      <w:pPr>
        <w:rPr>
          <w:b/>
          <w:bCs/>
        </w:rPr>
      </w:pPr>
      <w:r w:rsidRPr="00A24596">
        <w:rPr>
          <w:b/>
          <w:bCs/>
        </w:rPr>
        <w:t>2. Spec ngân hàng v6 — đã kiểm tra với dữ liệu thực tế</w:t>
      </w:r>
    </w:p>
    <w:p w14:paraId="34472265" w14:textId="77777777" w:rsidR="00A24596" w:rsidRPr="00A24596" w:rsidRDefault="00A24596" w:rsidP="00A24596">
      <w:r w:rsidRPr="00A24596">
        <w:t xml:space="preserve">Tin tốt trước tiên: </w:t>
      </w:r>
      <w:r w:rsidRPr="00A24596">
        <w:rPr>
          <w:b/>
          <w:bCs/>
        </w:rPr>
        <w:t>provider có sẵn một template báo cáo ngân hàng thực sự</w:t>
      </w:r>
      <w:r w:rsidRPr="00A24596">
        <w:t xml:space="preserve"> — 80 dòng bảng cân đối kế toán, 25 dòng báo cáo kết quả kinh doanh và một block tỷ số RT_BANK_*. Điều này loại bỏ phần lớn công việc mapping, tương tự như phát hiện trước đây với bảo hiểm.</w:t>
      </w:r>
    </w:p>
    <w:p w14:paraId="27FF5AF4" w14:textId="77777777" w:rsidR="00A24596" w:rsidRPr="00A24596" w:rsidRDefault="00A24596" w:rsidP="00A24596">
      <w:r w:rsidRPr="00A24596">
        <w:rPr>
          <w:b/>
          <w:bCs/>
        </w:rPr>
        <w:t>Có thể triển khai ngay — input được populate 95–100% trên 29 ngân hàng × 17 quý:</w:t>
      </w:r>
      <w:r w:rsidRPr="00A24596">
        <w:t xml:space="preserve"> biểu đồ </w:t>
      </w:r>
      <w:r w:rsidRPr="00A24596">
        <w:rPr>
          <w:b/>
          <w:bCs/>
        </w:rPr>
        <w:t>5</w:t>
      </w:r>
      <w:r w:rsidRPr="00A24596">
        <w:t xml:space="preserve"> (cơ cấu bảng cân đối), </w:t>
      </w:r>
      <w:r w:rsidRPr="00A24596">
        <w:rPr>
          <w:b/>
          <w:bCs/>
        </w:rPr>
        <w:t>6</w:t>
      </w:r>
      <w:r w:rsidRPr="00A24596">
        <w:t xml:space="preserve"> (NIM/Yield/CoF/CASA/Adjusted NIM — RT_BANK_CASA được populate 100%), </w:t>
      </w:r>
      <w:r w:rsidRPr="00A24596">
        <w:rPr>
          <w:b/>
          <w:bCs/>
        </w:rPr>
        <w:t>7</w:t>
      </w:r>
      <w:r w:rsidRPr="00A24596">
        <w:t xml:space="preserve"> (cơ cấu doanh thu), </w:t>
      </w:r>
      <w:r w:rsidRPr="00A24596">
        <w:rPr>
          <w:b/>
          <w:bCs/>
        </w:rPr>
        <w:t>8</w:t>
      </w:r>
      <w:r w:rsidRPr="00A24596">
        <w:t xml:space="preserve"> (CIR; OPEX được suy ra từ TOI − lợi nhuận trước dự phòng), </w:t>
      </w:r>
      <w:r w:rsidRPr="00A24596">
        <w:rPr>
          <w:b/>
          <w:bCs/>
        </w:rPr>
        <w:t>9</w:t>
      </w:r>
      <w:r w:rsidRPr="00A24596">
        <w:t xml:space="preserve"> (DuPont 5 yếu tố).</w:t>
      </w:r>
    </w:p>
    <w:p w14:paraId="0A510974" w14:textId="77777777" w:rsidR="00A24596" w:rsidRPr="00A24596" w:rsidRDefault="00A24596" w:rsidP="00A24596">
      <w:r w:rsidRPr="00A24596">
        <w:rPr>
          <w:b/>
          <w:bCs/>
        </w:rPr>
        <w:t>Bị chặn một phần:</w:t>
      </w:r>
    </w:p>
    <w:p w14:paraId="61E44D34" w14:textId="02084E0B" w:rsidR="00A24596" w:rsidRPr="00A24596" w:rsidRDefault="00A24596" w:rsidP="00A24596">
      <w:pPr>
        <w:numPr>
          <w:ilvl w:val="0"/>
          <w:numId w:val="1"/>
        </w:numPr>
      </w:pPr>
      <w:r w:rsidRPr="00A24596">
        <w:rPr>
          <w:b/>
          <w:bCs/>
        </w:rPr>
        <w:t>Biểu đồ 1</w:t>
      </w:r>
      <w:r w:rsidRPr="00A24596">
        <w:t xml:space="preserve"> — CAR </w:t>
      </w:r>
      <w:r w:rsidRPr="00A24596">
        <w:rPr>
          <w:b/>
          <w:bCs/>
        </w:rPr>
        <w:t>chỉ có dữ liệu năm</w:t>
      </w:r>
      <w:r w:rsidRPr="00A24596">
        <w:t xml:space="preserve">, với 27/29 ngân hàng (PCB và SCB không có dữ liệu). Quy tắc carry-forward của BA là đúng, nhưng badge phải hiển thị </w:t>
      </w:r>
      <w:r w:rsidRPr="00A24596">
        <w:rPr>
          <w:b/>
          <w:bCs/>
        </w:rPr>
        <w:t>"Dữ liệu Năm"</w:t>
      </w:r>
      <w:r w:rsidRPr="00A24596">
        <w:t xml:space="preserve">, không phải </w:t>
      </w:r>
      <w:r w:rsidRPr="00A24596">
        <w:rPr>
          <w:b/>
          <w:bCs/>
        </w:rPr>
        <w:t>"Bán niên"</w:t>
      </w:r>
      <w:r w:rsidRPr="00A24596">
        <w:t xml:space="preserve">. Phương án A đã được thống nhất. </w:t>
      </w:r>
      <w:r w:rsidR="00FA251C">
        <w:br/>
        <w:t xml:space="preserve">=&gt; Phản hồi IT: </w:t>
      </w:r>
      <w:r w:rsidR="00DD10C1">
        <w:t>Đồng ý sử dụng dữ liệu CAR năm hoặc bán niên nếu ngân hàng cung cấp, nhưng ghi chú rõ thời điểm có số liệu.</w:t>
      </w:r>
    </w:p>
    <w:p w14:paraId="0E72A839" w14:textId="1B74D997" w:rsidR="00A24596" w:rsidRPr="00A24596" w:rsidRDefault="00A24596" w:rsidP="00A24596">
      <w:pPr>
        <w:numPr>
          <w:ilvl w:val="0"/>
          <w:numId w:val="1"/>
        </w:numPr>
      </w:pPr>
      <w:r w:rsidRPr="00A24596">
        <w:rPr>
          <w:b/>
          <w:bCs/>
        </w:rPr>
        <w:t>Biểu đồ 3</w:t>
      </w:r>
      <w:r w:rsidRPr="00A24596">
        <w:t xml:space="preserve"> — tỷ lệ NPL và PCR có sẵn 100%, nhưng </w:t>
      </w:r>
      <w:r w:rsidRPr="00A24596">
        <w:rPr>
          <w:b/>
          <w:bCs/>
        </w:rPr>
        <w:t>phân tách nhóm 2/3/4/5 không có trong dữ liệu</w:t>
      </w:r>
      <w:r w:rsidRPr="00A24596">
        <w:t xml:space="preserve">. Không thể vẽ được cascade migration; tuy nhiên vẫn có thể vẽ tổng NPL + PCR. </w:t>
      </w:r>
      <w:r w:rsidR="0083637B">
        <w:br/>
        <w:t>=&gt; Phản hồi IT: Hầu hết các ngân hàng sẽ có dữ liệu này trong thuyết minh. Nếu không bóc tách được dữ liệu thì gẵn nhãn không minh bạch báo cáo.</w:t>
      </w:r>
    </w:p>
    <w:p w14:paraId="5FAC4E80" w14:textId="02270458" w:rsidR="00A24596" w:rsidRPr="00A24596" w:rsidRDefault="00A24596" w:rsidP="00A24596">
      <w:pPr>
        <w:numPr>
          <w:ilvl w:val="0"/>
          <w:numId w:val="1"/>
        </w:numPr>
      </w:pPr>
      <w:r w:rsidRPr="00A24596">
        <w:rPr>
          <w:b/>
          <w:bCs/>
        </w:rPr>
        <w:t>Biểu đồ 4</w:t>
      </w:r>
      <w:r w:rsidRPr="00A24596">
        <w:t xml:space="preserve"> — khoản lãi phải thu đã có (BS_INTEREST_AND_FEE_RECEIVABLES, 100%). Các tỷ lệ NPL ẩn cần dữ liệu nhóm 2, trái phiếu VAMC và trái phiếu doanh nghiệp rủi ro — hiện đều không có. </w:t>
      </w:r>
      <w:r w:rsidR="0083637B">
        <w:br/>
        <w:t>=&gt; Phản hồi IT: Dữ liệu nhóm 2 chắc chắn sẽ có. Đối với các ngân hàng không công bố (nếu có) sẽ bỏ qua không phân tích. Trái phiếu VAMC và trái phiếu doanh nghiệp rủi ro kiểm tra lại xem không có hay bằng 0?</w:t>
      </w:r>
    </w:p>
    <w:p w14:paraId="704C5C63" w14:textId="77777777" w:rsidR="00A24596" w:rsidRPr="00A24596" w:rsidRDefault="00A24596" w:rsidP="00A24596">
      <w:r w:rsidRPr="00A24596">
        <w:rPr>
          <w:b/>
          <w:bCs/>
        </w:rPr>
        <w:t>Bị chặn:</w:t>
      </w:r>
    </w:p>
    <w:p w14:paraId="3C8144A4" w14:textId="4C5A18FB" w:rsidR="00A24596" w:rsidRPr="00A24596" w:rsidRDefault="00A24596" w:rsidP="00A24596">
      <w:pPr>
        <w:numPr>
          <w:ilvl w:val="0"/>
          <w:numId w:val="2"/>
        </w:numPr>
      </w:pPr>
      <w:r w:rsidRPr="00A24596">
        <w:rPr>
          <w:b/>
          <w:bCs/>
        </w:rPr>
        <w:t>Biểu đồ 2 SML</w:t>
      </w:r>
      <w:r w:rsidRPr="00A24596">
        <w:t xml:space="preserve"> — </w:t>
      </w:r>
      <w:r w:rsidRPr="00A24596">
        <w:rPr>
          <w:b/>
          <w:bCs/>
        </w:rPr>
        <w:t>không có maturity buckets ở bất kỳ đâu</w:t>
      </w:r>
      <w:r w:rsidRPr="00A24596">
        <w:t xml:space="preserve"> trong bảng cân đối kế toán của provider. Nhận định của BA rằng </w:t>
      </w:r>
      <w:r w:rsidRPr="00A24596">
        <w:rPr>
          <w:b/>
          <w:bCs/>
        </w:rPr>
        <w:t>"100% Provider đều phân tách được từ BCĐKT"</w:t>
      </w:r>
      <w:r w:rsidRPr="00A24596">
        <w:t xml:space="preserve"> không đúng với dữ liệu của chúng ta, vì vậy proxy đã thống nhất </w:t>
      </w:r>
      <w:r w:rsidRPr="00A24596">
        <w:rPr>
          <w:b/>
          <w:bCs/>
        </w:rPr>
        <w:t>không thể tính theo cách được mô tả hiện tại</w:t>
      </w:r>
      <w:r w:rsidRPr="00A24596">
        <w:t xml:space="preserve">. </w:t>
      </w:r>
      <w:r w:rsidR="0083637B">
        <w:br/>
        <w:t>=&gt; Phản hồi: IT rà soát lại lần nữa xem công thức này có sử dụng được hay không:</w:t>
      </w:r>
      <w:r w:rsidR="0083637B">
        <w:br/>
      </w:r>
      <m:oMathPara>
        <m:oMath>
          <m:sSub>
            <m:sSubPr>
              <m:ctrlPr>
                <w:rPr>
                  <w:rFonts w:ascii="Cambria Math" w:hAnsi="Cambria Math"/>
                </w:rPr>
              </m:ctrlPr>
            </m:sSubPr>
            <m:e>
              <m:r>
                <m:rPr>
                  <m:nor/>
                </m:rPr>
                <m:t>SML Ratio</m:t>
              </m:r>
            </m:e>
            <m:sub>
              <m:r>
                <m:rPr>
                  <m:nor/>
                </m:rPr>
                <m:t>proxy</m:t>
              </m:r>
            </m:sub>
          </m:sSub>
          <m:r>
            <w:rPr>
              <w:rFonts w:ascii="Cambria Math" w:hAnsi="Cambria Math"/>
            </w:rPr>
            <m:t>=</m:t>
          </m:r>
          <m:f>
            <m:fPr>
              <m:ctrlPr>
                <w:rPr>
                  <w:rFonts w:ascii="Cambria Math" w:hAnsi="Cambria Math"/>
                </w:rPr>
              </m:ctrlPr>
            </m:fPr>
            <m:num>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r>
                        <w:rPr>
                          <w:rFonts w:ascii="Cambria Math" w:hAnsi="Cambria Math"/>
                        </w:rPr>
                        <m:t>0, ChoVa</m:t>
                      </m:r>
                      <m:sSub>
                        <m:sSubPr>
                          <m:ctrlPr>
                            <w:rPr>
                              <w:rFonts w:ascii="Cambria Math" w:hAnsi="Cambria Math"/>
                            </w:rPr>
                          </m:ctrlPr>
                        </m:sSubPr>
                        <m:e>
                          <m:r>
                            <w:rPr>
                              <w:rFonts w:ascii="Cambria Math" w:hAnsi="Cambria Math"/>
                            </w:rPr>
                            <m:t>y</m:t>
                          </m:r>
                        </m:e>
                        <m:sub>
                          <m:r>
                            <m:rPr>
                              <m:nor/>
                            </m:rPr>
                            <m:t>TD</m:t>
                          </m:r>
                        </m:sub>
                      </m:sSub>
                      <m:r>
                        <w:rPr>
                          <w:rFonts w:ascii="Cambria Math" w:hAnsi="Cambria Math"/>
                        </w:rPr>
                        <m:t>-VCSH-GTC</m:t>
                      </m:r>
                      <m:sSub>
                        <m:sSubPr>
                          <m:ctrlPr>
                            <w:rPr>
                              <w:rFonts w:ascii="Cambria Math" w:hAnsi="Cambria Math"/>
                            </w:rPr>
                          </m:ctrlPr>
                        </m:sSubPr>
                        <m:e>
                          <m:r>
                            <w:rPr>
                              <w:rFonts w:ascii="Cambria Math" w:hAnsi="Cambria Math"/>
                            </w:rPr>
                            <m:t>G</m:t>
                          </m:r>
                        </m:e>
                        <m:sub>
                          <m:r>
                            <m:rPr>
                              <m:nor/>
                            </m:rPr>
                            <m:t>TD</m:t>
                          </m:r>
                        </m:sub>
                      </m:sSub>
                    </m:e>
                  </m:d>
                </m:e>
              </m:func>
            </m:num>
            <m:den>
              <m:r>
                <w:rPr>
                  <w:rFonts w:ascii="Cambria Math" w:hAnsi="Cambria Math"/>
                </w:rPr>
                <m:t>Deposi</m:t>
              </m:r>
              <m:sSub>
                <m:sSubPr>
                  <m:ctrlPr>
                    <w:rPr>
                      <w:rFonts w:ascii="Cambria Math" w:hAnsi="Cambria Math"/>
                    </w:rPr>
                  </m:ctrlPr>
                </m:sSubPr>
                <m:e>
                  <m:r>
                    <w:rPr>
                      <w:rFonts w:ascii="Cambria Math" w:hAnsi="Cambria Math"/>
                    </w:rPr>
                    <m:t>t</m:t>
                  </m:r>
                </m:e>
                <m:sub>
                  <m:r>
                    <m:rPr>
                      <m:nor/>
                    </m:rPr>
                    <m:t>KH, NH</m:t>
                  </m:r>
                </m:sub>
              </m:sSub>
              <m:r>
                <w:rPr>
                  <w:rFonts w:ascii="Cambria Math" w:hAnsi="Cambria Math"/>
                </w:rPr>
                <m:t>+GTC</m:t>
              </m:r>
              <m:sSub>
                <m:sSubPr>
                  <m:ctrlPr>
                    <w:rPr>
                      <w:rFonts w:ascii="Cambria Math" w:hAnsi="Cambria Math"/>
                    </w:rPr>
                  </m:ctrlPr>
                </m:sSubPr>
                <m:e>
                  <m:r>
                    <w:rPr>
                      <w:rFonts w:ascii="Cambria Math" w:hAnsi="Cambria Math"/>
                    </w:rPr>
                    <m:t>G</m:t>
                  </m:r>
                </m:e>
                <m:sub>
                  <m:r>
                    <m:rPr>
                      <m:nor/>
                    </m:rPr>
                    <m:t>NH</m:t>
                  </m:r>
                </m:sub>
              </m:sSub>
              <m:r>
                <w:rPr>
                  <w:rFonts w:ascii="Cambria Math" w:hAnsi="Cambria Math"/>
                </w:rPr>
                <m:t>+VayTCT</m:t>
              </m:r>
              <m:sSub>
                <m:sSubPr>
                  <m:ctrlPr>
                    <w:rPr>
                      <w:rFonts w:ascii="Cambria Math" w:hAnsi="Cambria Math"/>
                    </w:rPr>
                  </m:ctrlPr>
                </m:sSubPr>
                <m:e>
                  <m:r>
                    <w:rPr>
                      <w:rFonts w:ascii="Cambria Math" w:hAnsi="Cambria Math"/>
                    </w:rPr>
                    <m:t>D</m:t>
                  </m:r>
                </m:e>
                <m:sub>
                  <m:r>
                    <m:rPr>
                      <m:nor/>
                    </m:rPr>
                    <m:t>NH</m:t>
                  </m:r>
                </m:sub>
              </m:sSub>
            </m:den>
          </m:f>
        </m:oMath>
      </m:oMathPara>
    </w:p>
    <w:p w14:paraId="46331906" w14:textId="11A13EAC" w:rsidR="00A24596" w:rsidRPr="00A24596" w:rsidRDefault="00A24596" w:rsidP="00A24596">
      <w:pPr>
        <w:numPr>
          <w:ilvl w:val="0"/>
          <w:numId w:val="2"/>
        </w:numPr>
      </w:pPr>
      <w:r w:rsidRPr="00A24596">
        <w:rPr>
          <w:b/>
          <w:bCs/>
        </w:rPr>
        <w:lastRenderedPageBreak/>
        <w:t>Biểu đồ 10</w:t>
      </w:r>
      <w:r w:rsidRPr="00A24596">
        <w:t xml:space="preserve"> — macro_series không có lợi suất trái phiếu Chính phủ, nên R_f của CAPM hiện chưa tồn tại. Cần xây dựng pipeline ADB AsianBondsOnline theo BOND_YIELD_DESIGN.md trước. Beta có thể tính được cho 28/29 ngân hàng. </w:t>
      </w:r>
      <w:r w:rsidR="0083637B">
        <w:br/>
        <w:t>=&gt; Phản hồi IT: Lấy giá trị lãi suất chính phủ hiện tại là 3.5%. BA chỉ cung cấp công thức, IT cần chủ động tìm nguồn dữ liệu.</w:t>
      </w:r>
    </w:p>
    <w:p w14:paraId="3153E607" w14:textId="77777777" w:rsidR="00A24596" w:rsidRPr="00A24596" w:rsidRDefault="00A24596" w:rsidP="00A24596">
      <w:pPr>
        <w:rPr>
          <w:b/>
          <w:bCs/>
        </w:rPr>
      </w:pPr>
      <w:r w:rsidRPr="00A24596">
        <w:rPr>
          <w:b/>
          <w:bCs/>
        </w:rPr>
        <w:t>Hai điểm tôi đề nghị BA xem xét lại</w:t>
      </w:r>
    </w:p>
    <w:p w14:paraId="7AAC7521" w14:textId="3F610244" w:rsidR="00A24596" w:rsidRDefault="00A24596" w:rsidP="00A24596">
      <w:r w:rsidRPr="00A24596">
        <w:rPr>
          <w:b/>
          <w:bCs/>
        </w:rPr>
        <w:t>Công thức LDR đang lặp lại lỗi đã được sửa ở SML.</w:t>
      </w:r>
      <w:r w:rsidRPr="00A24596">
        <w:t xml:space="preserve"> Theo đặc tả hiện tại, loans ÷ (deposits + GTCG) với ngưỡng 85% khiến </w:t>
      </w:r>
      <w:r w:rsidRPr="00A24596">
        <w:rPr>
          <w:b/>
          <w:bCs/>
        </w:rPr>
        <w:t>24/28 ngân hàng vượt ngưỡng, median 97,2%</w:t>
      </w:r>
      <w:r w:rsidRPr="00A24596">
        <w:t xml:space="preserve"> — VCB 99,4%, BID 97,6%, CTG 102,9%. Đây chính xác là cùng một lỗi mà IT đã phát hiện ở SML (VCB từ 62,8% → 27,5% sau khi sửa mẫu số), nhưng chưa được sửa ở LDR. Hoặc các khoản loại trừ theo TT22 đang bị thiếu trong tử số/mẫu số, hoặc ngưỡng này không nên áp dụng cho công thức hiện tại.</w:t>
      </w:r>
      <w:r w:rsidR="00071190">
        <w:br/>
        <w:t>=&gt; Phản hồi IT: Bổ sung tiền gửi kho bạc được tính vào huy động. Công thức mới:</w:t>
      </w:r>
    </w:p>
    <w:p w14:paraId="3A4560D6" w14:textId="679865CB" w:rsidR="00071190" w:rsidRPr="00A24596" w:rsidRDefault="00071190" w:rsidP="00A24596">
      <m:oMathPara>
        <m:oMath>
          <m:sSub>
            <m:sSubPr>
              <m:ctrlPr>
                <w:rPr>
                  <w:rFonts w:ascii="Cambria Math" w:hAnsi="Cambria Math"/>
                </w:rPr>
              </m:ctrlPr>
            </m:sSubPr>
            <m:e>
              <m:r>
                <m:rPr>
                  <m:nor/>
                </m:rPr>
                <m:t>LDR</m:t>
              </m:r>
            </m:e>
            <m:sub>
              <m:r>
                <m:rPr>
                  <m:nor/>
                </m:rPr>
                <m:t>NHNN</m:t>
              </m:r>
            </m:sub>
          </m:sSub>
          <m:r>
            <w:rPr>
              <w:rFonts w:ascii="Cambria Math" w:hAnsi="Cambria Math"/>
            </w:rPr>
            <m:t>=</m:t>
          </m:r>
          <m:f>
            <m:fPr>
              <m:ctrlPr>
                <w:rPr>
                  <w:rFonts w:ascii="Cambria Math" w:hAnsi="Cambria Math"/>
                </w:rPr>
              </m:ctrlPr>
            </m:fPr>
            <m:num>
              <m:r>
                <m:rPr>
                  <m:nor/>
                </m:rPr>
                <m:t>Dư nợ cho vay KH</m:t>
              </m:r>
            </m:num>
            <m:den>
              <m:r>
                <m:rPr>
                  <m:nor/>
                </m:rPr>
                <m:t>Tiền gửi KH</m:t>
              </m:r>
              <m:r>
                <w:rPr>
                  <w:rFonts w:ascii="Cambria Math" w:hAnsi="Cambria Math"/>
                </w:rPr>
                <m:t>+</m:t>
              </m:r>
              <m:r>
                <m:rPr>
                  <m:nor/>
                </m:rPr>
                <m:t>Phát hành GTCG</m:t>
              </m:r>
              <m:r>
                <m:rPr>
                  <m:nor/>
                </m:rPr>
                <w:rPr>
                  <w:rFonts w:ascii="Cambria Math"/>
                </w:rPr>
                <m:t xml:space="preserve"> + 50% Ti</m:t>
              </m:r>
              <m:r>
                <m:rPr>
                  <m:nor/>
                </m:rPr>
                <w:rPr>
                  <w:rFonts w:ascii="Cambria Math"/>
                </w:rPr>
                <m:t>ề</m:t>
              </m:r>
              <m:r>
                <m:rPr>
                  <m:nor/>
                </m:rPr>
                <w:rPr>
                  <w:rFonts w:ascii="Cambria Math"/>
                </w:rPr>
                <m:t>n g</m:t>
              </m:r>
              <m:r>
                <m:rPr>
                  <m:nor/>
                </m:rPr>
                <w:rPr>
                  <w:rFonts w:ascii="Cambria Math"/>
                </w:rPr>
                <m:t>ử</m:t>
              </m:r>
              <m:r>
                <m:rPr>
                  <m:nor/>
                </m:rPr>
                <w:rPr>
                  <w:rFonts w:ascii="Cambria Math"/>
                </w:rPr>
                <m:t>i KBNN</m:t>
              </m:r>
            </m:den>
          </m:f>
          <m:r>
            <w:rPr>
              <w:rFonts w:ascii="Cambria Math" w:hAnsi="Cambria Math"/>
            </w:rPr>
            <m:t>≤85%</m:t>
          </m:r>
        </m:oMath>
      </m:oMathPara>
    </w:p>
    <w:p w14:paraId="451663FB" w14:textId="77777777" w:rsidR="00A24596" w:rsidRDefault="00A24596" w:rsidP="00A24596">
      <w:r w:rsidRPr="00A24596">
        <w:rPr>
          <w:b/>
          <w:bCs/>
        </w:rPr>
        <w:t>Ngưỡng Basel III 10,5% trên biểu đồ 1 đánh dấu 6/27 ngân hàng là vi phạm</w:t>
      </w:r>
      <w:r w:rsidRPr="00A24596">
        <w:t xml:space="preserve"> — trong đó có </w:t>
      </w:r>
      <w:r w:rsidRPr="00A24596">
        <w:rPr>
          <w:b/>
          <w:bCs/>
        </w:rPr>
        <w:t>BID (9,18%) và CTG (9,89%), hai trong năm ngân hàng anchor của chính BA</w:t>
      </w:r>
      <w:r w:rsidRPr="00A24596">
        <w:t xml:space="preserve">. Mức tối thiểu mang tính ràng buộc của Việt Nam theo Thông tư 41 là 8%. Đây cũng cùng loại vấn đề với câu hỏi SML 30%/40% mà BA đã giải quyết: </w:t>
      </w:r>
      <w:r w:rsidRPr="00A24596">
        <w:rPr>
          <w:b/>
          <w:bCs/>
        </w:rPr>
        <w:t>đây là vấn đề về ngưỡng pháp lý, không phải vấn đề dữ liệu</w:t>
      </w:r>
      <w:r w:rsidRPr="00A24596">
        <w:t>.</w:t>
      </w:r>
    </w:p>
    <w:p w14:paraId="5B1FA3B8" w14:textId="47CFC000" w:rsidR="0083637B" w:rsidRPr="00A24596" w:rsidRDefault="0083637B" w:rsidP="00A24596">
      <w:r>
        <w:t>=&gt; Phản hồi IT: Duy trì tiêu chuẩn basel III. Quy định của thông tư 41 là 8% nhưng chúng ta cần nâng chuẩn vì chúng ta đi đầu tư, cần chuẩn an toàn.</w:t>
      </w:r>
    </w:p>
    <w:p w14:paraId="07066ABB" w14:textId="647EBAFD" w:rsidR="00A24596" w:rsidRPr="00A24596" w:rsidRDefault="00A24596" w:rsidP="00A24596">
      <w:r w:rsidRPr="00A24596">
        <w:t xml:space="preserve">Hai điểm nhỏ hơn: </w:t>
      </w:r>
      <w:r w:rsidRPr="00A24596">
        <w:rPr>
          <w:b/>
          <w:bCs/>
        </w:rPr>
        <w:t>SCB</w:t>
      </w:r>
      <w:r w:rsidRPr="00A24596">
        <w:t xml:space="preserve"> không có price bars, không có CAR và không có CoF (do đang bị kiểm soát đặc biệt) — có nên đưa vào hay loại ra cùng với EVF/TIN? Ngoài ra, provider trả về </w:t>
      </w:r>
      <w:r w:rsidRPr="00A24596">
        <w:rPr>
          <w:b/>
          <w:bCs/>
        </w:rPr>
        <w:t>CIR, CoF, PCR và provision-to-loans dưới dạng số âm</w:t>
      </w:r>
      <w:r w:rsidRPr="00A24596">
        <w:t>, vì vậy cần chuẩn hóa dấu trước khi hiển thị.</w:t>
      </w:r>
      <w:r w:rsidR="00071190">
        <w:br/>
        <w:t>=&gt; Phản hồi IT: Đối với tất cả các ngân hàng không cung cấp đủ thông tin trong báo cáo và thuyết minh. Gắn nhãn cảnh báo, không loại ra khỏi danh sách.</w:t>
      </w:r>
    </w:p>
    <w:p w14:paraId="1C39338B" w14:textId="77777777" w:rsidR="00A24596" w:rsidRPr="00A24596" w:rsidRDefault="00A24596" w:rsidP="00A24596">
      <w:r w:rsidRPr="00A24596">
        <w:t xml:space="preserve">Tôi mới chỉ kiểm tra </w:t>
      </w:r>
      <w:r w:rsidRPr="00A24596">
        <w:rPr>
          <w:b/>
          <w:bCs/>
        </w:rPr>
        <w:t>tính khả thi</w:t>
      </w:r>
      <w:r w:rsidRPr="00A24596">
        <w:t xml:space="preserve"> — chưa viết code gì. Con đường nhanh nhất là triển khai </w:t>
      </w:r>
      <w:r w:rsidRPr="00A24596">
        <w:rPr>
          <w:b/>
          <w:bCs/>
        </w:rPr>
        <w:t>5 biểu đồ đang xanh</w:t>
      </w:r>
      <w:r w:rsidRPr="00A24596">
        <w:t xml:space="preserve"> trước, trong khi BA trả lời hai vấn đề về </w:t>
      </w:r>
      <w:r w:rsidRPr="00A24596">
        <w:rPr>
          <w:b/>
          <w:bCs/>
        </w:rPr>
        <w:t>LDR và ngưỡng CAR</w:t>
      </w:r>
      <w:r w:rsidRPr="00A24596">
        <w:t>.</w:t>
      </w:r>
    </w:p>
    <w:p w14:paraId="13A1D6DE" w14:textId="77777777" w:rsidR="000C1910" w:rsidRDefault="000C1910"/>
    <w:sectPr w:rsidR="000C19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6939F6"/>
    <w:multiLevelType w:val="multilevel"/>
    <w:tmpl w:val="82F09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5967B6D"/>
    <w:multiLevelType w:val="multilevel"/>
    <w:tmpl w:val="C9F68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6968254">
    <w:abstractNumId w:val="0"/>
  </w:num>
  <w:num w:numId="2" w16cid:durableId="2764535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4596"/>
    <w:rsid w:val="00071190"/>
    <w:rsid w:val="000C1910"/>
    <w:rsid w:val="00211941"/>
    <w:rsid w:val="002E51BA"/>
    <w:rsid w:val="0083637B"/>
    <w:rsid w:val="00A24596"/>
    <w:rsid w:val="00B33DB4"/>
    <w:rsid w:val="00DD10C1"/>
    <w:rsid w:val="00FA25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391EE"/>
  <w15:chartTrackingRefBased/>
  <w15:docId w15:val="{014E7B80-6D79-47FC-8D2C-90298DF4FA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45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45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45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45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45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45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45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45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45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45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45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45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45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45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45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45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45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4596"/>
    <w:rPr>
      <w:rFonts w:eastAsiaTheme="majorEastAsia" w:cstheme="majorBidi"/>
      <w:color w:val="272727" w:themeColor="text1" w:themeTint="D8"/>
    </w:rPr>
  </w:style>
  <w:style w:type="paragraph" w:styleId="Title">
    <w:name w:val="Title"/>
    <w:basedOn w:val="Normal"/>
    <w:next w:val="Normal"/>
    <w:link w:val="TitleChar"/>
    <w:uiPriority w:val="10"/>
    <w:qFormat/>
    <w:rsid w:val="00A245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45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45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45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4596"/>
    <w:pPr>
      <w:spacing w:before="160"/>
      <w:jc w:val="center"/>
    </w:pPr>
    <w:rPr>
      <w:i/>
      <w:iCs/>
      <w:color w:val="404040" w:themeColor="text1" w:themeTint="BF"/>
    </w:rPr>
  </w:style>
  <w:style w:type="character" w:customStyle="1" w:styleId="QuoteChar">
    <w:name w:val="Quote Char"/>
    <w:basedOn w:val="DefaultParagraphFont"/>
    <w:link w:val="Quote"/>
    <w:uiPriority w:val="29"/>
    <w:rsid w:val="00A24596"/>
    <w:rPr>
      <w:i/>
      <w:iCs/>
      <w:color w:val="404040" w:themeColor="text1" w:themeTint="BF"/>
    </w:rPr>
  </w:style>
  <w:style w:type="paragraph" w:styleId="ListParagraph">
    <w:name w:val="List Paragraph"/>
    <w:basedOn w:val="Normal"/>
    <w:uiPriority w:val="34"/>
    <w:qFormat/>
    <w:rsid w:val="00A24596"/>
    <w:pPr>
      <w:ind w:left="720"/>
      <w:contextualSpacing/>
    </w:pPr>
  </w:style>
  <w:style w:type="character" w:styleId="IntenseEmphasis">
    <w:name w:val="Intense Emphasis"/>
    <w:basedOn w:val="DefaultParagraphFont"/>
    <w:uiPriority w:val="21"/>
    <w:qFormat/>
    <w:rsid w:val="00A24596"/>
    <w:rPr>
      <w:i/>
      <w:iCs/>
      <w:color w:val="0F4761" w:themeColor="accent1" w:themeShade="BF"/>
    </w:rPr>
  </w:style>
  <w:style w:type="paragraph" w:styleId="IntenseQuote">
    <w:name w:val="Intense Quote"/>
    <w:basedOn w:val="Normal"/>
    <w:next w:val="Normal"/>
    <w:link w:val="IntenseQuoteChar"/>
    <w:uiPriority w:val="30"/>
    <w:qFormat/>
    <w:rsid w:val="00A245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4596"/>
    <w:rPr>
      <w:i/>
      <w:iCs/>
      <w:color w:val="0F4761" w:themeColor="accent1" w:themeShade="BF"/>
    </w:rPr>
  </w:style>
  <w:style w:type="character" w:styleId="IntenseReference">
    <w:name w:val="Intense Reference"/>
    <w:basedOn w:val="DefaultParagraphFont"/>
    <w:uiPriority w:val="32"/>
    <w:qFormat/>
    <w:rsid w:val="00A2459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2</Pages>
  <Words>638</Words>
  <Characters>3643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HQ 33</dc:creator>
  <cp:keywords/>
  <dc:description/>
  <cp:lastModifiedBy>HQ 33</cp:lastModifiedBy>
  <cp:revision>2</cp:revision>
  <dcterms:created xsi:type="dcterms:W3CDTF">2026-10-06T07:08:00Z</dcterms:created>
  <dcterms:modified xsi:type="dcterms:W3CDTF">2026-10-06T07:59:00Z</dcterms:modified>
</cp:coreProperties>
</file>