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60"/>
        <w:jc w:val="center"/>
      </w:pPr>
      <w:r>
        <w:t>Đặc tả kiểm soát tab Toàn ngành bảo hiểm</w:t>
      </w:r>
    </w:p>
    <w:p>
      <w:pPr>
        <w:pStyle w:val="Subtitle"/>
        <w:spacing w:after="560"/>
        <w:jc w:val="center"/>
      </w:pPr>
      <w:r>
        <w:t>Tài liệu nghiệp vụ gửi IT kiểm tra dữ liệu và triển khai 50 điểm chung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448"/>
            <w:shd w:fill="17365D"/>
            <w:vAlign w:val="center"/>
          </w:tcPr>
          <w:p>
            <w:pPr>
              <w:jc w:val="center"/>
            </w:pPr>
            <w:r>
              <w:rPr>
                <w:b/>
                <w:color w:val="FFFFFF"/>
                <w:sz w:val="20"/>
              </w:rPr>
              <w:t>Nội dung</w:t>
            </w:r>
          </w:p>
        </w:tc>
        <w:tc>
          <w:tcPr>
            <w:tcW w:type="dxa" w:w="7344"/>
            <w:shd w:fill="17365D"/>
            <w:vAlign w:val="center"/>
          </w:tcPr>
          <w:p>
            <w:pPr>
              <w:jc w:val="center"/>
            </w:pPr>
            <w:r>
              <w:rPr>
                <w:b/>
                <w:color w:val="FFFFFF"/>
                <w:sz w:val="20"/>
              </w:rPr>
              <w:t>Phạm vi chốt</w:t>
            </w:r>
          </w:p>
        </w:tc>
      </w:tr>
      <w:tr>
        <w:tc>
          <w:tcPr>
            <w:tcW w:type="dxa" w:w="2448"/>
            <w:vAlign w:val="center"/>
            <w:tcMar>
              <w:top w:w="100" w:type="dxa"/>
              <w:start w:w="110" w:type="dxa"/>
              <w:bottom w:w="100" w:type="dxa"/>
              <w:end w:w="110" w:type="dxa"/>
            </w:tcMar>
          </w:tcPr>
          <w:p>
            <w:pPr>
              <w:spacing w:after="0" w:line="252" w:lineRule="auto"/>
              <w:jc w:val="center"/>
            </w:pPr>
            <w:r>
              <w:rPr>
                <w:sz w:val="20"/>
              </w:rPr>
              <w:t>Giai đoạn hiện tại</w:t>
            </w:r>
          </w:p>
        </w:tc>
        <w:tc>
          <w:tcPr>
            <w:tcW w:type="dxa" w:w="7344"/>
            <w:vAlign w:val="center"/>
            <w:tcMar>
              <w:top w:w="100" w:type="dxa"/>
              <w:start w:w="110" w:type="dxa"/>
              <w:bottom w:w="100" w:type="dxa"/>
              <w:end w:w="110" w:type="dxa"/>
            </w:tcMar>
          </w:tcPr>
          <w:p>
            <w:pPr>
              <w:spacing w:after="0" w:line="252" w:lineRule="auto"/>
              <w:jc w:val="left"/>
            </w:pPr>
            <w:r>
              <w:rPr>
                <w:sz w:val="20"/>
              </w:rPr>
              <w:t>Kiểm tra và nghiệm thu 5 tiêu chí chung của tab Toàn ngành</w:t>
            </w:r>
          </w:p>
        </w:tc>
      </w:tr>
      <w:tr>
        <w:tc>
          <w:tcPr>
            <w:tcW w:type="dxa" w:w="2448"/>
            <w:shd w:fill="F3F7FB"/>
            <w:vAlign w:val="center"/>
            <w:tcMar>
              <w:top w:w="100" w:type="dxa"/>
              <w:start w:w="110" w:type="dxa"/>
              <w:bottom w:w="100" w:type="dxa"/>
              <w:end w:w="110" w:type="dxa"/>
            </w:tcMar>
          </w:tcPr>
          <w:p>
            <w:pPr>
              <w:spacing w:after="0" w:line="252" w:lineRule="auto"/>
              <w:jc w:val="center"/>
            </w:pPr>
            <w:r>
              <w:rPr>
                <w:sz w:val="20"/>
              </w:rPr>
              <w:t>Điểm đang triển khai</w:t>
            </w:r>
          </w:p>
        </w:tc>
        <w:tc>
          <w:tcPr>
            <w:tcW w:type="dxa" w:w="7344"/>
            <w:shd w:fill="F3F7FB"/>
            <w:vAlign w:val="center"/>
            <w:tcMar>
              <w:top w:w="100" w:type="dxa"/>
              <w:start w:w="110" w:type="dxa"/>
              <w:bottom w:w="100" w:type="dxa"/>
              <w:end w:w="110" w:type="dxa"/>
            </w:tcMar>
          </w:tcPr>
          <w:p>
            <w:pPr>
              <w:spacing w:after="0" w:line="252" w:lineRule="auto"/>
              <w:jc w:val="left"/>
            </w:pPr>
            <w:r>
              <w:rPr>
                <w:sz w:val="20"/>
              </w:rPr>
              <w:t>50 điểm đầu tiên</w:t>
            </w:r>
          </w:p>
        </w:tc>
      </w:tr>
      <w:tr>
        <w:tc>
          <w:tcPr>
            <w:tcW w:type="dxa" w:w="2448"/>
            <w:vAlign w:val="center"/>
            <w:tcMar>
              <w:top w:w="100" w:type="dxa"/>
              <w:start w:w="110" w:type="dxa"/>
              <w:bottom w:w="100" w:type="dxa"/>
              <w:end w:w="110" w:type="dxa"/>
            </w:tcMar>
          </w:tcPr>
          <w:p>
            <w:pPr>
              <w:spacing w:after="0" w:line="252" w:lineRule="auto"/>
              <w:jc w:val="center"/>
            </w:pPr>
            <w:r>
              <w:rPr>
                <w:sz w:val="20"/>
              </w:rPr>
              <w:t>Chưa triển khai</w:t>
            </w:r>
          </w:p>
        </w:tc>
        <w:tc>
          <w:tcPr>
            <w:tcW w:type="dxa" w:w="7344"/>
            <w:vAlign w:val="center"/>
            <w:tcMar>
              <w:top w:w="100" w:type="dxa"/>
              <w:start w:w="110" w:type="dxa"/>
              <w:bottom w:w="100" w:type="dxa"/>
              <w:end w:w="110" w:type="dxa"/>
            </w:tcMar>
          </w:tcPr>
          <w:p>
            <w:pPr>
              <w:spacing w:after="0" w:line="252" w:lineRule="auto"/>
              <w:jc w:val="left"/>
            </w:pPr>
            <w:r>
              <w:rPr>
                <w:sz w:val="20"/>
              </w:rPr>
              <w:t>50 điểm hiệu quả bảo hiểm chuyên sâu theo từng loại hình</w:t>
            </w:r>
          </w:p>
        </w:tc>
      </w:tr>
      <w:tr>
        <w:tc>
          <w:tcPr>
            <w:tcW w:type="dxa" w:w="2448"/>
            <w:shd w:fill="F3F7FB"/>
            <w:vAlign w:val="center"/>
            <w:tcMar>
              <w:top w:w="100" w:type="dxa"/>
              <w:start w:w="110" w:type="dxa"/>
              <w:bottom w:w="100" w:type="dxa"/>
              <w:end w:w="110" w:type="dxa"/>
            </w:tcMar>
          </w:tcPr>
          <w:p>
            <w:pPr>
              <w:spacing w:after="0" w:line="252" w:lineRule="auto"/>
              <w:jc w:val="center"/>
            </w:pPr>
            <w:r>
              <w:rPr>
                <w:sz w:val="20"/>
              </w:rPr>
              <w:t>Đầu ra cuối dự án</w:t>
            </w:r>
          </w:p>
        </w:tc>
        <w:tc>
          <w:tcPr>
            <w:tcW w:type="dxa" w:w="7344"/>
            <w:shd w:fill="F3F7FB"/>
            <w:vAlign w:val="center"/>
            <w:tcMar>
              <w:top w:w="100" w:type="dxa"/>
              <w:start w:w="110" w:type="dxa"/>
              <w:bottom w:w="100" w:type="dxa"/>
              <w:end w:w="110" w:type="dxa"/>
            </w:tcMar>
          </w:tcPr>
          <w:p>
            <w:pPr>
              <w:spacing w:after="0" w:line="252" w:lineRule="auto"/>
              <w:jc w:val="left"/>
            </w:pPr>
            <w:r>
              <w:rPr>
                <w:sz w:val="20"/>
              </w:rPr>
              <w:t>BA tổng hợp thành bộ chấm điểm toàn ngành bảo hiểm đủ 100 điểm</w:t>
            </w:r>
          </w:p>
        </w:tc>
      </w:tr>
      <w:tr>
        <w:tc>
          <w:tcPr>
            <w:tcW w:type="dxa" w:w="2448"/>
            <w:vAlign w:val="center"/>
            <w:tcMar>
              <w:top w:w="100" w:type="dxa"/>
              <w:start w:w="110" w:type="dxa"/>
              <w:bottom w:w="100" w:type="dxa"/>
              <w:end w:w="110" w:type="dxa"/>
            </w:tcMar>
          </w:tcPr>
          <w:p>
            <w:pPr>
              <w:spacing w:after="0" w:line="252" w:lineRule="auto"/>
              <w:jc w:val="center"/>
            </w:pPr>
            <w:r>
              <w:rPr>
                <w:sz w:val="20"/>
              </w:rPr>
              <w:t>Nguyên tắc dữ liệu</w:t>
            </w:r>
          </w:p>
        </w:tc>
        <w:tc>
          <w:tcPr>
            <w:tcW w:type="dxa" w:w="7344"/>
            <w:vAlign w:val="center"/>
            <w:tcMar>
              <w:top w:w="100" w:type="dxa"/>
              <w:start w:w="110" w:type="dxa"/>
              <w:bottom w:w="100" w:type="dxa"/>
              <w:end w:w="110" w:type="dxa"/>
            </w:tcMar>
          </w:tcPr>
          <w:p>
            <w:pPr>
              <w:spacing w:after="0" w:line="252" w:lineRule="auto"/>
              <w:jc w:val="left"/>
            </w:pPr>
            <w:r>
              <w:rPr>
                <w:sz w:val="20"/>
              </w:rPr>
              <w:t>Số liệu công khai, tính được từ BCTC, không tự suy đoán, không để N/A trong bảng vận hành</w:t>
            </w:r>
          </w:p>
        </w:tc>
      </w:tr>
    </w:tbl>
    <w:p>
      <w:pPr>
        <w:spacing w:after="0"/>
      </w:pPr>
    </w:p>
    <w:p>
      <w:pPr>
        <w:pStyle w:val="BodyText"/>
      </w:pPr>
      <w:r>
        <w:t>Mục tiêu của tài liệu này là giúp IT hiểu chính xác tab Toàn ngành đang kiểm tra điều gì, dữ liệu nào được phép sử dụng, công thức nào phải áp dụng và điều kiện nào cần vượt qua trước khi phát triển các tab chuyên sâu. Đây chưa phải bộ chấm điểm cuối cùng của doanh nghiệp bảo hiểm.</w:t>
      </w:r>
    </w:p>
    <w:p>
      <w:r>
        <w:br w:type="page"/>
      </w:r>
    </w:p>
    <w:p>
      <w:pPr>
        <w:pStyle w:val="Heading1"/>
        <w:keepNext/>
      </w:pPr>
      <w:r>
        <w:t>1 Mục tiêu và giới hạn của giai đoạn hiện tại</w:t>
      </w:r>
    </w:p>
    <w:p>
      <w:pPr>
        <w:pStyle w:val="BodyText"/>
      </w:pPr>
      <w:r>
        <w:t>Tab Toàn ngành là lớp kiểm tra chung áp dụng cho mọi doanh nghiệp bảo hiểm, bất kể doanh nghiệp thuộc nhân thọ, phi nhân thọ, tái bảo hiểm hay holding hỗn hợp. Lớp này tập trung vào kết quả kinh doanh, độ liên tục của tăng trưởng, quy mô nghiệp vụ, hiệu quả sử dụng vốn và xu hướng đệm vốn.</w:t>
      </w:r>
    </w:p>
    <w:p>
      <w:pPr>
        <w:pStyle w:val="BodyText"/>
      </w:pPr>
      <w:r>
        <w:t>Năm tiêu chí chỉ chiếm 50 phần trăm tổng điểm dự kiến. Vì vậy kết quả của tab Toàn ngành chưa đủ để kết luận doanh nghiệp bảo hiểm nào tốt nhất. Nó chỉ cho biết doanh nghiệp nào đang có nền tảng chung tốt hoặc đang cải thiện rõ rệt để tiếp tục đi vào bước phân tích chuyên sâu.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70"/>
        <w:gridCol w:w="2570"/>
        <w:gridCol w:w="2570"/>
        <w:gridCol w:w="2570"/>
      </w:tblGrid>
      <w:tr>
        <w:trPr>
          <w:tblHeader w:val="true"/>
        </w:trPr>
        <w:tc>
          <w:tcPr>
            <w:tcW w:type="dxa" w:w="2088"/>
            <w:shd w:fill="17365D"/>
            <w:vAlign w:val="center"/>
          </w:tcPr>
          <w:p>
            <w:pPr>
              <w:jc w:val="center"/>
            </w:pPr>
            <w:r>
              <w:rPr>
                <w:b/>
                <w:color w:val="FFFFFF"/>
                <w:sz w:val="18"/>
              </w:rPr>
              <w:t>Lớp đánh giá</w:t>
            </w:r>
          </w:p>
        </w:tc>
        <w:tc>
          <w:tcPr>
            <w:tcW w:type="dxa" w:w="936"/>
            <w:shd w:fill="17365D"/>
            <w:vAlign w:val="center"/>
          </w:tcPr>
          <w:p>
            <w:pPr>
              <w:jc w:val="center"/>
            </w:pPr>
            <w:r>
              <w:rPr>
                <w:b/>
                <w:color w:val="FFFFFF"/>
                <w:sz w:val="18"/>
              </w:rPr>
              <w:t>Điểm</w:t>
            </w:r>
          </w:p>
        </w:tc>
        <w:tc>
          <w:tcPr>
            <w:tcW w:type="dxa" w:w="4968"/>
            <w:shd w:fill="17365D"/>
            <w:vAlign w:val="center"/>
          </w:tcPr>
          <w:p>
            <w:pPr>
              <w:jc w:val="center"/>
            </w:pPr>
            <w:r>
              <w:rPr>
                <w:b/>
                <w:color w:val="FFFFFF"/>
                <w:sz w:val="18"/>
              </w:rPr>
              <w:t>Vai trò</w:t>
            </w:r>
          </w:p>
        </w:tc>
        <w:tc>
          <w:tcPr>
            <w:tcW w:type="dxa" w:w="2232"/>
            <w:shd w:fill="17365D"/>
            <w:vAlign w:val="center"/>
          </w:tcPr>
          <w:p>
            <w:pPr>
              <w:jc w:val="center"/>
            </w:pPr>
            <w:r>
              <w:rPr>
                <w:b/>
                <w:color w:val="FFFFFF"/>
                <w:sz w:val="18"/>
              </w:rPr>
              <w:t>Thời điểm triển khai</w:t>
            </w:r>
          </w:p>
        </w:tc>
      </w:tr>
      <w:tr>
        <w:tc>
          <w:tcPr>
            <w:tcW w:type="dxa" w:w="2088"/>
            <w:vAlign w:val="center"/>
            <w:tcMar>
              <w:top w:w="100" w:type="dxa"/>
              <w:start w:w="110" w:type="dxa"/>
              <w:bottom w:w="100" w:type="dxa"/>
              <w:end w:w="110" w:type="dxa"/>
            </w:tcMar>
          </w:tcPr>
          <w:p>
            <w:pPr>
              <w:spacing w:after="0" w:line="252" w:lineRule="auto"/>
              <w:jc w:val="left"/>
            </w:pPr>
            <w:r>
              <w:rPr>
                <w:sz w:val="18"/>
              </w:rPr>
              <w:t>Tab Toàn ngành</w:t>
            </w:r>
          </w:p>
        </w:tc>
        <w:tc>
          <w:tcPr>
            <w:tcW w:type="dxa" w:w="936"/>
            <w:vAlign w:val="center"/>
            <w:tcMar>
              <w:top w:w="100" w:type="dxa"/>
              <w:start w:w="110" w:type="dxa"/>
              <w:bottom w:w="100" w:type="dxa"/>
              <w:end w:w="110" w:type="dxa"/>
            </w:tcMar>
          </w:tcPr>
          <w:p>
            <w:pPr>
              <w:spacing w:after="0" w:line="252" w:lineRule="auto"/>
              <w:jc w:val="left"/>
            </w:pPr>
            <w:r>
              <w:rPr>
                <w:sz w:val="18"/>
              </w:rPr>
              <w:t>50</w:t>
            </w:r>
          </w:p>
        </w:tc>
        <w:tc>
          <w:tcPr>
            <w:tcW w:type="dxa" w:w="4968"/>
            <w:vAlign w:val="center"/>
            <w:tcMar>
              <w:top w:w="100" w:type="dxa"/>
              <w:start w:w="110" w:type="dxa"/>
              <w:bottom w:w="100" w:type="dxa"/>
              <w:end w:w="110" w:type="dxa"/>
            </w:tcMar>
          </w:tcPr>
          <w:p>
            <w:pPr>
              <w:spacing w:after="0" w:line="252" w:lineRule="auto"/>
              <w:jc w:val="left"/>
            </w:pPr>
            <w:r>
              <w:rPr>
                <w:sz w:val="18"/>
              </w:rPr>
              <w:t>So sánh các chỉ tiêu chung có thể áp dụng cho mọi mô hình bảo hiểm</w:t>
            </w:r>
          </w:p>
        </w:tc>
        <w:tc>
          <w:tcPr>
            <w:tcW w:type="dxa" w:w="2232"/>
            <w:vAlign w:val="center"/>
            <w:tcMar>
              <w:top w:w="100" w:type="dxa"/>
              <w:start w:w="110" w:type="dxa"/>
              <w:bottom w:w="100" w:type="dxa"/>
              <w:end w:w="110" w:type="dxa"/>
            </w:tcMar>
          </w:tcPr>
          <w:p>
            <w:pPr>
              <w:spacing w:after="0" w:line="252" w:lineRule="auto"/>
              <w:jc w:val="left"/>
            </w:pPr>
            <w:r>
              <w:rPr>
                <w:sz w:val="18"/>
              </w:rPr>
              <w:t>Triển khai và kiểm tra trước</w:t>
            </w:r>
          </w:p>
        </w:tc>
      </w:tr>
      <w:tr>
        <w:tc>
          <w:tcPr>
            <w:tcW w:type="dxa" w:w="2088"/>
            <w:shd w:fill="F3F7FB"/>
            <w:vAlign w:val="center"/>
            <w:tcMar>
              <w:top w:w="100" w:type="dxa"/>
              <w:start w:w="110" w:type="dxa"/>
              <w:bottom w:w="100" w:type="dxa"/>
              <w:end w:w="110" w:type="dxa"/>
            </w:tcMar>
          </w:tcPr>
          <w:p>
            <w:pPr>
              <w:spacing w:after="0" w:line="252" w:lineRule="auto"/>
              <w:jc w:val="left"/>
            </w:pPr>
            <w:r>
              <w:rPr>
                <w:sz w:val="18"/>
              </w:rPr>
              <w:t>Tab từng loại hình</w:t>
            </w:r>
          </w:p>
        </w:tc>
        <w:tc>
          <w:tcPr>
            <w:tcW w:type="dxa" w:w="936"/>
            <w:shd w:fill="F3F7FB"/>
            <w:vAlign w:val="center"/>
            <w:tcMar>
              <w:top w:w="100" w:type="dxa"/>
              <w:start w:w="110" w:type="dxa"/>
              <w:bottom w:w="100" w:type="dxa"/>
              <w:end w:w="110" w:type="dxa"/>
            </w:tcMar>
          </w:tcPr>
          <w:p>
            <w:pPr>
              <w:spacing w:after="0" w:line="252" w:lineRule="auto"/>
              <w:jc w:val="left"/>
            </w:pPr>
            <w:r>
              <w:rPr>
                <w:sz w:val="18"/>
              </w:rPr>
              <w:t>50</w:t>
            </w:r>
          </w:p>
        </w:tc>
        <w:tc>
          <w:tcPr>
            <w:tcW w:type="dxa" w:w="4968"/>
            <w:shd w:fill="F3F7FB"/>
            <w:vAlign w:val="center"/>
            <w:tcMar>
              <w:top w:w="100" w:type="dxa"/>
              <w:start w:w="110" w:type="dxa"/>
              <w:bottom w:w="100" w:type="dxa"/>
              <w:end w:w="110" w:type="dxa"/>
            </w:tcMar>
          </w:tcPr>
          <w:p>
            <w:pPr>
              <w:spacing w:after="0" w:line="252" w:lineRule="auto"/>
              <w:jc w:val="left"/>
            </w:pPr>
            <w:r>
              <w:rPr>
                <w:sz w:val="18"/>
              </w:rPr>
              <w:t>Đánh giá hiệu quả nghiệp vụ riêng của nhân thọ, phi nhân thọ, tái bảo hiểm và holding</w:t>
            </w:r>
          </w:p>
        </w:tc>
        <w:tc>
          <w:tcPr>
            <w:tcW w:type="dxa" w:w="2232"/>
            <w:shd w:fill="F3F7FB"/>
            <w:vAlign w:val="center"/>
            <w:tcMar>
              <w:top w:w="100" w:type="dxa"/>
              <w:start w:w="110" w:type="dxa"/>
              <w:bottom w:w="100" w:type="dxa"/>
              <w:end w:w="110" w:type="dxa"/>
            </w:tcMar>
          </w:tcPr>
          <w:p>
            <w:pPr>
              <w:spacing w:after="0" w:line="252" w:lineRule="auto"/>
              <w:jc w:val="left"/>
            </w:pPr>
            <w:r>
              <w:rPr>
                <w:sz w:val="18"/>
              </w:rPr>
              <w:t>Chỉ làm sau khi 50 điểm chung được nghiệm thu</w:t>
            </w:r>
          </w:p>
        </w:tc>
      </w:tr>
      <w:tr>
        <w:tc>
          <w:tcPr>
            <w:tcW w:type="dxa" w:w="2088"/>
            <w:vAlign w:val="center"/>
            <w:tcMar>
              <w:top w:w="100" w:type="dxa"/>
              <w:start w:w="110" w:type="dxa"/>
              <w:bottom w:w="100" w:type="dxa"/>
              <w:end w:w="110" w:type="dxa"/>
            </w:tcMar>
          </w:tcPr>
          <w:p>
            <w:pPr>
              <w:spacing w:after="0" w:line="252" w:lineRule="auto"/>
              <w:jc w:val="left"/>
            </w:pPr>
            <w:r>
              <w:rPr>
                <w:sz w:val="18"/>
              </w:rPr>
              <w:t>Bảng tổng kết của BA</w:t>
            </w:r>
          </w:p>
        </w:tc>
        <w:tc>
          <w:tcPr>
            <w:tcW w:type="dxa" w:w="936"/>
            <w:vAlign w:val="center"/>
            <w:tcMar>
              <w:top w:w="100" w:type="dxa"/>
              <w:start w:w="110" w:type="dxa"/>
              <w:bottom w:w="100" w:type="dxa"/>
              <w:end w:w="110" w:type="dxa"/>
            </w:tcMar>
          </w:tcPr>
          <w:p>
            <w:pPr>
              <w:spacing w:after="0" w:line="252" w:lineRule="auto"/>
              <w:jc w:val="left"/>
            </w:pPr>
            <w:r>
              <w:rPr>
                <w:sz w:val="18"/>
              </w:rPr>
              <w:t>100</w:t>
            </w:r>
          </w:p>
        </w:tc>
        <w:tc>
          <w:tcPr>
            <w:tcW w:type="dxa" w:w="4968"/>
            <w:vAlign w:val="center"/>
            <w:tcMar>
              <w:top w:w="100" w:type="dxa"/>
              <w:start w:w="110" w:type="dxa"/>
              <w:bottom w:w="100" w:type="dxa"/>
              <w:end w:w="110" w:type="dxa"/>
            </w:tcMar>
          </w:tcPr>
          <w:p>
            <w:pPr>
              <w:spacing w:after="0" w:line="252" w:lineRule="auto"/>
              <w:jc w:val="left"/>
            </w:pPr>
            <w:r>
              <w:rPr>
                <w:sz w:val="18"/>
              </w:rPr>
              <w:t>Hợp nhất 50 điểm chung và 50 điểm chuyên sâu thành kết quả cuối cùng</w:t>
            </w:r>
          </w:p>
        </w:tc>
        <w:tc>
          <w:tcPr>
            <w:tcW w:type="dxa" w:w="2232"/>
            <w:vAlign w:val="center"/>
            <w:tcMar>
              <w:top w:w="100" w:type="dxa"/>
              <w:start w:w="110" w:type="dxa"/>
              <w:bottom w:w="100" w:type="dxa"/>
              <w:end w:w="110" w:type="dxa"/>
            </w:tcMar>
          </w:tcPr>
          <w:p>
            <w:pPr>
              <w:spacing w:after="0" w:line="252" w:lineRule="auto"/>
              <w:jc w:val="left"/>
            </w:pPr>
            <w:r>
              <w:rPr>
                <w:sz w:val="18"/>
              </w:rPr>
              <w:t>Bước cuối</w:t>
            </w:r>
          </w:p>
        </w:tc>
      </w:tr>
    </w:tbl>
    <w:p>
      <w:pPr>
        <w:spacing w:after="0"/>
      </w:pPr>
    </w:p>
    <w:p>
      <w:pPr>
        <w:pStyle w:val="Heading1"/>
        <w:keepNext/>
      </w:pPr>
      <w:r>
        <w:t>2 Luồng triển khai bắt buộc</w:t>
      </w:r>
    </w:p>
    <w:p>
      <w:pPr>
        <w:pStyle w:val="ListNumber"/>
      </w:pPr>
      <w:r>
        <w:t>IT kiểm tra khả năng lấy dữ liệu của 5 tiêu chí chung trên toàn bộ danh sách doanh nghiệp bảo hiểm.</w:t>
      </w:r>
    </w:p>
    <w:p>
      <w:pPr>
        <w:pStyle w:val="ListNumber"/>
      </w:pPr>
      <w:r>
        <w:t>IT chạy thử công thức, kiểm tra chuỗi kỳ và báo cáo các ngoại lệ dữ liệu như ABI và BVH.</w:t>
      </w:r>
    </w:p>
    <w:p>
      <w:pPr>
        <w:pStyle w:val="ListNumber"/>
      </w:pPr>
      <w:r>
        <w:t>BA xác nhận kết quả 50 điểm chung đã đồng nhất và không còn lỗi làm sai thứ hạng.</w:t>
      </w:r>
    </w:p>
    <w:p>
      <w:pPr>
        <w:pStyle w:val="ListNumber"/>
      </w:pPr>
      <w:r>
        <w:t>Nhóm nghiệp vụ mới xây 50 điểm chuyên sâu cho từng tab Nhân thọ, Phi nhân thọ, Tái bảo hiểm và Holding Hỗn hợp.</w:t>
      </w:r>
    </w:p>
    <w:p>
      <w:pPr>
        <w:pStyle w:val="ListNumber"/>
      </w:pPr>
      <w:r>
        <w:t>BA hợp nhất hai lớp điểm, rà soát trùng lặp và phát hành bảng chấm điểm toàn ngành bảo hiểm cuối cùng.</w:t>
      </w:r>
    </w:p>
    <w:p>
      <w:pPr>
        <w:pStyle w:val="BodyText"/>
      </w:pPr>
      <w:r>
        <w:t>Không được dùng các chỉ tiêu chuyên sâu chưa thống nhất để bù vào 50 điểm hiện tại. Không được gọi điểm 50 là Tổng điểm FA 100 hoặc sử dụng nó như kết luận cuối cùng về chất lượng doanh nghiệp.</w:t>
      </w:r>
    </w:p>
    <w:p>
      <w:r>
        <w:br w:type="page"/>
      </w:r>
    </w:p>
    <w:p>
      <w:pPr>
        <w:pStyle w:val="Heading1"/>
        <w:keepNext/>
      </w:pPr>
      <w:r>
        <w:t>3 Cấu trúc 50 điểm chung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70"/>
        <w:gridCol w:w="2570"/>
        <w:gridCol w:w="2570"/>
        <w:gridCol w:w="2570"/>
      </w:tblGrid>
      <w:tr>
        <w:trPr>
          <w:tblHeader w:val="true"/>
        </w:trPr>
        <w:tc>
          <w:tcPr>
            <w:tcW w:type="dxa" w:w="792"/>
            <w:shd w:fill="17365D"/>
            <w:vAlign w:val="center"/>
          </w:tcPr>
          <w:p>
            <w:pPr>
              <w:jc w:val="center"/>
            </w:pPr>
            <w:r>
              <w:rPr>
                <w:b/>
                <w:color w:val="FFFFFF"/>
                <w:sz w:val="18"/>
              </w:rPr>
              <w:t>Mã</w:t>
            </w:r>
          </w:p>
        </w:tc>
        <w:tc>
          <w:tcPr>
            <w:tcW w:type="dxa" w:w="2808"/>
            <w:shd w:fill="17365D"/>
            <w:vAlign w:val="center"/>
          </w:tcPr>
          <w:p>
            <w:pPr>
              <w:jc w:val="center"/>
            </w:pPr>
            <w:r>
              <w:rPr>
                <w:b/>
                <w:color w:val="FFFFFF"/>
                <w:sz w:val="18"/>
              </w:rPr>
              <w:t>Tiêu chí</w:t>
            </w:r>
          </w:p>
        </w:tc>
        <w:tc>
          <w:tcPr>
            <w:tcW w:type="dxa" w:w="1224"/>
            <w:shd w:fill="17365D"/>
            <w:vAlign w:val="center"/>
          </w:tcPr>
          <w:p>
            <w:pPr>
              <w:jc w:val="center"/>
            </w:pPr>
            <w:r>
              <w:rPr>
                <w:b/>
                <w:color w:val="FFFFFF"/>
                <w:sz w:val="18"/>
              </w:rPr>
              <w:t>Điểm tối đa</w:t>
            </w:r>
          </w:p>
        </w:tc>
        <w:tc>
          <w:tcPr>
            <w:tcW w:type="dxa" w:w="5400"/>
            <w:shd w:fill="17365D"/>
            <w:vAlign w:val="center"/>
          </w:tcPr>
          <w:p>
            <w:pPr>
              <w:jc w:val="center"/>
            </w:pPr>
            <w:r>
              <w:rPr>
                <w:b/>
                <w:color w:val="FFFFFF"/>
                <w:sz w:val="18"/>
              </w:rPr>
              <w:t>Câu hỏi tiêu chí trả lời</w:t>
            </w:r>
          </w:p>
        </w:tc>
      </w:tr>
      <w:tr>
        <w:tc>
          <w:tcPr>
            <w:tcW w:type="dxa" w:w="792"/>
            <w:vAlign w:val="center"/>
            <w:tcMar>
              <w:top w:w="100" w:type="dxa"/>
              <w:start w:w="110" w:type="dxa"/>
              <w:bottom w:w="100" w:type="dxa"/>
              <w:end w:w="110" w:type="dxa"/>
            </w:tcMar>
          </w:tcPr>
          <w:p>
            <w:pPr>
              <w:spacing w:after="0" w:line="252" w:lineRule="auto"/>
              <w:jc w:val="left"/>
            </w:pPr>
            <w:r>
              <w:rPr>
                <w:sz w:val="18"/>
              </w:rPr>
              <w:t>C1</w:t>
            </w:r>
          </w:p>
        </w:tc>
        <w:tc>
          <w:tcPr>
            <w:tcW w:type="dxa" w:w="2808"/>
            <w:vAlign w:val="center"/>
            <w:tcMar>
              <w:top w:w="100" w:type="dxa"/>
              <w:start w:w="110" w:type="dxa"/>
              <w:bottom w:w="100" w:type="dxa"/>
              <w:end w:w="110" w:type="dxa"/>
            </w:tcMar>
          </w:tcPr>
          <w:p>
            <w:pPr>
              <w:spacing w:after="0" w:line="252" w:lineRule="auto"/>
              <w:jc w:val="left"/>
            </w:pPr>
            <w:r>
              <w:rPr>
                <w:sz w:val="18"/>
              </w:rPr>
              <w:t>Tăng trưởng EPS YoY</w:t>
            </w:r>
          </w:p>
        </w:tc>
        <w:tc>
          <w:tcPr>
            <w:tcW w:type="dxa" w:w="1224"/>
            <w:vAlign w:val="center"/>
            <w:tcMar>
              <w:top w:w="100" w:type="dxa"/>
              <w:start w:w="110" w:type="dxa"/>
              <w:bottom w:w="100" w:type="dxa"/>
              <w:end w:w="110" w:type="dxa"/>
            </w:tcMar>
          </w:tcPr>
          <w:p>
            <w:pPr>
              <w:spacing w:after="0" w:line="252" w:lineRule="auto"/>
              <w:jc w:val="left"/>
            </w:pPr>
            <w:r>
              <w:rPr>
                <w:sz w:val="18"/>
              </w:rPr>
              <w:t>10</w:t>
            </w:r>
          </w:p>
        </w:tc>
        <w:tc>
          <w:tcPr>
            <w:tcW w:type="dxa" w:w="5400"/>
            <w:vAlign w:val="center"/>
            <w:tcMar>
              <w:top w:w="100" w:type="dxa"/>
              <w:start w:w="110" w:type="dxa"/>
              <w:bottom w:w="100" w:type="dxa"/>
              <w:end w:w="110" w:type="dxa"/>
            </w:tcMar>
          </w:tcPr>
          <w:p>
            <w:pPr>
              <w:spacing w:after="0" w:line="252" w:lineRule="auto"/>
              <w:jc w:val="left"/>
            </w:pPr>
            <w:r>
              <w:rPr>
                <w:sz w:val="18"/>
              </w:rPr>
              <w:t>Lợi nhuận trên mỗi cổ phần hiện tại tăng hay giảm so với cùng kỳ</w:t>
            </w:r>
          </w:p>
        </w:tc>
      </w:tr>
      <w:tr>
        <w:tc>
          <w:tcPr>
            <w:tcW w:type="dxa" w:w="792"/>
            <w:shd w:fill="F3F7FB"/>
            <w:vAlign w:val="center"/>
            <w:tcMar>
              <w:top w:w="100" w:type="dxa"/>
              <w:start w:w="110" w:type="dxa"/>
              <w:bottom w:w="100" w:type="dxa"/>
              <w:end w:w="110" w:type="dxa"/>
            </w:tcMar>
          </w:tcPr>
          <w:p>
            <w:pPr>
              <w:spacing w:after="0" w:line="252" w:lineRule="auto"/>
              <w:jc w:val="left"/>
            </w:pPr>
            <w:r>
              <w:rPr>
                <w:sz w:val="18"/>
              </w:rPr>
              <w:t>C2</w:t>
            </w:r>
          </w:p>
        </w:tc>
        <w:tc>
          <w:tcPr>
            <w:tcW w:type="dxa" w:w="2808"/>
            <w:shd w:fill="F3F7FB"/>
            <w:vAlign w:val="center"/>
            <w:tcMar>
              <w:top w:w="100" w:type="dxa"/>
              <w:start w:w="110" w:type="dxa"/>
              <w:bottom w:w="100" w:type="dxa"/>
              <w:end w:w="110" w:type="dxa"/>
            </w:tcMar>
          </w:tcPr>
          <w:p>
            <w:pPr>
              <w:spacing w:after="0" w:line="252" w:lineRule="auto"/>
              <w:jc w:val="left"/>
            </w:pPr>
            <w:r>
              <w:rPr>
                <w:sz w:val="18"/>
              </w:rPr>
              <w:t>Số quý EPS tăng trưởng</w:t>
            </w:r>
          </w:p>
        </w:tc>
        <w:tc>
          <w:tcPr>
            <w:tcW w:type="dxa" w:w="1224"/>
            <w:shd w:fill="F3F7FB"/>
            <w:vAlign w:val="center"/>
            <w:tcMar>
              <w:top w:w="100" w:type="dxa"/>
              <w:start w:w="110" w:type="dxa"/>
              <w:bottom w:w="100" w:type="dxa"/>
              <w:end w:w="110" w:type="dxa"/>
            </w:tcMar>
          </w:tcPr>
          <w:p>
            <w:pPr>
              <w:spacing w:after="0" w:line="252" w:lineRule="auto"/>
              <w:jc w:val="left"/>
            </w:pPr>
            <w:r>
              <w:rPr>
                <w:sz w:val="18"/>
              </w:rPr>
              <w:t>10</w:t>
            </w:r>
          </w:p>
        </w:tc>
        <w:tc>
          <w:tcPr>
            <w:tcW w:type="dxa" w:w="5400"/>
            <w:shd w:fill="F3F7FB"/>
            <w:vAlign w:val="center"/>
            <w:tcMar>
              <w:top w:w="100" w:type="dxa"/>
              <w:start w:w="110" w:type="dxa"/>
              <w:bottom w:w="100" w:type="dxa"/>
              <w:end w:w="110" w:type="dxa"/>
            </w:tcMar>
          </w:tcPr>
          <w:p>
            <w:pPr>
              <w:spacing w:after="0" w:line="252" w:lineRule="auto"/>
              <w:jc w:val="left"/>
            </w:pPr>
            <w:r>
              <w:rPr>
                <w:sz w:val="18"/>
              </w:rPr>
              <w:t>Tăng trưởng có xuất hiện liên tục trong ba quý gần nhất hay chỉ là một quý đơn lẻ</w:t>
            </w:r>
          </w:p>
        </w:tc>
      </w:tr>
      <w:tr>
        <w:tc>
          <w:tcPr>
            <w:tcW w:type="dxa" w:w="792"/>
            <w:vAlign w:val="center"/>
            <w:tcMar>
              <w:top w:w="100" w:type="dxa"/>
              <w:start w:w="110" w:type="dxa"/>
              <w:bottom w:w="100" w:type="dxa"/>
              <w:end w:w="110" w:type="dxa"/>
            </w:tcMar>
          </w:tcPr>
          <w:p>
            <w:pPr>
              <w:spacing w:after="0" w:line="252" w:lineRule="auto"/>
              <w:jc w:val="left"/>
            </w:pPr>
            <w:r>
              <w:rPr>
                <w:sz w:val="18"/>
              </w:rPr>
              <w:t>C3</w:t>
            </w:r>
          </w:p>
        </w:tc>
        <w:tc>
          <w:tcPr>
            <w:tcW w:type="dxa" w:w="2808"/>
            <w:vAlign w:val="center"/>
            <w:tcMar>
              <w:top w:w="100" w:type="dxa"/>
              <w:start w:w="110" w:type="dxa"/>
              <w:bottom w:w="100" w:type="dxa"/>
              <w:end w:w="110" w:type="dxa"/>
            </w:tcMar>
          </w:tcPr>
          <w:p>
            <w:pPr>
              <w:spacing w:after="0" w:line="252" w:lineRule="auto"/>
              <w:jc w:val="left"/>
            </w:pPr>
            <w:r>
              <w:rPr>
                <w:sz w:val="18"/>
              </w:rPr>
              <w:t>Tăng trưởng doanh thu bảo hiểm YoY</w:t>
            </w:r>
          </w:p>
        </w:tc>
        <w:tc>
          <w:tcPr>
            <w:tcW w:type="dxa" w:w="1224"/>
            <w:vAlign w:val="center"/>
            <w:tcMar>
              <w:top w:w="100" w:type="dxa"/>
              <w:start w:w="110" w:type="dxa"/>
              <w:bottom w:w="100" w:type="dxa"/>
              <w:end w:w="110" w:type="dxa"/>
            </w:tcMar>
          </w:tcPr>
          <w:p>
            <w:pPr>
              <w:spacing w:after="0" w:line="252" w:lineRule="auto"/>
              <w:jc w:val="left"/>
            </w:pPr>
            <w:r>
              <w:rPr>
                <w:sz w:val="18"/>
              </w:rPr>
              <w:t>10</w:t>
            </w:r>
          </w:p>
        </w:tc>
        <w:tc>
          <w:tcPr>
            <w:tcW w:type="dxa" w:w="5400"/>
            <w:vAlign w:val="center"/>
            <w:tcMar>
              <w:top w:w="100" w:type="dxa"/>
              <w:start w:w="110" w:type="dxa"/>
              <w:bottom w:w="100" w:type="dxa"/>
              <w:end w:w="110" w:type="dxa"/>
            </w:tcMar>
          </w:tcPr>
          <w:p>
            <w:pPr>
              <w:spacing w:after="0" w:line="252" w:lineRule="auto"/>
              <w:jc w:val="left"/>
            </w:pPr>
            <w:r>
              <w:rPr>
                <w:sz w:val="18"/>
              </w:rPr>
              <w:t>Quy mô hoạt động bảo hiểm đang mở rộng hay thu hẹp</w:t>
            </w:r>
          </w:p>
        </w:tc>
      </w:tr>
      <w:tr>
        <w:tc>
          <w:tcPr>
            <w:tcW w:type="dxa" w:w="792"/>
            <w:shd w:fill="F3F7FB"/>
            <w:vAlign w:val="center"/>
            <w:tcMar>
              <w:top w:w="100" w:type="dxa"/>
              <w:start w:w="110" w:type="dxa"/>
              <w:bottom w:w="100" w:type="dxa"/>
              <w:end w:w="110" w:type="dxa"/>
            </w:tcMar>
          </w:tcPr>
          <w:p>
            <w:pPr>
              <w:spacing w:after="0" w:line="252" w:lineRule="auto"/>
              <w:jc w:val="left"/>
            </w:pPr>
            <w:r>
              <w:rPr>
                <w:sz w:val="18"/>
              </w:rPr>
              <w:t>C4</w:t>
            </w:r>
          </w:p>
        </w:tc>
        <w:tc>
          <w:tcPr>
            <w:tcW w:type="dxa" w:w="2808"/>
            <w:shd w:fill="F3F7FB"/>
            <w:vAlign w:val="center"/>
            <w:tcMar>
              <w:top w:w="100" w:type="dxa"/>
              <w:start w:w="110" w:type="dxa"/>
              <w:bottom w:w="100" w:type="dxa"/>
              <w:end w:w="110" w:type="dxa"/>
            </w:tcMar>
          </w:tcPr>
          <w:p>
            <w:pPr>
              <w:spacing w:after="0" w:line="252" w:lineRule="auto"/>
              <w:jc w:val="left"/>
            </w:pPr>
            <w:r>
              <w:rPr>
                <w:sz w:val="18"/>
              </w:rPr>
              <w:t>ROE</w:t>
            </w:r>
          </w:p>
        </w:tc>
        <w:tc>
          <w:tcPr>
            <w:tcW w:type="dxa" w:w="1224"/>
            <w:shd w:fill="F3F7FB"/>
            <w:vAlign w:val="center"/>
            <w:tcMar>
              <w:top w:w="100" w:type="dxa"/>
              <w:start w:w="110" w:type="dxa"/>
              <w:bottom w:w="100" w:type="dxa"/>
              <w:end w:w="110" w:type="dxa"/>
            </w:tcMar>
          </w:tcPr>
          <w:p>
            <w:pPr>
              <w:spacing w:after="0" w:line="252" w:lineRule="auto"/>
              <w:jc w:val="left"/>
            </w:pPr>
            <w:r>
              <w:rPr>
                <w:sz w:val="18"/>
              </w:rPr>
              <w:t>10</w:t>
            </w:r>
          </w:p>
        </w:tc>
        <w:tc>
          <w:tcPr>
            <w:tcW w:type="dxa" w:w="5400"/>
            <w:shd w:fill="F3F7FB"/>
            <w:vAlign w:val="center"/>
            <w:tcMar>
              <w:top w:w="100" w:type="dxa"/>
              <w:start w:w="110" w:type="dxa"/>
              <w:bottom w:w="100" w:type="dxa"/>
              <w:end w:w="110" w:type="dxa"/>
            </w:tcMar>
          </w:tcPr>
          <w:p>
            <w:pPr>
              <w:spacing w:after="0" w:line="252" w:lineRule="auto"/>
              <w:jc w:val="left"/>
            </w:pPr>
            <w:r>
              <w:rPr>
                <w:sz w:val="18"/>
              </w:rPr>
              <w:t>Doanh nghiệp sử dụng vốn chủ sở hữu hiệu quả đến mức nào</w:t>
            </w:r>
          </w:p>
        </w:tc>
      </w:tr>
      <w:tr>
        <w:tc>
          <w:tcPr>
            <w:tcW w:type="dxa" w:w="792"/>
            <w:vAlign w:val="center"/>
            <w:tcMar>
              <w:top w:w="100" w:type="dxa"/>
              <w:start w:w="110" w:type="dxa"/>
              <w:bottom w:w="100" w:type="dxa"/>
              <w:end w:w="110" w:type="dxa"/>
            </w:tcMar>
          </w:tcPr>
          <w:p>
            <w:pPr>
              <w:spacing w:after="0" w:line="252" w:lineRule="auto"/>
              <w:jc w:val="left"/>
            </w:pPr>
            <w:r>
              <w:rPr>
                <w:sz w:val="18"/>
              </w:rPr>
              <w:t>C5</w:t>
            </w:r>
          </w:p>
        </w:tc>
        <w:tc>
          <w:tcPr>
            <w:tcW w:type="dxa" w:w="2808"/>
            <w:vAlign w:val="center"/>
            <w:tcMar>
              <w:top w:w="100" w:type="dxa"/>
              <w:start w:w="110" w:type="dxa"/>
              <w:bottom w:w="100" w:type="dxa"/>
              <w:end w:w="110" w:type="dxa"/>
            </w:tcMar>
          </w:tcPr>
          <w:p>
            <w:pPr>
              <w:spacing w:after="0" w:line="252" w:lineRule="auto"/>
              <w:jc w:val="left"/>
            </w:pPr>
            <w:r>
              <w:rPr>
                <w:sz w:val="18"/>
              </w:rPr>
              <w:t>Xu hướng đệm vốn</w:t>
            </w:r>
          </w:p>
        </w:tc>
        <w:tc>
          <w:tcPr>
            <w:tcW w:type="dxa" w:w="1224"/>
            <w:vAlign w:val="center"/>
            <w:tcMar>
              <w:top w:w="100" w:type="dxa"/>
              <w:start w:w="110" w:type="dxa"/>
              <w:bottom w:w="100" w:type="dxa"/>
              <w:end w:w="110" w:type="dxa"/>
            </w:tcMar>
          </w:tcPr>
          <w:p>
            <w:pPr>
              <w:spacing w:after="0" w:line="252" w:lineRule="auto"/>
              <w:jc w:val="left"/>
            </w:pPr>
            <w:r>
              <w:rPr>
                <w:sz w:val="18"/>
              </w:rPr>
              <w:t>10</w:t>
            </w:r>
          </w:p>
        </w:tc>
        <w:tc>
          <w:tcPr>
            <w:tcW w:type="dxa" w:w="5400"/>
            <w:vAlign w:val="center"/>
            <w:tcMar>
              <w:top w:w="100" w:type="dxa"/>
              <w:start w:w="110" w:type="dxa"/>
              <w:bottom w:w="100" w:type="dxa"/>
              <w:end w:w="110" w:type="dxa"/>
            </w:tcMar>
          </w:tcPr>
          <w:p>
            <w:pPr>
              <w:spacing w:after="0" w:line="252" w:lineRule="auto"/>
              <w:jc w:val="left"/>
            </w:pPr>
            <w:r>
              <w:rPr>
                <w:sz w:val="18"/>
              </w:rPr>
              <w:t>Khả năng hấp thụ rủi ro đang cải thiện hay suy yếu</w:t>
            </w:r>
          </w:p>
        </w:tc>
      </w:tr>
    </w:tbl>
    <w:p>
      <w:pPr>
        <w:spacing w:after="0"/>
      </w:pPr>
    </w:p>
    <w:p>
      <w:r>
        <w:br w:type="page"/>
      </w:r>
    </w:p>
    <w:p>
      <w:pPr>
        <w:pStyle w:val="Heading1"/>
        <w:keepNext/>
      </w:pPr>
      <w:r>
        <w:t>4 Đặc tả chi tiết năm tiêu chí</w:t>
      </w:r>
    </w:p>
    <w:p>
      <w:pPr>
        <w:pStyle w:val="Heading2"/>
        <w:keepNext/>
      </w:pPr>
      <w:r>
        <w:t>4.1 C1 Tăng trưởng EPS YoY 10 điểm</w:t>
      </w:r>
    </w:p>
    <w:p>
      <w:pPr>
        <w:pStyle w:val="BodyText"/>
      </w:pPr>
      <w:r>
        <w:t>Mục tiêu: đo tốc độ thay đổi lợi nhuận thuộc cổ đông trên mỗi cổ phần so với đúng quý cùng kỳ, hạn chế ảnh hưởng mùa vụ giữa các quý khác nhau.</w:t>
      </w:r>
    </w:p>
    <w:p>
      <w:pPr>
        <w:spacing w:before="60" w:after="160"/>
        <w:jc w:val="center"/>
      </w:pPr>
      <w:r>
        <w:rPr>
          <w:rFonts w:ascii="Aptos" w:hAnsi="Aptos"/>
          <w:b/>
          <w:sz w:val="21"/>
        </w:rPr>
        <w:t>Công thức: EPS YoY = (EPS quý hiện tại / EPS cùng quý năm trước - 1) x 100%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088"/>
            <w:shd w:fill="17365D"/>
            <w:vAlign w:val="center"/>
          </w:tcPr>
          <w:p>
            <w:pPr>
              <w:jc w:val="center"/>
            </w:pPr>
            <w:r>
              <w:rPr>
                <w:b/>
                <w:color w:val="FFFFFF"/>
                <w:sz w:val="18"/>
              </w:rPr>
              <w:t>Thành phần</w:t>
            </w:r>
          </w:p>
        </w:tc>
        <w:tc>
          <w:tcPr>
            <w:tcW w:type="dxa" w:w="7704"/>
            <w:shd w:fill="17365D"/>
            <w:vAlign w:val="center"/>
          </w:tcPr>
          <w:p>
            <w:pPr>
              <w:jc w:val="center"/>
            </w:pPr>
            <w:r>
              <w:rPr>
                <w:b/>
                <w:color w:val="FFFFFF"/>
                <w:sz w:val="18"/>
              </w:rPr>
              <w:t>Yêu cầu</w:t>
            </w:r>
          </w:p>
        </w:tc>
      </w:tr>
      <w:tr>
        <w:tc>
          <w:tcPr>
            <w:tcW w:type="dxa" w:w="2088"/>
            <w:vAlign w:val="center"/>
            <w:tcMar>
              <w:top w:w="100" w:type="dxa"/>
              <w:start w:w="110" w:type="dxa"/>
              <w:bottom w:w="100" w:type="dxa"/>
              <w:end w:w="110" w:type="dxa"/>
            </w:tcMar>
          </w:tcPr>
          <w:p>
            <w:pPr>
              <w:spacing w:after="0" w:line="252" w:lineRule="auto"/>
              <w:jc w:val="center"/>
            </w:pPr>
            <w:r>
              <w:rPr>
                <w:sz w:val="18"/>
              </w:rPr>
              <w:t>Dữ liệu đầu vào</w:t>
            </w:r>
          </w:p>
        </w:tc>
        <w:tc>
          <w:tcPr>
            <w:tcW w:type="dxa" w:w="7704"/>
            <w:vAlign w:val="center"/>
            <w:tcMar>
              <w:top w:w="100" w:type="dxa"/>
              <w:start w:w="110" w:type="dxa"/>
              <w:bottom w:w="100" w:type="dxa"/>
              <w:end w:w="110" w:type="dxa"/>
            </w:tcMar>
          </w:tcPr>
          <w:p>
            <w:pPr>
              <w:spacing w:after="0" w:line="252" w:lineRule="auto"/>
              <w:jc w:val="left"/>
            </w:pPr>
            <w:r>
              <w:rPr>
                <w:sz w:val="18"/>
              </w:rPr>
              <w:t>EPS quý chuẩn hóa của quý t và quý t-4</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Phạm vi kỳ</w:t>
            </w:r>
          </w:p>
        </w:tc>
        <w:tc>
          <w:tcPr>
            <w:tcW w:type="dxa" w:w="7704"/>
            <w:shd w:fill="F3F7FB"/>
            <w:vAlign w:val="center"/>
            <w:tcMar>
              <w:top w:w="100" w:type="dxa"/>
              <w:start w:w="110" w:type="dxa"/>
              <w:bottom w:w="100" w:type="dxa"/>
              <w:end w:w="110" w:type="dxa"/>
            </w:tcMar>
          </w:tcPr>
          <w:p>
            <w:pPr>
              <w:spacing w:after="0" w:line="252" w:lineRule="auto"/>
              <w:jc w:val="left"/>
            </w:pPr>
            <w:r>
              <w:rPr>
                <w:sz w:val="18"/>
              </w:rPr>
              <w:t>Tối thiểu 5 quý để luôn có một cặp so sánh YoY</w:t>
            </w:r>
          </w:p>
        </w:tc>
      </w:tr>
      <w:tr>
        <w:tc>
          <w:tcPr>
            <w:tcW w:type="dxa" w:w="2088"/>
            <w:vAlign w:val="center"/>
            <w:tcMar>
              <w:top w:w="100" w:type="dxa"/>
              <w:start w:w="110" w:type="dxa"/>
              <w:bottom w:w="100" w:type="dxa"/>
              <w:end w:w="110" w:type="dxa"/>
            </w:tcMar>
          </w:tcPr>
          <w:p>
            <w:pPr>
              <w:spacing w:after="0" w:line="252" w:lineRule="auto"/>
              <w:jc w:val="center"/>
            </w:pPr>
            <w:r>
              <w:rPr>
                <w:sz w:val="18"/>
              </w:rPr>
              <w:t>Nguồn chính</w:t>
            </w:r>
          </w:p>
        </w:tc>
        <w:tc>
          <w:tcPr>
            <w:tcW w:type="dxa" w:w="7704"/>
            <w:vAlign w:val="center"/>
            <w:tcMar>
              <w:top w:w="100" w:type="dxa"/>
              <w:start w:w="110" w:type="dxa"/>
              <w:bottom w:w="100" w:type="dxa"/>
              <w:end w:w="110" w:type="dxa"/>
            </w:tcMar>
          </w:tcPr>
          <w:p>
            <w:pPr>
              <w:spacing w:after="0" w:line="252" w:lineRule="auto"/>
              <w:jc w:val="left"/>
            </w:pPr>
            <w:r>
              <w:rPr>
                <w:sz w:val="18"/>
              </w:rPr>
              <w:t>BCTC hợp nhất và chỉ tiêu EPS đã chuẩn hóa theo phương pháp thống nhất của hệ thống</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Quy tắc</w:t>
            </w:r>
          </w:p>
        </w:tc>
        <w:tc>
          <w:tcPr>
            <w:tcW w:type="dxa" w:w="7704"/>
            <w:shd w:fill="F3F7FB"/>
            <w:vAlign w:val="center"/>
            <w:tcMar>
              <w:top w:w="100" w:type="dxa"/>
              <w:start w:w="110" w:type="dxa"/>
              <w:bottom w:w="100" w:type="dxa"/>
              <w:end w:w="110" w:type="dxa"/>
            </w:tcMar>
          </w:tcPr>
          <w:p>
            <w:pPr>
              <w:spacing w:after="0" w:line="252" w:lineRule="auto"/>
              <w:jc w:val="left"/>
            </w:pPr>
            <w:r>
              <w:rPr>
                <w:sz w:val="18"/>
              </w:rPr>
              <w:t>Không so EPS quý với EPS lũy kế; không trộn EPS trước và sau điều chỉnh cổ phiếu</w:t>
            </w:r>
          </w:p>
        </w:tc>
      </w:tr>
      <w:tr>
        <w:tc>
          <w:tcPr>
            <w:tcW w:type="dxa" w:w="2088"/>
            <w:vAlign w:val="center"/>
            <w:tcMar>
              <w:top w:w="100" w:type="dxa"/>
              <w:start w:w="110" w:type="dxa"/>
              <w:bottom w:w="100" w:type="dxa"/>
              <w:end w:w="110" w:type="dxa"/>
            </w:tcMar>
          </w:tcPr>
          <w:p>
            <w:pPr>
              <w:spacing w:after="0" w:line="252" w:lineRule="auto"/>
              <w:jc w:val="center"/>
            </w:pPr>
            <w:r>
              <w:rPr>
                <w:sz w:val="18"/>
              </w:rPr>
              <w:t>Đầu ra</w:t>
            </w:r>
          </w:p>
        </w:tc>
        <w:tc>
          <w:tcPr>
            <w:tcW w:type="dxa" w:w="7704"/>
            <w:vAlign w:val="center"/>
            <w:tcMar>
              <w:top w:w="100" w:type="dxa"/>
              <w:start w:w="110" w:type="dxa"/>
              <w:bottom w:w="100" w:type="dxa"/>
              <w:end w:w="110" w:type="dxa"/>
            </w:tcMar>
          </w:tcPr>
          <w:p>
            <w:pPr>
              <w:spacing w:after="0" w:line="252" w:lineRule="auto"/>
              <w:jc w:val="left"/>
            </w:pPr>
            <w:r>
              <w:rPr>
                <w:sz w:val="18"/>
              </w:rPr>
              <w:t>Tỷ lệ phần trăm EPS YoY và điểm C1 theo thang điểm đã thống nhất với bảng Sản xuất</w:t>
            </w:r>
          </w:p>
        </w:tc>
      </w:tr>
    </w:tbl>
    <w:p>
      <w:pPr>
        <w:spacing w:after="0"/>
      </w:pPr>
    </w:p>
    <w:p>
      <w:pPr>
        <w:pStyle w:val="Heading2"/>
        <w:keepNext/>
      </w:pPr>
      <w:r>
        <w:t>4.2 C2 Số quý EPS tăng trưởng 10 điểm</w:t>
      </w:r>
    </w:p>
    <w:p>
      <w:pPr>
        <w:pStyle w:val="BodyText"/>
      </w:pPr>
      <w:r>
        <w:t>Mục tiêu: phân biệt một quý tăng đột biến với một chuỗi kết quả đang cải thiện. Tiêu chí này không chấm lại mức tăng EPS; nó chỉ đếm số quý có tăng trưởng dương trong ba quý gần nhất.</w:t>
      </w:r>
    </w:p>
    <w:p>
      <w:pPr>
        <w:spacing w:before="60" w:after="160"/>
        <w:jc w:val="center"/>
      </w:pPr>
      <w:r>
        <w:rPr>
          <w:rFonts w:ascii="Aptos" w:hAnsi="Aptos"/>
          <w:b/>
          <w:sz w:val="21"/>
        </w:rPr>
        <w:t>Công thức từng quý: EPS YoY(q) = EPS(q) / EPS(q-4) - 1</w:t>
      </w:r>
    </w:p>
    <w:p>
      <w:pPr>
        <w:spacing w:before="60" w:after="160"/>
        <w:jc w:val="center"/>
      </w:pPr>
      <w:r>
        <w:rPr>
          <w:rFonts w:ascii="Aptos" w:hAnsi="Aptos"/>
          <w:b/>
          <w:sz w:val="21"/>
        </w:rPr>
        <w:t>Giá trị C2: Số quý có EPS YoY lớn hơn 0 trong 3 quý gần nhất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3816"/>
            <w:shd w:fill="17365D"/>
            <w:vAlign w:val="center"/>
          </w:tcPr>
          <w:p>
            <w:pPr>
              <w:jc w:val="center"/>
            </w:pPr>
            <w:r>
              <w:rPr>
                <w:b/>
                <w:color w:val="FFFFFF"/>
                <w:sz w:val="18"/>
              </w:rPr>
              <w:t>Dữ liệu cần</w:t>
            </w:r>
          </w:p>
        </w:tc>
        <w:tc>
          <w:tcPr>
            <w:tcW w:type="dxa" w:w="1872"/>
            <w:shd w:fill="17365D"/>
            <w:vAlign w:val="center"/>
          </w:tcPr>
          <w:p>
            <w:pPr>
              <w:jc w:val="center"/>
            </w:pPr>
            <w:r>
              <w:rPr>
                <w:b/>
                <w:color w:val="FFFFFF"/>
                <w:sz w:val="18"/>
              </w:rPr>
              <w:t>Số kỳ tối thiểu</w:t>
            </w:r>
          </w:p>
        </w:tc>
        <w:tc>
          <w:tcPr>
            <w:tcW w:type="dxa" w:w="4104"/>
            <w:shd w:fill="17365D"/>
            <w:vAlign w:val="center"/>
          </w:tcPr>
          <w:p>
            <w:pPr>
              <w:jc w:val="center"/>
            </w:pPr>
            <w:r>
              <w:rPr>
                <w:b/>
                <w:color w:val="FFFFFF"/>
                <w:sz w:val="18"/>
              </w:rPr>
              <w:t>Kết quả kỹ thuật</w:t>
            </w:r>
          </w:p>
        </w:tc>
      </w:tr>
      <w:tr>
        <w:tc>
          <w:tcPr>
            <w:tcW w:type="dxa" w:w="3816"/>
            <w:vAlign w:val="center"/>
            <w:tcMar>
              <w:top w:w="100" w:type="dxa"/>
              <w:start w:w="110" w:type="dxa"/>
              <w:bottom w:w="100" w:type="dxa"/>
              <w:end w:w="110" w:type="dxa"/>
            </w:tcMar>
          </w:tcPr>
          <w:p>
            <w:pPr>
              <w:spacing w:after="0" w:line="252" w:lineRule="auto"/>
              <w:jc w:val="center"/>
            </w:pPr>
            <w:r>
              <w:rPr>
                <w:sz w:val="18"/>
              </w:rPr>
              <w:t>EPS chuẩn hóa cho ba quý đánh giá và ba quý cùng kỳ</w:t>
            </w:r>
          </w:p>
        </w:tc>
        <w:tc>
          <w:tcPr>
            <w:tcW w:type="dxa" w:w="1872"/>
            <w:vAlign w:val="center"/>
            <w:tcMar>
              <w:top w:w="100" w:type="dxa"/>
              <w:start w:w="110" w:type="dxa"/>
              <w:bottom w:w="100" w:type="dxa"/>
              <w:end w:w="110" w:type="dxa"/>
            </w:tcMar>
          </w:tcPr>
          <w:p>
            <w:pPr>
              <w:spacing w:after="0" w:line="252" w:lineRule="auto"/>
              <w:jc w:val="left"/>
            </w:pPr>
            <w:r>
              <w:rPr>
                <w:sz w:val="18"/>
              </w:rPr>
              <w:t>7 quý liên tiếp</w:t>
            </w:r>
          </w:p>
        </w:tc>
        <w:tc>
          <w:tcPr>
            <w:tcW w:type="dxa" w:w="4104"/>
            <w:vAlign w:val="center"/>
            <w:tcMar>
              <w:top w:w="100" w:type="dxa"/>
              <w:start w:w="110" w:type="dxa"/>
              <w:bottom w:w="100" w:type="dxa"/>
              <w:end w:w="110" w:type="dxa"/>
            </w:tcMar>
          </w:tcPr>
          <w:p>
            <w:pPr>
              <w:spacing w:after="0" w:line="252" w:lineRule="auto"/>
              <w:jc w:val="left"/>
            </w:pPr>
            <w:r>
              <w:rPr>
                <w:sz w:val="18"/>
              </w:rPr>
              <w:t>Giá trị nguyên từ 0 đến 3, sau đó ánh xạ sang điểm 0 đến 10 theo bảng Sản xuất</w:t>
            </w:r>
          </w:p>
        </w:tc>
      </w:tr>
    </w:tbl>
    <w:p>
      <w:pPr>
        <w:spacing w:after="0"/>
      </w:pPr>
    </w:p>
    <w:p>
      <w:r>
        <w:br w:type="page"/>
      </w:r>
    </w:p>
    <w:p>
      <w:pPr>
        <w:pStyle w:val="Heading2"/>
        <w:keepNext/>
      </w:pPr>
      <w:r>
        <w:t>4.3 C3 Tăng trưởng doanh thu bảo hiểm YoY 10 điểm</w:t>
      </w:r>
    </w:p>
    <w:p>
      <w:pPr>
        <w:pStyle w:val="BodyText"/>
      </w:pPr>
      <w:r>
        <w:t>Mục tiêu: đo tốc độ mở rộng quy mô nghiệp vụ bảo hiểm. IT phải khóa một dòng doanh thu nhất quán cho từng doanh nghiệp qua các kỳ, không trộn phí bảo hiểm gốc với doanh thu thuần hoạt động bảo hiểm.</w:t>
      </w:r>
    </w:p>
    <w:p>
      <w:pPr>
        <w:spacing w:before="60" w:after="160"/>
        <w:jc w:val="center"/>
      </w:pPr>
      <w:r>
        <w:rPr>
          <w:rFonts w:ascii="Aptos" w:hAnsi="Aptos"/>
          <w:b/>
          <w:sz w:val="21"/>
        </w:rPr>
        <w:t>Công thức: Doanh thu bảo hiểm YoY = (Doanh thu BH quý t / Doanh thu BH quý t-4 - 1) x 100%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088"/>
            <w:shd w:fill="17365D"/>
            <w:vAlign w:val="center"/>
          </w:tcPr>
          <w:p>
            <w:pPr>
              <w:jc w:val="center"/>
            </w:pPr>
            <w:r>
              <w:rPr>
                <w:b/>
                <w:color w:val="FFFFFF"/>
                <w:sz w:val="18"/>
              </w:rPr>
              <w:t>Yêu cầu</w:t>
            </w:r>
          </w:p>
        </w:tc>
        <w:tc>
          <w:tcPr>
            <w:tcW w:type="dxa" w:w="7704"/>
            <w:shd w:fill="17365D"/>
            <w:vAlign w:val="center"/>
          </w:tcPr>
          <w:p>
            <w:pPr>
              <w:jc w:val="center"/>
            </w:pPr>
            <w:r>
              <w:rPr>
                <w:b/>
                <w:color w:val="FFFFFF"/>
                <w:sz w:val="18"/>
              </w:rPr>
              <w:t>Quy tắc thực hiện</w:t>
            </w:r>
          </w:p>
        </w:tc>
      </w:tr>
      <w:tr>
        <w:tc>
          <w:tcPr>
            <w:tcW w:type="dxa" w:w="2088"/>
            <w:vAlign w:val="center"/>
            <w:tcMar>
              <w:top w:w="100" w:type="dxa"/>
              <w:start w:w="110" w:type="dxa"/>
              <w:bottom w:w="100" w:type="dxa"/>
              <w:end w:w="110" w:type="dxa"/>
            </w:tcMar>
          </w:tcPr>
          <w:p>
            <w:pPr>
              <w:spacing w:after="0" w:line="252" w:lineRule="auto"/>
              <w:jc w:val="center"/>
            </w:pPr>
            <w:r>
              <w:rPr>
                <w:sz w:val="18"/>
              </w:rPr>
              <w:t>Ưu tiên dòng số</w:t>
            </w:r>
          </w:p>
        </w:tc>
        <w:tc>
          <w:tcPr>
            <w:tcW w:type="dxa" w:w="7704"/>
            <w:vAlign w:val="center"/>
            <w:tcMar>
              <w:top w:w="100" w:type="dxa"/>
              <w:start w:w="110" w:type="dxa"/>
              <w:bottom w:w="100" w:type="dxa"/>
              <w:end w:w="110" w:type="dxa"/>
            </w:tcMar>
          </w:tcPr>
          <w:p>
            <w:pPr>
              <w:spacing w:after="0" w:line="252" w:lineRule="auto"/>
              <w:jc w:val="left"/>
            </w:pPr>
            <w:r>
              <w:rPr>
                <w:sz w:val="18"/>
              </w:rPr>
              <w:t>Dùng cùng một dòng số được doanh nghiệp trình bày nhất quán qua hai kỳ so sánh</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Kỳ báo cáo</w:t>
            </w:r>
          </w:p>
        </w:tc>
        <w:tc>
          <w:tcPr>
            <w:tcW w:type="dxa" w:w="7704"/>
            <w:shd w:fill="F3F7FB"/>
            <w:vAlign w:val="center"/>
            <w:tcMar>
              <w:top w:w="100" w:type="dxa"/>
              <w:start w:w="110" w:type="dxa"/>
              <w:bottom w:w="100" w:type="dxa"/>
              <w:end w:w="110" w:type="dxa"/>
            </w:tcMar>
          </w:tcPr>
          <w:p>
            <w:pPr>
              <w:spacing w:after="0" w:line="252" w:lineRule="auto"/>
              <w:jc w:val="left"/>
            </w:pPr>
            <w:r>
              <w:rPr>
                <w:sz w:val="18"/>
              </w:rPr>
              <w:t>Tách số quý độc lập; nếu BCTC trình bày lũy kế thì quý 2 = 6 tháng - quý 1, quý 3 = 9 tháng - 6 tháng, quý 4 = cả năm - 9 tháng</w:t>
            </w:r>
          </w:p>
        </w:tc>
      </w:tr>
      <w:tr>
        <w:tc>
          <w:tcPr>
            <w:tcW w:type="dxa" w:w="2088"/>
            <w:vAlign w:val="center"/>
            <w:tcMar>
              <w:top w:w="100" w:type="dxa"/>
              <w:start w:w="110" w:type="dxa"/>
              <w:bottom w:w="100" w:type="dxa"/>
              <w:end w:w="110" w:type="dxa"/>
            </w:tcMar>
          </w:tcPr>
          <w:p>
            <w:pPr>
              <w:spacing w:after="0" w:line="252" w:lineRule="auto"/>
              <w:jc w:val="center"/>
            </w:pPr>
            <w:r>
              <w:rPr>
                <w:sz w:val="18"/>
              </w:rPr>
              <w:t>Không được làm</w:t>
            </w:r>
          </w:p>
        </w:tc>
        <w:tc>
          <w:tcPr>
            <w:tcW w:type="dxa" w:w="7704"/>
            <w:vAlign w:val="center"/>
            <w:tcMar>
              <w:top w:w="100" w:type="dxa"/>
              <w:start w:w="110" w:type="dxa"/>
              <w:bottom w:w="100" w:type="dxa"/>
              <w:end w:w="110" w:type="dxa"/>
            </w:tcMar>
          </w:tcPr>
          <w:p>
            <w:pPr>
              <w:spacing w:after="0" w:line="252" w:lineRule="auto"/>
              <w:jc w:val="left"/>
            </w:pPr>
            <w:r>
              <w:rPr>
                <w:sz w:val="18"/>
              </w:rPr>
              <w:t>Không lấy phí gốc kỳ này so với doanh thu thuần kỳ trước; không thay dòng số chỉ vì một nhà cung cấp thiếu dữ liệu</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Đầu ra</w:t>
            </w:r>
          </w:p>
        </w:tc>
        <w:tc>
          <w:tcPr>
            <w:tcW w:type="dxa" w:w="7704"/>
            <w:shd w:fill="F3F7FB"/>
            <w:vAlign w:val="center"/>
            <w:tcMar>
              <w:top w:w="100" w:type="dxa"/>
              <w:start w:w="110" w:type="dxa"/>
              <w:bottom w:w="100" w:type="dxa"/>
              <w:end w:w="110" w:type="dxa"/>
            </w:tcMar>
          </w:tcPr>
          <w:p>
            <w:pPr>
              <w:spacing w:after="0" w:line="252" w:lineRule="auto"/>
              <w:jc w:val="left"/>
            </w:pPr>
            <w:r>
              <w:rPr>
                <w:sz w:val="18"/>
              </w:rPr>
              <w:t>Tỷ lệ phần trăm YoY và điểm C3 theo thang điểm bảng Sản xuất</w:t>
            </w:r>
          </w:p>
        </w:tc>
      </w:tr>
    </w:tbl>
    <w:p>
      <w:pPr>
        <w:spacing w:after="0"/>
      </w:pPr>
    </w:p>
    <w:p>
      <w:pPr>
        <w:pStyle w:val="Heading2"/>
        <w:keepNext/>
      </w:pPr>
      <w:r>
        <w:t>4.4 C4 ROE 10 điểm</w:t>
      </w:r>
    </w:p>
    <w:p>
      <w:pPr>
        <w:pStyle w:val="BodyText"/>
      </w:pPr>
      <w:r>
        <w:t>Mục tiêu: đo hiệu quả sử dụng vốn chủ sở hữu. ROE phải được tính thống nhất trên lợi nhuận thuộc cổ đông công ty mẹ và vốn chủ sở hữu tương ứng, tránh trộn lợi nhuận hợp nhất với mẫu số không cùng phạm vi.</w:t>
      </w:r>
    </w:p>
    <w:p>
      <w:pPr>
        <w:spacing w:before="60" w:after="160"/>
        <w:jc w:val="center"/>
      </w:pPr>
      <w:r>
        <w:rPr>
          <w:rFonts w:ascii="Aptos" w:hAnsi="Aptos"/>
          <w:b/>
          <w:sz w:val="21"/>
        </w:rPr>
        <w:t>Công thức chuẩn: ROE TTM = LNST cổ đông mẹ 4 quý gần nhất / VCSH bình quân</w:t>
      </w:r>
    </w:p>
    <w:p>
      <w:pPr>
        <w:spacing w:before="60" w:after="160"/>
        <w:jc w:val="center"/>
      </w:pPr>
      <w:r>
        <w:rPr>
          <w:rFonts w:ascii="Aptos" w:hAnsi="Aptos"/>
          <w:b/>
          <w:sz w:val="21"/>
        </w:rPr>
        <w:t>VCSH bình quân: (VCSH đầu kỳ TTM + VCSH cuối kỳ TTM) /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088"/>
            <w:shd w:fill="17365D"/>
            <w:vAlign w:val="center"/>
          </w:tcPr>
          <w:p>
            <w:pPr>
              <w:jc w:val="center"/>
            </w:pPr>
            <w:r>
              <w:rPr>
                <w:b/>
                <w:color w:val="FFFFFF"/>
                <w:sz w:val="18"/>
              </w:rPr>
              <w:t>Thành phần</w:t>
            </w:r>
          </w:p>
        </w:tc>
        <w:tc>
          <w:tcPr>
            <w:tcW w:type="dxa" w:w="7704"/>
            <w:shd w:fill="17365D"/>
            <w:vAlign w:val="center"/>
          </w:tcPr>
          <w:p>
            <w:pPr>
              <w:jc w:val="center"/>
            </w:pPr>
            <w:r>
              <w:rPr>
                <w:b/>
                <w:color w:val="FFFFFF"/>
                <w:sz w:val="18"/>
              </w:rPr>
              <w:t>Yêu cầu</w:t>
            </w:r>
          </w:p>
        </w:tc>
      </w:tr>
      <w:tr>
        <w:tc>
          <w:tcPr>
            <w:tcW w:type="dxa" w:w="2088"/>
            <w:vAlign w:val="center"/>
            <w:tcMar>
              <w:top w:w="100" w:type="dxa"/>
              <w:start w:w="110" w:type="dxa"/>
              <w:bottom w:w="100" w:type="dxa"/>
              <w:end w:w="110" w:type="dxa"/>
            </w:tcMar>
          </w:tcPr>
          <w:p>
            <w:pPr>
              <w:spacing w:after="0" w:line="252" w:lineRule="auto"/>
              <w:jc w:val="center"/>
            </w:pPr>
            <w:r>
              <w:rPr>
                <w:sz w:val="18"/>
              </w:rPr>
              <w:t>Tử số</w:t>
            </w:r>
          </w:p>
        </w:tc>
        <w:tc>
          <w:tcPr>
            <w:tcW w:type="dxa" w:w="7704"/>
            <w:vAlign w:val="center"/>
            <w:tcMar>
              <w:top w:w="100" w:type="dxa"/>
              <w:start w:w="110" w:type="dxa"/>
              <w:bottom w:w="100" w:type="dxa"/>
              <w:end w:w="110" w:type="dxa"/>
            </w:tcMar>
          </w:tcPr>
          <w:p>
            <w:pPr>
              <w:spacing w:after="0" w:line="252" w:lineRule="auto"/>
              <w:jc w:val="left"/>
            </w:pPr>
            <w:r>
              <w:rPr>
                <w:sz w:val="18"/>
              </w:rPr>
              <w:t>Tổng LNST thuộc cổ đông công ty mẹ của 4 quý gần nhất</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Mẫu số</w:t>
            </w:r>
          </w:p>
        </w:tc>
        <w:tc>
          <w:tcPr>
            <w:tcW w:type="dxa" w:w="7704"/>
            <w:shd w:fill="F3F7FB"/>
            <w:vAlign w:val="center"/>
            <w:tcMar>
              <w:top w:w="100" w:type="dxa"/>
              <w:start w:w="110" w:type="dxa"/>
              <w:bottom w:w="100" w:type="dxa"/>
              <w:end w:w="110" w:type="dxa"/>
            </w:tcMar>
          </w:tcPr>
          <w:p>
            <w:pPr>
              <w:spacing w:after="0" w:line="252" w:lineRule="auto"/>
              <w:jc w:val="left"/>
            </w:pPr>
            <w:r>
              <w:rPr>
                <w:sz w:val="18"/>
              </w:rPr>
              <w:t>VCSH thuộc cổ đông công ty mẹ bình quân đầu và cuối giai đoạn TTM; nếu nguồn chỉ có VCSH hợp nhất thì phải dùng cùng định nghĩa cho toàn chuỗi</w:t>
            </w:r>
          </w:p>
        </w:tc>
      </w:tr>
      <w:tr>
        <w:tc>
          <w:tcPr>
            <w:tcW w:type="dxa" w:w="2088"/>
            <w:vAlign w:val="center"/>
            <w:tcMar>
              <w:top w:w="100" w:type="dxa"/>
              <w:start w:w="110" w:type="dxa"/>
              <w:bottom w:w="100" w:type="dxa"/>
              <w:end w:w="110" w:type="dxa"/>
            </w:tcMar>
          </w:tcPr>
          <w:p>
            <w:pPr>
              <w:spacing w:after="0" w:line="252" w:lineRule="auto"/>
              <w:jc w:val="center"/>
            </w:pPr>
            <w:r>
              <w:rPr>
                <w:sz w:val="18"/>
              </w:rPr>
              <w:t>Số kỳ tối thiểu</w:t>
            </w:r>
          </w:p>
        </w:tc>
        <w:tc>
          <w:tcPr>
            <w:tcW w:type="dxa" w:w="7704"/>
            <w:vAlign w:val="center"/>
            <w:tcMar>
              <w:top w:w="100" w:type="dxa"/>
              <w:start w:w="110" w:type="dxa"/>
              <w:bottom w:w="100" w:type="dxa"/>
              <w:end w:w="110" w:type="dxa"/>
            </w:tcMar>
          </w:tcPr>
          <w:p>
            <w:pPr>
              <w:spacing w:after="0" w:line="252" w:lineRule="auto"/>
              <w:jc w:val="left"/>
            </w:pPr>
            <w:r>
              <w:rPr>
                <w:sz w:val="18"/>
              </w:rPr>
              <w:t>Ít nhất 5 quý số dư vốn và 4 quý lợi nhuận độc lập</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Ngoại lệ</w:t>
            </w:r>
          </w:p>
        </w:tc>
        <w:tc>
          <w:tcPr>
            <w:tcW w:type="dxa" w:w="7704"/>
            <w:shd w:fill="F3F7FB"/>
            <w:vAlign w:val="center"/>
            <w:tcMar>
              <w:top w:w="100" w:type="dxa"/>
              <w:start w:w="110" w:type="dxa"/>
              <w:bottom w:w="100" w:type="dxa"/>
              <w:end w:w="110" w:type="dxa"/>
            </w:tcMar>
          </w:tcPr>
          <w:p>
            <w:pPr>
              <w:spacing w:after="0" w:line="252" w:lineRule="auto"/>
              <w:jc w:val="left"/>
            </w:pPr>
            <w:r>
              <w:rPr>
                <w:sz w:val="18"/>
              </w:rPr>
              <w:t>VCSH bình quân không dương thì doanh nghiệp không được xếp hạng bình thường</w:t>
            </w:r>
          </w:p>
        </w:tc>
      </w:tr>
      <w:tr>
        <w:tc>
          <w:tcPr>
            <w:tcW w:type="dxa" w:w="2088"/>
            <w:vAlign w:val="center"/>
            <w:tcMar>
              <w:top w:w="100" w:type="dxa"/>
              <w:start w:w="110" w:type="dxa"/>
              <w:bottom w:w="100" w:type="dxa"/>
              <w:end w:w="110" w:type="dxa"/>
            </w:tcMar>
          </w:tcPr>
          <w:p>
            <w:pPr>
              <w:spacing w:after="0" w:line="252" w:lineRule="auto"/>
              <w:jc w:val="center"/>
            </w:pPr>
            <w:r>
              <w:rPr>
                <w:sz w:val="18"/>
              </w:rPr>
              <w:t>Đầu ra</w:t>
            </w:r>
          </w:p>
        </w:tc>
        <w:tc>
          <w:tcPr>
            <w:tcW w:type="dxa" w:w="7704"/>
            <w:vAlign w:val="center"/>
            <w:tcMar>
              <w:top w:w="100" w:type="dxa"/>
              <w:start w:w="110" w:type="dxa"/>
              <w:bottom w:w="100" w:type="dxa"/>
              <w:end w:w="110" w:type="dxa"/>
            </w:tcMar>
          </w:tcPr>
          <w:p>
            <w:pPr>
              <w:spacing w:after="0" w:line="252" w:lineRule="auto"/>
              <w:jc w:val="left"/>
            </w:pPr>
            <w:r>
              <w:rPr>
                <w:sz w:val="18"/>
              </w:rPr>
              <w:t>ROE phần trăm và điểm C4 theo thang điểm bảng Sản xuất</w:t>
            </w:r>
          </w:p>
        </w:tc>
      </w:tr>
    </w:tbl>
    <w:p>
      <w:pPr>
        <w:spacing w:after="0"/>
      </w:pPr>
    </w:p>
    <w:p>
      <w:r>
        <w:br w:type="page"/>
      </w:r>
    </w:p>
    <w:p>
      <w:pPr>
        <w:pStyle w:val="Heading2"/>
        <w:keepNext/>
      </w:pPr>
      <w:r>
        <w:t>4.5 C5 Xu hướng đệm vốn 10 điểm</w:t>
      </w:r>
    </w:p>
    <w:p>
      <w:pPr>
        <w:pStyle w:val="BodyText"/>
      </w:pPr>
      <w:r>
        <w:t>Mục tiêu: kiểm tra nền vốn đang cải thiện hay suy yếu khi so với quy mô nghĩa vụ bảo hiểm. Đây là tiêu chí xu hướng, không phải kết luận pháp lý về khả năng thanh toán theo quy định.</w:t>
      </w:r>
    </w:p>
    <w:p>
      <w:pPr>
        <w:spacing w:before="60" w:after="160"/>
        <w:jc w:val="center"/>
      </w:pPr>
      <w:r>
        <w:rPr>
          <w:rFonts w:ascii="Aptos" w:hAnsi="Aptos"/>
          <w:b/>
          <w:sz w:val="21"/>
        </w:rPr>
        <w:t>Đệm vốn tại quý t: VCSH hợp nhất tại quý t / Tổng dự phòng nghiệp vụ bảo hiểm hợp nhất tại quý t</w:t>
      </w:r>
    </w:p>
    <w:p>
      <w:pPr>
        <w:spacing w:before="60" w:after="160"/>
        <w:jc w:val="center"/>
      </w:pPr>
      <w:r>
        <w:rPr>
          <w:rFonts w:ascii="Aptos" w:hAnsi="Aptos"/>
          <w:b/>
          <w:sz w:val="21"/>
        </w:rPr>
        <w:t>Xu hướng đệm vốn YoY: (Đệm vốn quý t / Đệm vốn quý t-4 - 1) x 100%</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304"/>
            <w:shd w:fill="17365D"/>
            <w:vAlign w:val="center"/>
          </w:tcPr>
          <w:p>
            <w:pPr>
              <w:jc w:val="center"/>
            </w:pPr>
            <w:r>
              <w:rPr>
                <w:b/>
                <w:color w:val="FFFFFF"/>
                <w:sz w:val="18"/>
              </w:rPr>
              <w:t>Dữ liệu đầu vào</w:t>
            </w:r>
          </w:p>
        </w:tc>
        <w:tc>
          <w:tcPr>
            <w:tcW w:type="dxa" w:w="7488"/>
            <w:shd w:fill="17365D"/>
            <w:vAlign w:val="center"/>
          </w:tcPr>
          <w:p>
            <w:pPr>
              <w:jc w:val="center"/>
            </w:pPr>
            <w:r>
              <w:rPr>
                <w:b/>
                <w:color w:val="FFFFFF"/>
                <w:sz w:val="18"/>
              </w:rPr>
              <w:t>Yêu cầu kiểm soát</w:t>
            </w:r>
          </w:p>
        </w:tc>
      </w:tr>
      <w:tr>
        <w:tc>
          <w:tcPr>
            <w:tcW w:type="dxa" w:w="2304"/>
            <w:vAlign w:val="center"/>
            <w:tcMar>
              <w:top w:w="100" w:type="dxa"/>
              <w:start w:w="110" w:type="dxa"/>
              <w:bottom w:w="100" w:type="dxa"/>
              <w:end w:w="110" w:type="dxa"/>
            </w:tcMar>
          </w:tcPr>
          <w:p>
            <w:pPr>
              <w:spacing w:after="0" w:line="252" w:lineRule="auto"/>
              <w:jc w:val="center"/>
            </w:pPr>
            <w:r>
              <w:rPr>
                <w:sz w:val="18"/>
              </w:rPr>
              <w:t>VCSH</w:t>
            </w:r>
          </w:p>
        </w:tc>
        <w:tc>
          <w:tcPr>
            <w:tcW w:type="dxa" w:w="7488"/>
            <w:vAlign w:val="center"/>
            <w:tcMar>
              <w:top w:w="100" w:type="dxa"/>
              <w:start w:w="110" w:type="dxa"/>
              <w:bottom w:w="100" w:type="dxa"/>
              <w:end w:w="110" w:type="dxa"/>
            </w:tcMar>
          </w:tcPr>
          <w:p>
            <w:pPr>
              <w:spacing w:after="0" w:line="252" w:lineRule="auto"/>
              <w:jc w:val="left"/>
            </w:pPr>
            <w:r>
              <w:rPr>
                <w:sz w:val="18"/>
              </w:rPr>
              <w:t>Lấy đúng số dư cuối quý từ BCTC hợp nhất</w:t>
            </w:r>
          </w:p>
        </w:tc>
      </w:tr>
      <w:tr>
        <w:tc>
          <w:tcPr>
            <w:tcW w:type="dxa" w:w="2304"/>
            <w:shd w:fill="F3F7FB"/>
            <w:vAlign w:val="center"/>
            <w:tcMar>
              <w:top w:w="100" w:type="dxa"/>
              <w:start w:w="110" w:type="dxa"/>
              <w:bottom w:w="100" w:type="dxa"/>
              <w:end w:w="110" w:type="dxa"/>
            </w:tcMar>
          </w:tcPr>
          <w:p>
            <w:pPr>
              <w:spacing w:after="0" w:line="252" w:lineRule="auto"/>
              <w:jc w:val="center"/>
            </w:pPr>
            <w:r>
              <w:rPr>
                <w:sz w:val="18"/>
              </w:rPr>
              <w:t>Tổng dự phòng nghiệp vụ</w:t>
            </w:r>
          </w:p>
        </w:tc>
        <w:tc>
          <w:tcPr>
            <w:tcW w:type="dxa" w:w="7488"/>
            <w:shd w:fill="F3F7FB"/>
            <w:vAlign w:val="center"/>
            <w:tcMar>
              <w:top w:w="100" w:type="dxa"/>
              <w:start w:w="110" w:type="dxa"/>
              <w:bottom w:w="100" w:type="dxa"/>
              <w:end w:w="110" w:type="dxa"/>
            </w:tcMar>
          </w:tcPr>
          <w:p>
            <w:pPr>
              <w:spacing w:after="0" w:line="252" w:lineRule="auto"/>
              <w:jc w:val="left"/>
            </w:pPr>
            <w:r>
              <w:rPr>
                <w:sz w:val="18"/>
              </w:rPr>
              <w:t>Lấy dòng tổng trực tiếp hoặc cộng các cấu phần dự phòng trong thuyết minh theo cùng một định nghĩa</w:t>
            </w:r>
          </w:p>
        </w:tc>
      </w:tr>
      <w:tr>
        <w:tc>
          <w:tcPr>
            <w:tcW w:type="dxa" w:w="2304"/>
            <w:vAlign w:val="center"/>
            <w:tcMar>
              <w:top w:w="100" w:type="dxa"/>
              <w:start w:w="110" w:type="dxa"/>
              <w:bottom w:w="100" w:type="dxa"/>
              <w:end w:w="110" w:type="dxa"/>
            </w:tcMar>
          </w:tcPr>
          <w:p>
            <w:pPr>
              <w:spacing w:after="0" w:line="252" w:lineRule="auto"/>
              <w:jc w:val="center"/>
            </w:pPr>
            <w:r>
              <w:rPr>
                <w:sz w:val="18"/>
              </w:rPr>
              <w:t>So sánh</w:t>
            </w:r>
          </w:p>
        </w:tc>
        <w:tc>
          <w:tcPr>
            <w:tcW w:type="dxa" w:w="7488"/>
            <w:vAlign w:val="center"/>
            <w:tcMar>
              <w:top w:w="100" w:type="dxa"/>
              <w:start w:w="110" w:type="dxa"/>
              <w:bottom w:w="100" w:type="dxa"/>
              <w:end w:w="110" w:type="dxa"/>
            </w:tcMar>
          </w:tcPr>
          <w:p>
            <w:pPr>
              <w:spacing w:after="0" w:line="252" w:lineRule="auto"/>
              <w:jc w:val="left"/>
            </w:pPr>
            <w:r>
              <w:rPr>
                <w:sz w:val="18"/>
              </w:rPr>
              <w:t>So với cùng kỳ để giảm ảnh hưởng mùa vụ</w:t>
            </w:r>
          </w:p>
        </w:tc>
      </w:tr>
      <w:tr>
        <w:tc>
          <w:tcPr>
            <w:tcW w:type="dxa" w:w="2304"/>
            <w:shd w:fill="F3F7FB"/>
            <w:vAlign w:val="center"/>
            <w:tcMar>
              <w:top w:w="100" w:type="dxa"/>
              <w:start w:w="110" w:type="dxa"/>
              <w:bottom w:w="100" w:type="dxa"/>
              <w:end w:w="110" w:type="dxa"/>
            </w:tcMar>
          </w:tcPr>
          <w:p>
            <w:pPr>
              <w:spacing w:after="0" w:line="252" w:lineRule="auto"/>
              <w:jc w:val="center"/>
            </w:pPr>
            <w:r>
              <w:rPr>
                <w:sz w:val="18"/>
              </w:rPr>
              <w:t>Không được thay thế</w:t>
            </w:r>
          </w:p>
        </w:tc>
        <w:tc>
          <w:tcPr>
            <w:tcW w:type="dxa" w:w="7488"/>
            <w:shd w:fill="F3F7FB"/>
            <w:vAlign w:val="center"/>
            <w:tcMar>
              <w:top w:w="100" w:type="dxa"/>
              <w:start w:w="110" w:type="dxa"/>
              <w:bottom w:w="100" w:type="dxa"/>
              <w:end w:w="110" w:type="dxa"/>
            </w:tcMar>
          </w:tcPr>
          <w:p>
            <w:pPr>
              <w:spacing w:after="0" w:line="252" w:lineRule="auto"/>
              <w:jc w:val="left"/>
            </w:pPr>
            <w:r>
              <w:rPr>
                <w:sz w:val="18"/>
              </w:rPr>
              <w:t>Không dùng tổng nợ dài hạn thay cho dự phòng nghiệp vụ</w:t>
            </w:r>
          </w:p>
        </w:tc>
      </w:tr>
      <w:tr>
        <w:tc>
          <w:tcPr>
            <w:tcW w:type="dxa" w:w="2304"/>
            <w:vAlign w:val="center"/>
            <w:tcMar>
              <w:top w:w="100" w:type="dxa"/>
              <w:start w:w="110" w:type="dxa"/>
              <w:bottom w:w="100" w:type="dxa"/>
              <w:end w:w="110" w:type="dxa"/>
            </w:tcMar>
          </w:tcPr>
          <w:p>
            <w:pPr>
              <w:spacing w:after="0" w:line="252" w:lineRule="auto"/>
              <w:jc w:val="center"/>
            </w:pPr>
            <w:r>
              <w:rPr>
                <w:sz w:val="18"/>
              </w:rPr>
              <w:t>Đầu ra</w:t>
            </w:r>
          </w:p>
        </w:tc>
        <w:tc>
          <w:tcPr>
            <w:tcW w:type="dxa" w:w="7488"/>
            <w:vAlign w:val="center"/>
            <w:tcMar>
              <w:top w:w="100" w:type="dxa"/>
              <w:start w:w="110" w:type="dxa"/>
              <w:bottom w:w="100" w:type="dxa"/>
              <w:end w:w="110" w:type="dxa"/>
            </w:tcMar>
          </w:tcPr>
          <w:p>
            <w:pPr>
              <w:spacing w:after="0" w:line="252" w:lineRule="auto"/>
              <w:jc w:val="left"/>
            </w:pPr>
            <w:r>
              <w:rPr>
                <w:sz w:val="18"/>
              </w:rPr>
              <w:t>Tỷ lệ đệm vốn, phần trăm thay đổi YoY và điểm C5 từ 0 đến 10</w:t>
            </w:r>
          </w:p>
        </w:tc>
      </w:tr>
    </w:tbl>
    <w:p>
      <w:pPr>
        <w:spacing w:after="0"/>
      </w:pPr>
    </w:p>
    <w:p>
      <w:pPr>
        <w:pStyle w:val="Heading1"/>
        <w:keepNext/>
      </w:pPr>
      <w:r>
        <w:t>5 Phân biệt C5 và Cổng an toàn vốn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1800"/>
            <w:shd w:fill="17365D"/>
            <w:vAlign w:val="center"/>
          </w:tcPr>
          <w:p>
            <w:pPr>
              <w:jc w:val="center"/>
            </w:pPr>
            <w:r>
              <w:rPr>
                <w:b/>
                <w:color w:val="FFFFFF"/>
                <w:sz w:val="18"/>
              </w:rPr>
              <w:t>Nội dung</w:t>
            </w:r>
          </w:p>
        </w:tc>
        <w:tc>
          <w:tcPr>
            <w:tcW w:type="dxa" w:w="3888"/>
            <w:shd w:fill="17365D"/>
            <w:vAlign w:val="center"/>
          </w:tcPr>
          <w:p>
            <w:pPr>
              <w:jc w:val="center"/>
            </w:pPr>
            <w:r>
              <w:rPr>
                <w:b/>
                <w:color w:val="FFFFFF"/>
                <w:sz w:val="18"/>
              </w:rPr>
              <w:t>C5 Xu hướng đệm vốn</w:t>
            </w:r>
          </w:p>
        </w:tc>
        <w:tc>
          <w:tcPr>
            <w:tcW w:type="dxa" w:w="4104"/>
            <w:shd w:fill="17365D"/>
            <w:vAlign w:val="center"/>
          </w:tcPr>
          <w:p>
            <w:pPr>
              <w:jc w:val="center"/>
            </w:pPr>
            <w:r>
              <w:rPr>
                <w:b/>
                <w:color w:val="FFFFFF"/>
                <w:sz w:val="18"/>
              </w:rPr>
              <w:t>Cổng an toàn vốn</w:t>
            </w:r>
          </w:p>
        </w:tc>
      </w:tr>
      <w:tr>
        <w:tc>
          <w:tcPr>
            <w:tcW w:type="dxa" w:w="1800"/>
            <w:vAlign w:val="center"/>
            <w:tcMar>
              <w:top w:w="100" w:type="dxa"/>
              <w:start w:w="110" w:type="dxa"/>
              <w:bottom w:w="100" w:type="dxa"/>
              <w:end w:w="110" w:type="dxa"/>
            </w:tcMar>
          </w:tcPr>
          <w:p>
            <w:pPr>
              <w:spacing w:after="0" w:line="252" w:lineRule="auto"/>
              <w:jc w:val="center"/>
            </w:pPr>
            <w:r>
              <w:rPr>
                <w:sz w:val="18"/>
              </w:rPr>
              <w:t>Câu hỏi</w:t>
            </w:r>
          </w:p>
        </w:tc>
        <w:tc>
          <w:tcPr>
            <w:tcW w:type="dxa" w:w="3888"/>
            <w:vAlign w:val="center"/>
            <w:tcMar>
              <w:top w:w="100" w:type="dxa"/>
              <w:start w:w="110" w:type="dxa"/>
              <w:bottom w:w="100" w:type="dxa"/>
              <w:end w:w="110" w:type="dxa"/>
            </w:tcMar>
          </w:tcPr>
          <w:p>
            <w:pPr>
              <w:spacing w:after="0" w:line="252" w:lineRule="auto"/>
              <w:jc w:val="left"/>
            </w:pPr>
            <w:r>
              <w:rPr>
                <w:sz w:val="18"/>
              </w:rPr>
              <w:t>Đệm vốn đang tốt lên hay xấu đi</w:t>
            </w:r>
          </w:p>
        </w:tc>
        <w:tc>
          <w:tcPr>
            <w:tcW w:type="dxa" w:w="4104"/>
            <w:vAlign w:val="center"/>
            <w:tcMar>
              <w:top w:w="100" w:type="dxa"/>
              <w:start w:w="110" w:type="dxa"/>
              <w:bottom w:w="100" w:type="dxa"/>
              <w:end w:w="110" w:type="dxa"/>
            </w:tcMar>
          </w:tcPr>
          <w:p>
            <w:pPr>
              <w:spacing w:after="0" w:line="252" w:lineRule="auto"/>
              <w:jc w:val="left"/>
            </w:pPr>
            <w:r>
              <w:rPr>
                <w:sz w:val="18"/>
              </w:rPr>
              <w:t>Nền vốn hiện tại có rơi vào trạng thái nguy hiểm không</w:t>
            </w:r>
          </w:p>
        </w:tc>
      </w:tr>
      <w:tr>
        <w:tc>
          <w:tcPr>
            <w:tcW w:type="dxa" w:w="1800"/>
            <w:shd w:fill="F3F7FB"/>
            <w:vAlign w:val="center"/>
            <w:tcMar>
              <w:top w:w="100" w:type="dxa"/>
              <w:start w:w="110" w:type="dxa"/>
              <w:bottom w:w="100" w:type="dxa"/>
              <w:end w:w="110" w:type="dxa"/>
            </w:tcMar>
          </w:tcPr>
          <w:p>
            <w:pPr>
              <w:spacing w:after="0" w:line="252" w:lineRule="auto"/>
              <w:jc w:val="center"/>
            </w:pPr>
            <w:r>
              <w:rPr>
                <w:sz w:val="18"/>
              </w:rPr>
              <w:t>Biến sử dụng</w:t>
            </w:r>
          </w:p>
        </w:tc>
        <w:tc>
          <w:tcPr>
            <w:tcW w:type="dxa" w:w="3888"/>
            <w:shd w:fill="F3F7FB"/>
            <w:vAlign w:val="center"/>
            <w:tcMar>
              <w:top w:w="100" w:type="dxa"/>
              <w:start w:w="110" w:type="dxa"/>
              <w:bottom w:w="100" w:type="dxa"/>
              <w:end w:w="110" w:type="dxa"/>
            </w:tcMar>
          </w:tcPr>
          <w:p>
            <w:pPr>
              <w:spacing w:after="0" w:line="252" w:lineRule="auto"/>
              <w:jc w:val="left"/>
            </w:pPr>
            <w:r>
              <w:rPr>
                <w:sz w:val="18"/>
              </w:rPr>
              <w:t>Phần trăm thay đổi YoY</w:t>
            </w:r>
          </w:p>
        </w:tc>
        <w:tc>
          <w:tcPr>
            <w:tcW w:type="dxa" w:w="4104"/>
            <w:shd w:fill="F3F7FB"/>
            <w:vAlign w:val="center"/>
            <w:tcMar>
              <w:top w:w="100" w:type="dxa"/>
              <w:start w:w="110" w:type="dxa"/>
              <w:bottom w:w="100" w:type="dxa"/>
              <w:end w:w="110" w:type="dxa"/>
            </w:tcMar>
          </w:tcPr>
          <w:p>
            <w:pPr>
              <w:spacing w:after="0" w:line="252" w:lineRule="auto"/>
              <w:jc w:val="left"/>
            </w:pPr>
            <w:r>
              <w:rPr>
                <w:sz w:val="18"/>
              </w:rPr>
              <w:t>Mức an toàn tuyệt đối tại quý hiện tại</w:t>
            </w:r>
          </w:p>
        </w:tc>
      </w:tr>
      <w:tr>
        <w:tc>
          <w:tcPr>
            <w:tcW w:type="dxa" w:w="1800"/>
            <w:vAlign w:val="center"/>
            <w:tcMar>
              <w:top w:w="100" w:type="dxa"/>
              <w:start w:w="110" w:type="dxa"/>
              <w:bottom w:w="100" w:type="dxa"/>
              <w:end w:w="110" w:type="dxa"/>
            </w:tcMar>
          </w:tcPr>
          <w:p>
            <w:pPr>
              <w:spacing w:after="0" w:line="252" w:lineRule="auto"/>
              <w:jc w:val="center"/>
            </w:pPr>
            <w:r>
              <w:rPr>
                <w:sz w:val="18"/>
              </w:rPr>
              <w:t>Cách tác động</w:t>
            </w:r>
          </w:p>
        </w:tc>
        <w:tc>
          <w:tcPr>
            <w:tcW w:type="dxa" w:w="3888"/>
            <w:vAlign w:val="center"/>
            <w:tcMar>
              <w:top w:w="100" w:type="dxa"/>
              <w:start w:w="110" w:type="dxa"/>
              <w:bottom w:w="100" w:type="dxa"/>
              <w:end w:w="110" w:type="dxa"/>
            </w:tcMar>
          </w:tcPr>
          <w:p>
            <w:pPr>
              <w:spacing w:after="0" w:line="252" w:lineRule="auto"/>
              <w:jc w:val="left"/>
            </w:pPr>
            <w:r>
              <w:rPr>
                <w:sz w:val="18"/>
              </w:rPr>
              <w:t>Cộng từ 0 đến 10 điểm</w:t>
            </w:r>
          </w:p>
        </w:tc>
        <w:tc>
          <w:tcPr>
            <w:tcW w:type="dxa" w:w="4104"/>
            <w:vAlign w:val="center"/>
            <w:tcMar>
              <w:top w:w="100" w:type="dxa"/>
              <w:start w:w="110" w:type="dxa"/>
              <w:bottom w:w="100" w:type="dxa"/>
              <w:end w:w="110" w:type="dxa"/>
            </w:tcMar>
          </w:tcPr>
          <w:p>
            <w:pPr>
              <w:spacing w:after="0" w:line="252" w:lineRule="auto"/>
              <w:jc w:val="left"/>
            </w:pPr>
            <w:r>
              <w:rPr>
                <w:sz w:val="18"/>
              </w:rPr>
              <w:t>Cảnh báo, áp trần hoặc loại</w:t>
            </w:r>
          </w:p>
        </w:tc>
      </w:tr>
      <w:tr>
        <w:tc>
          <w:tcPr>
            <w:tcW w:type="dxa" w:w="1800"/>
            <w:shd w:fill="F3F7FB"/>
            <w:vAlign w:val="center"/>
            <w:tcMar>
              <w:top w:w="100" w:type="dxa"/>
              <w:start w:w="110" w:type="dxa"/>
              <w:bottom w:w="100" w:type="dxa"/>
              <w:end w:w="110" w:type="dxa"/>
            </w:tcMar>
          </w:tcPr>
          <w:p>
            <w:pPr>
              <w:spacing w:after="0" w:line="252" w:lineRule="auto"/>
              <w:jc w:val="center"/>
            </w:pPr>
            <w:r>
              <w:rPr>
                <w:sz w:val="18"/>
              </w:rPr>
              <w:t>Áp dụng hiện tại</w:t>
            </w:r>
          </w:p>
        </w:tc>
        <w:tc>
          <w:tcPr>
            <w:tcW w:type="dxa" w:w="3888"/>
            <w:shd w:fill="F3F7FB"/>
            <w:vAlign w:val="center"/>
            <w:tcMar>
              <w:top w:w="100" w:type="dxa"/>
              <w:start w:w="110" w:type="dxa"/>
              <w:bottom w:w="100" w:type="dxa"/>
              <w:end w:w="110" w:type="dxa"/>
            </w:tcMar>
          </w:tcPr>
          <w:p>
            <w:pPr>
              <w:spacing w:after="0" w:line="252" w:lineRule="auto"/>
              <w:jc w:val="left"/>
            </w:pPr>
            <w:r>
              <w:rPr>
                <w:sz w:val="18"/>
              </w:rPr>
              <w:t>Có</w:t>
            </w:r>
          </w:p>
        </w:tc>
        <w:tc>
          <w:tcPr>
            <w:tcW w:type="dxa" w:w="4104"/>
            <w:shd w:fill="F3F7FB"/>
            <w:vAlign w:val="center"/>
            <w:tcMar>
              <w:top w:w="100" w:type="dxa"/>
              <w:start w:w="110" w:type="dxa"/>
              <w:bottom w:w="100" w:type="dxa"/>
              <w:end w:w="110" w:type="dxa"/>
            </w:tcMar>
          </w:tcPr>
          <w:p>
            <w:pPr>
              <w:spacing w:after="0" w:line="252" w:lineRule="auto"/>
              <w:jc w:val="left"/>
            </w:pPr>
            <w:r>
              <w:rPr>
                <w:sz w:val="18"/>
              </w:rPr>
              <w:t>Chưa áp trần 79 và 59 khi bảng mới có 50 điểm</w:t>
            </w:r>
          </w:p>
        </w:tc>
      </w:tr>
      <w:tr>
        <w:tc>
          <w:tcPr>
            <w:tcW w:type="dxa" w:w="1800"/>
            <w:vAlign w:val="center"/>
            <w:tcMar>
              <w:top w:w="100" w:type="dxa"/>
              <w:start w:w="110" w:type="dxa"/>
              <w:bottom w:w="100" w:type="dxa"/>
              <w:end w:w="110" w:type="dxa"/>
            </w:tcMar>
          </w:tcPr>
          <w:p>
            <w:pPr>
              <w:spacing w:after="0" w:line="252" w:lineRule="auto"/>
              <w:jc w:val="center"/>
            </w:pPr>
            <w:r>
              <w:rPr>
                <w:sz w:val="18"/>
              </w:rPr>
              <w:t>Nơi hoàn thiện</w:t>
            </w:r>
          </w:p>
        </w:tc>
        <w:tc>
          <w:tcPr>
            <w:tcW w:type="dxa" w:w="3888"/>
            <w:vAlign w:val="center"/>
            <w:tcMar>
              <w:top w:w="100" w:type="dxa"/>
              <w:start w:w="110" w:type="dxa"/>
              <w:bottom w:w="100" w:type="dxa"/>
              <w:end w:w="110" w:type="dxa"/>
            </w:tcMar>
          </w:tcPr>
          <w:p>
            <w:pPr>
              <w:spacing w:after="0" w:line="252" w:lineRule="auto"/>
              <w:jc w:val="left"/>
            </w:pPr>
            <w:r>
              <w:rPr>
                <w:sz w:val="18"/>
              </w:rPr>
              <w:t>Tab Toàn ngành</w:t>
            </w:r>
          </w:p>
        </w:tc>
        <w:tc>
          <w:tcPr>
            <w:tcW w:type="dxa" w:w="4104"/>
            <w:vAlign w:val="center"/>
            <w:tcMar>
              <w:top w:w="100" w:type="dxa"/>
              <w:start w:w="110" w:type="dxa"/>
              <w:bottom w:w="100" w:type="dxa"/>
              <w:end w:w="110" w:type="dxa"/>
            </w:tcMar>
          </w:tcPr>
          <w:p>
            <w:pPr>
              <w:spacing w:after="0" w:line="252" w:lineRule="auto"/>
              <w:jc w:val="left"/>
            </w:pPr>
            <w:r>
              <w:rPr>
                <w:sz w:val="18"/>
              </w:rPr>
              <w:t>Tab từng loại hình và bảng 100 điểm cuối cùng</w:t>
            </w:r>
          </w:p>
        </w:tc>
      </w:tr>
    </w:tbl>
    <w:p>
      <w:pPr>
        <w:spacing w:after="0"/>
      </w:pPr>
    </w:p>
    <w:p>
      <w:r>
        <w:br w:type="page"/>
      </w:r>
    </w:p>
    <w:p>
      <w:pPr>
        <w:pStyle w:val="Heading1"/>
        <w:keepNext/>
      </w:pPr>
      <w:r>
        <w:t>6 Quyết định về Cổng an toàn vốn trong giai đoạn 50 điểm</w:t>
      </w:r>
    </w:p>
    <w:p>
      <w:pPr>
        <w:pStyle w:val="BodyText"/>
      </w:pPr>
      <w:r>
        <w:t>Các mức trần 79 và 59 được thiết kế cho thang 100 điểm. Trong khi tab hiện tại chỉ có tối đa 50 điểm, các mức trần này không thể tác động và không được đưa vào vận hành như một quy tắc chấm điểm.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3024"/>
            <w:shd w:fill="17365D"/>
            <w:vAlign w:val="center"/>
          </w:tcPr>
          <w:p>
            <w:pPr>
              <w:jc w:val="center"/>
            </w:pPr>
            <w:r>
              <w:rPr>
                <w:b/>
                <w:color w:val="FFFFFF"/>
                <w:sz w:val="18"/>
              </w:rPr>
              <w:t>Tình trạng</w:t>
            </w:r>
          </w:p>
        </w:tc>
        <w:tc>
          <w:tcPr>
            <w:tcW w:type="dxa" w:w="6768"/>
            <w:shd w:fill="17365D"/>
            <w:vAlign w:val="center"/>
          </w:tcPr>
          <w:p>
            <w:pPr>
              <w:jc w:val="center"/>
            </w:pPr>
            <w:r>
              <w:rPr>
                <w:b/>
                <w:color w:val="FFFFFF"/>
                <w:sz w:val="18"/>
              </w:rPr>
              <w:t>Xử lý ở tab Toàn ngành 50 điểm</w:t>
            </w:r>
          </w:p>
        </w:tc>
      </w:tr>
      <w:tr>
        <w:tc>
          <w:tcPr>
            <w:tcW w:type="dxa" w:w="3024"/>
            <w:vAlign w:val="center"/>
            <w:tcMar>
              <w:top w:w="100" w:type="dxa"/>
              <w:start w:w="110" w:type="dxa"/>
              <w:bottom w:w="100" w:type="dxa"/>
              <w:end w:w="110" w:type="dxa"/>
            </w:tcMar>
          </w:tcPr>
          <w:p>
            <w:pPr>
              <w:spacing w:after="0" w:line="252" w:lineRule="auto"/>
              <w:jc w:val="center"/>
            </w:pPr>
            <w:r>
              <w:rPr>
                <w:sz w:val="18"/>
              </w:rPr>
              <w:t>VCSH dương và dữ liệu hợp lệ</w:t>
            </w:r>
          </w:p>
        </w:tc>
        <w:tc>
          <w:tcPr>
            <w:tcW w:type="dxa" w:w="6768"/>
            <w:vAlign w:val="center"/>
            <w:tcMar>
              <w:top w:w="100" w:type="dxa"/>
              <w:start w:w="110" w:type="dxa"/>
              <w:bottom w:w="100" w:type="dxa"/>
              <w:end w:w="110" w:type="dxa"/>
            </w:tcMar>
          </w:tcPr>
          <w:p>
            <w:pPr>
              <w:spacing w:after="0" w:line="252" w:lineRule="auto"/>
              <w:jc w:val="left"/>
            </w:pPr>
            <w:r>
              <w:rPr>
                <w:sz w:val="18"/>
              </w:rPr>
              <w:t>Chấm đủ năm tiêu chí</w:t>
            </w:r>
          </w:p>
        </w:tc>
      </w:tr>
      <w:tr>
        <w:tc>
          <w:tcPr>
            <w:tcW w:type="dxa" w:w="3024"/>
            <w:shd w:fill="F3F7FB"/>
            <w:vAlign w:val="center"/>
            <w:tcMar>
              <w:top w:w="100" w:type="dxa"/>
              <w:start w:w="110" w:type="dxa"/>
              <w:bottom w:w="100" w:type="dxa"/>
              <w:end w:w="110" w:type="dxa"/>
            </w:tcMar>
          </w:tcPr>
          <w:p>
            <w:pPr>
              <w:spacing w:after="0" w:line="252" w:lineRule="auto"/>
              <w:jc w:val="center"/>
            </w:pPr>
            <w:r>
              <w:rPr>
                <w:sz w:val="18"/>
              </w:rPr>
              <w:t>Đệm vốn suy giảm</w:t>
            </w:r>
          </w:p>
        </w:tc>
        <w:tc>
          <w:tcPr>
            <w:tcW w:type="dxa" w:w="6768"/>
            <w:shd w:fill="F3F7FB"/>
            <w:vAlign w:val="center"/>
            <w:tcMar>
              <w:top w:w="100" w:type="dxa"/>
              <w:start w:w="110" w:type="dxa"/>
              <w:bottom w:w="100" w:type="dxa"/>
              <w:end w:w="110" w:type="dxa"/>
            </w:tcMar>
          </w:tcPr>
          <w:p>
            <w:pPr>
              <w:spacing w:after="0" w:line="252" w:lineRule="auto"/>
              <w:jc w:val="left"/>
            </w:pPr>
            <w:r>
              <w:rPr>
                <w:sz w:val="18"/>
              </w:rPr>
              <w:t>C5 giảm điểm theo thang đã thống nhất</w:t>
            </w:r>
          </w:p>
        </w:tc>
      </w:tr>
      <w:tr>
        <w:tc>
          <w:tcPr>
            <w:tcW w:type="dxa" w:w="3024"/>
            <w:vAlign w:val="center"/>
            <w:tcMar>
              <w:top w:w="100" w:type="dxa"/>
              <w:start w:w="110" w:type="dxa"/>
              <w:bottom w:w="100" w:type="dxa"/>
              <w:end w:w="110" w:type="dxa"/>
            </w:tcMar>
          </w:tcPr>
          <w:p>
            <w:pPr>
              <w:spacing w:after="0" w:line="252" w:lineRule="auto"/>
              <w:jc w:val="center"/>
            </w:pPr>
            <w:r>
              <w:rPr>
                <w:sz w:val="18"/>
              </w:rPr>
              <w:t>Đệm vốn suy giảm mạnh</w:t>
            </w:r>
          </w:p>
        </w:tc>
        <w:tc>
          <w:tcPr>
            <w:tcW w:type="dxa" w:w="6768"/>
            <w:vAlign w:val="center"/>
            <w:tcMar>
              <w:top w:w="100" w:type="dxa"/>
              <w:start w:w="110" w:type="dxa"/>
              <w:bottom w:w="100" w:type="dxa"/>
              <w:end w:w="110" w:type="dxa"/>
            </w:tcMar>
          </w:tcPr>
          <w:p>
            <w:pPr>
              <w:spacing w:after="0" w:line="252" w:lineRule="auto"/>
              <w:jc w:val="left"/>
            </w:pPr>
            <w:r>
              <w:rPr>
                <w:sz w:val="18"/>
              </w:rPr>
              <w:t>C5 có thể về 0 đến 2 điểm và giao diện hiển thị nguyên nhân</w:t>
            </w:r>
          </w:p>
        </w:tc>
      </w:tr>
      <w:tr>
        <w:tc>
          <w:tcPr>
            <w:tcW w:type="dxa" w:w="3024"/>
            <w:shd w:fill="F3F7FB"/>
            <w:vAlign w:val="center"/>
            <w:tcMar>
              <w:top w:w="100" w:type="dxa"/>
              <w:start w:w="110" w:type="dxa"/>
              <w:bottom w:w="100" w:type="dxa"/>
              <w:end w:w="110" w:type="dxa"/>
            </w:tcMar>
          </w:tcPr>
          <w:p>
            <w:pPr>
              <w:spacing w:after="0" w:line="252" w:lineRule="auto"/>
              <w:jc w:val="center"/>
            </w:pPr>
            <w:r>
              <w:rPr>
                <w:sz w:val="18"/>
              </w:rPr>
              <w:t>VCSH không dương</w:t>
            </w:r>
          </w:p>
        </w:tc>
        <w:tc>
          <w:tcPr>
            <w:tcW w:type="dxa" w:w="6768"/>
            <w:shd w:fill="F3F7FB"/>
            <w:vAlign w:val="center"/>
            <w:tcMar>
              <w:top w:w="100" w:type="dxa"/>
              <w:start w:w="110" w:type="dxa"/>
              <w:bottom w:w="100" w:type="dxa"/>
              <w:end w:w="110" w:type="dxa"/>
            </w:tcMar>
          </w:tcPr>
          <w:p>
            <w:pPr>
              <w:spacing w:after="0" w:line="252" w:lineRule="auto"/>
              <w:jc w:val="left"/>
            </w:pPr>
            <w:r>
              <w:rPr>
                <w:sz w:val="18"/>
              </w:rPr>
              <w:t>Loại khỏi xếp hạng ngay</w:t>
            </w:r>
          </w:p>
        </w:tc>
      </w:tr>
      <w:tr>
        <w:tc>
          <w:tcPr>
            <w:tcW w:type="dxa" w:w="3024"/>
            <w:vAlign w:val="center"/>
            <w:tcMar>
              <w:top w:w="100" w:type="dxa"/>
              <w:start w:w="110" w:type="dxa"/>
              <w:bottom w:w="100" w:type="dxa"/>
              <w:end w:w="110" w:type="dxa"/>
            </w:tcMar>
          </w:tcPr>
          <w:p>
            <w:pPr>
              <w:spacing w:after="0" w:line="252" w:lineRule="auto"/>
              <w:jc w:val="center"/>
            </w:pPr>
            <w:r>
              <w:rPr>
                <w:sz w:val="18"/>
              </w:rPr>
              <w:t>Dữ liệu không đối chiếu được</w:t>
            </w:r>
          </w:p>
        </w:tc>
        <w:tc>
          <w:tcPr>
            <w:tcW w:type="dxa" w:w="6768"/>
            <w:vAlign w:val="center"/>
            <w:tcMar>
              <w:top w:w="100" w:type="dxa"/>
              <w:start w:w="110" w:type="dxa"/>
              <w:bottom w:w="100" w:type="dxa"/>
              <w:end w:w="110" w:type="dxa"/>
            </w:tcMar>
          </w:tcPr>
          <w:p>
            <w:pPr>
              <w:spacing w:after="0" w:line="252" w:lineRule="auto"/>
              <w:jc w:val="left"/>
            </w:pPr>
            <w:r>
              <w:rPr>
                <w:sz w:val="18"/>
              </w:rPr>
              <w:t>Đưa vào hàng lỗi dữ liệu nội bộ để IT sửa; không tự suy đoán và không hiển thị N/A trong bảng khách hàng</w:t>
            </w:r>
          </w:p>
        </w:tc>
      </w:tr>
    </w:tbl>
    <w:p>
      <w:pPr>
        <w:spacing w:after="0"/>
      </w:pPr>
    </w:p>
    <w:p>
      <w:pPr>
        <w:pStyle w:val="BodyText"/>
      </w:pPr>
      <w:r>
        <w:t>Khi hoàn thiện đủ 100 điểm, nhóm nghiệp vụ mới thiết kế ngưỡng an toàn tuyệt đối theo từng mô hình. Khi đó mới áp dụng: Cảnh báo tối đa 79, Rủi ro cao tối đa 59, Không đạt thì loại khỏi xếp hạng. Không dùng một ngưỡng tuyệt đối chung cho nhân thọ, phi nhân thọ, tái bảo hiểm và holding.</w:t>
      </w:r>
    </w:p>
    <w:p>
      <w:pPr>
        <w:pStyle w:val="Heading1"/>
        <w:keepNext/>
      </w:pPr>
      <w:r>
        <w:t>7 Phương án xử lý ABI</w:t>
      </w:r>
    </w:p>
    <w:p>
      <w:pPr>
        <w:pStyle w:val="BodyText"/>
      </w:pPr>
      <w:r>
        <w:t>Vấn đề: chuỗi ABI xuất hiện hai mức số cổ phiếu khoảng 72,39 triệu và 101,35 triệu. Nếu lấy EPS trước phát hành so trực tiếp với EPS sau phát hành mà không chuẩn hóa, tăng trưởng EPS YoY sẽ sai.</w:t>
      </w:r>
    </w:p>
    <w:p>
      <w:pPr>
        <w:pStyle w:val="Heading2"/>
        <w:keepNext/>
      </w:pPr>
      <w:r>
        <w:t>7.1 Quy tắc dữ liệu bắt buộc</w:t>
      </w:r>
    </w:p>
    <w:p>
      <w:pPr>
        <w:pStyle w:val="ListBullet"/>
      </w:pPr>
      <w:r>
        <w:t>Lập sổ sự kiện cổ phiếu cho ABI gồm loại phát hành, số cổ phiếu trước và sau, ngày hoàn tất, ngày có hiệu lực và nguồn văn bản.</w:t>
      </w:r>
    </w:p>
    <w:p>
      <w:pPr>
        <w:pStyle w:val="ListBullet"/>
      </w:pPr>
      <w:r>
        <w:t>Dùng số cổ phiếu thực tế đã phát hành, không dùng số tối đa được phê duyệt trong nghị quyết.</w:t>
      </w:r>
    </w:p>
    <w:p>
      <w:pPr>
        <w:pStyle w:val="ListBullet"/>
      </w:pPr>
      <w:r>
        <w:t>Cổ tức bằng cổ phiếu, thưởng cổ phiếu hoặc chia tách phải hồi tố EPS kỳ so sánh.</w:t>
      </w:r>
    </w:p>
    <w:p>
      <w:pPr>
        <w:pStyle w:val="ListBullet"/>
      </w:pPr>
      <w:r>
        <w:t>Phát hành thu tiền, riêng lẻ hoặc ESOP không hồi tố toàn bộ; tính số cổ phiếu bình quân gia quyền kể từ ngày có hiệu lực.</w:t>
      </w:r>
    </w:p>
    <w:p>
      <w:pPr>
        <w:pStyle w:val="ListBullet"/>
      </w:pPr>
      <w:r>
        <w:t>Không thay EPS bằng một công thức tự suy đoán. Hệ thống tiếp tục sử dụng bộ EPS chuẩn hóa đã thống nhất sau khi sự kiện được xác nhận.</w:t>
      </w:r>
    </w:p>
    <w:p>
      <w:pPr>
        <w:pStyle w:val="Heading2"/>
        <w:keepNext/>
      </w:pPr>
      <w:r>
        <w:t>7.2 Kiểm tra số học cần IT thực hiện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70"/>
        <w:gridCol w:w="2570"/>
        <w:gridCol w:w="2570"/>
        <w:gridCol w:w="2570"/>
      </w:tblGrid>
      <w:tr>
        <w:trPr>
          <w:tblHeader w:val="true"/>
        </w:trPr>
        <w:tc>
          <w:tcPr>
            <w:tcW w:type="dxa" w:w="1440"/>
            <w:shd w:fill="17365D"/>
            <w:vAlign w:val="center"/>
          </w:tcPr>
          <w:p>
            <w:pPr>
              <w:jc w:val="center"/>
            </w:pPr>
            <w:r>
              <w:rPr>
                <w:b/>
                <w:color w:val="FFFFFF"/>
                <w:sz w:val="18"/>
              </w:rPr>
              <w:t>Kỳ</w:t>
            </w:r>
          </w:p>
        </w:tc>
        <w:tc>
          <w:tcPr>
            <w:tcW w:type="dxa" w:w="2736"/>
            <w:shd w:fill="17365D"/>
            <w:vAlign w:val="center"/>
          </w:tcPr>
          <w:p>
            <w:pPr>
              <w:jc w:val="center"/>
            </w:pPr>
            <w:r>
              <w:rPr>
                <w:b/>
                <w:color w:val="FFFFFF"/>
                <w:sz w:val="18"/>
              </w:rPr>
              <w:t>LNST cổ đông mẹ</w:t>
            </w:r>
          </w:p>
        </w:tc>
        <w:tc>
          <w:tcPr>
            <w:tcW w:type="dxa" w:w="3240"/>
            <w:shd w:fill="17365D"/>
            <w:vAlign w:val="center"/>
          </w:tcPr>
          <w:p>
            <w:pPr>
              <w:jc w:val="center"/>
            </w:pPr>
            <w:r>
              <w:rPr>
                <w:b/>
                <w:color w:val="FFFFFF"/>
                <w:sz w:val="18"/>
              </w:rPr>
              <w:t>Số cổ phiếu dùng kiểm tra</w:t>
            </w:r>
          </w:p>
        </w:tc>
        <w:tc>
          <w:tcPr>
            <w:tcW w:type="dxa" w:w="2376"/>
            <w:shd w:fill="17365D"/>
            <w:vAlign w:val="center"/>
          </w:tcPr>
          <w:p>
            <w:pPr>
              <w:jc w:val="center"/>
            </w:pPr>
            <w:r>
              <w:rPr>
                <w:b/>
                <w:color w:val="FFFFFF"/>
                <w:sz w:val="18"/>
              </w:rPr>
              <w:t>EPS kiểm tra</w:t>
            </w:r>
          </w:p>
        </w:tc>
      </w:tr>
      <w:tr>
        <w:tc>
          <w:tcPr>
            <w:tcW w:type="dxa" w:w="1440"/>
            <w:vAlign w:val="center"/>
            <w:tcMar>
              <w:top w:w="100" w:type="dxa"/>
              <w:start w:w="110" w:type="dxa"/>
              <w:bottom w:w="100" w:type="dxa"/>
              <w:end w:w="110" w:type="dxa"/>
            </w:tcMar>
          </w:tcPr>
          <w:p>
            <w:pPr>
              <w:spacing w:after="0" w:line="252" w:lineRule="auto"/>
              <w:jc w:val="left"/>
            </w:pPr>
            <w:r>
              <w:rPr>
                <w:sz w:val="18"/>
              </w:rPr>
              <w:t>Q2 2025</w:t>
            </w:r>
          </w:p>
        </w:tc>
        <w:tc>
          <w:tcPr>
            <w:tcW w:type="dxa" w:w="2736"/>
            <w:vAlign w:val="center"/>
            <w:tcMar>
              <w:top w:w="100" w:type="dxa"/>
              <w:start w:w="110" w:type="dxa"/>
              <w:bottom w:w="100" w:type="dxa"/>
              <w:end w:w="110" w:type="dxa"/>
            </w:tcMar>
          </w:tcPr>
          <w:p>
            <w:pPr>
              <w:spacing w:after="0" w:line="252" w:lineRule="auto"/>
              <w:jc w:val="left"/>
            </w:pPr>
            <w:r>
              <w:rPr>
                <w:sz w:val="18"/>
              </w:rPr>
              <w:t>Khoảng 65,32 tỷ đồng</w:t>
            </w:r>
          </w:p>
        </w:tc>
        <w:tc>
          <w:tcPr>
            <w:tcW w:type="dxa" w:w="3240"/>
            <w:vAlign w:val="center"/>
            <w:tcMar>
              <w:top w:w="100" w:type="dxa"/>
              <w:start w:w="110" w:type="dxa"/>
              <w:bottom w:w="100" w:type="dxa"/>
              <w:end w:w="110" w:type="dxa"/>
            </w:tcMar>
          </w:tcPr>
          <w:p>
            <w:pPr>
              <w:spacing w:after="0" w:line="252" w:lineRule="auto"/>
              <w:jc w:val="left"/>
            </w:pPr>
            <w:r>
              <w:rPr>
                <w:sz w:val="18"/>
              </w:rPr>
              <w:t>Khoảng 101,35 triệu sau hồi tố</w:t>
            </w:r>
          </w:p>
        </w:tc>
        <w:tc>
          <w:tcPr>
            <w:tcW w:type="dxa" w:w="2376"/>
            <w:vAlign w:val="center"/>
            <w:tcMar>
              <w:top w:w="100" w:type="dxa"/>
              <w:start w:w="110" w:type="dxa"/>
              <w:bottom w:w="100" w:type="dxa"/>
              <w:end w:w="110" w:type="dxa"/>
            </w:tcMar>
          </w:tcPr>
          <w:p>
            <w:pPr>
              <w:spacing w:after="0" w:line="252" w:lineRule="auto"/>
              <w:jc w:val="left"/>
            </w:pPr>
            <w:r>
              <w:rPr>
                <w:sz w:val="18"/>
              </w:rPr>
              <w:t>Khoảng 644 đồng</w:t>
            </w:r>
          </w:p>
        </w:tc>
      </w:tr>
      <w:tr>
        <w:tc>
          <w:tcPr>
            <w:tcW w:type="dxa" w:w="1440"/>
            <w:shd w:fill="F3F7FB"/>
            <w:vAlign w:val="center"/>
            <w:tcMar>
              <w:top w:w="100" w:type="dxa"/>
              <w:start w:w="110" w:type="dxa"/>
              <w:bottom w:w="100" w:type="dxa"/>
              <w:end w:w="110" w:type="dxa"/>
            </w:tcMar>
          </w:tcPr>
          <w:p>
            <w:pPr>
              <w:spacing w:after="0" w:line="252" w:lineRule="auto"/>
              <w:jc w:val="left"/>
            </w:pPr>
            <w:r>
              <w:rPr>
                <w:sz w:val="18"/>
              </w:rPr>
              <w:t>Q2 2026</w:t>
            </w:r>
          </w:p>
        </w:tc>
        <w:tc>
          <w:tcPr>
            <w:tcW w:type="dxa" w:w="2736"/>
            <w:shd w:fill="F3F7FB"/>
            <w:vAlign w:val="center"/>
            <w:tcMar>
              <w:top w:w="100" w:type="dxa"/>
              <w:start w:w="110" w:type="dxa"/>
              <w:bottom w:w="100" w:type="dxa"/>
              <w:end w:w="110" w:type="dxa"/>
            </w:tcMar>
          </w:tcPr>
          <w:p>
            <w:pPr>
              <w:spacing w:after="0" w:line="252" w:lineRule="auto"/>
              <w:jc w:val="left"/>
            </w:pPr>
            <w:r>
              <w:rPr>
                <w:sz w:val="18"/>
              </w:rPr>
              <w:t>Khoảng 87,02 tỷ đồng</w:t>
            </w:r>
          </w:p>
        </w:tc>
        <w:tc>
          <w:tcPr>
            <w:tcW w:type="dxa" w:w="3240"/>
            <w:shd w:fill="F3F7FB"/>
            <w:vAlign w:val="center"/>
            <w:tcMar>
              <w:top w:w="100" w:type="dxa"/>
              <w:start w:w="110" w:type="dxa"/>
              <w:bottom w:w="100" w:type="dxa"/>
              <w:end w:w="110" w:type="dxa"/>
            </w:tcMar>
          </w:tcPr>
          <w:p>
            <w:pPr>
              <w:spacing w:after="0" w:line="252" w:lineRule="auto"/>
              <w:jc w:val="left"/>
            </w:pPr>
            <w:r>
              <w:rPr>
                <w:sz w:val="18"/>
              </w:rPr>
              <w:t>Khoảng 101,35 triệu</w:t>
            </w:r>
          </w:p>
        </w:tc>
        <w:tc>
          <w:tcPr>
            <w:tcW w:type="dxa" w:w="2376"/>
            <w:shd w:fill="F3F7FB"/>
            <w:vAlign w:val="center"/>
            <w:tcMar>
              <w:top w:w="100" w:type="dxa"/>
              <w:start w:w="110" w:type="dxa"/>
              <w:bottom w:w="100" w:type="dxa"/>
              <w:end w:w="110" w:type="dxa"/>
            </w:tcMar>
          </w:tcPr>
          <w:p>
            <w:pPr>
              <w:spacing w:after="0" w:line="252" w:lineRule="auto"/>
              <w:jc w:val="left"/>
            </w:pPr>
            <w:r>
              <w:rPr>
                <w:sz w:val="18"/>
              </w:rPr>
              <w:t>Khoảng 858 đồng</w:t>
            </w:r>
          </w:p>
        </w:tc>
      </w:tr>
    </w:tbl>
    <w:p>
      <w:pPr>
        <w:spacing w:after="0"/>
      </w:pPr>
    </w:p>
    <w:p>
      <w:pPr>
        <w:pStyle w:val="BodyText"/>
      </w:pPr>
      <w:r>
        <w:t>Nếu hồ sơ phát hành xác nhận đây là sự kiện phải hồi tố, EPS YoY Q2 2026 phải so 858 với 644. IT không được so EPS mới với EPS cũ tính trên 72,39 triệu cổ phiếu. Nhãn cảnh báo chỉ nằm trong tooltip phục vụ kiểm soát, không biến thành trạng thái FA và không chặn tab Toàn ngành.</w:t>
      </w:r>
    </w:p>
    <w:p>
      <w:pPr>
        <w:pStyle w:val="Heading1"/>
        <w:keepNext/>
      </w:pPr>
      <w:r>
        <w:t>8 Phương án xử lý BVH</w:t>
      </w:r>
    </w:p>
    <w:p>
      <w:pPr>
        <w:pStyle w:val="BodyText"/>
      </w:pPr>
      <w:r>
        <w:t>Vấn đề: dữ liệu trước năm 2022 không cho phép bóc tách tổng dự phòng nghiệp vụ một cách khách quan; một số nguồn chỉ thể hiện nợ dài hạn. Việc lấy nợ dài hạn thay dự phòng sẽ làm sai chỉ tiêu C5.</w:t>
      </w:r>
    </w:p>
    <w:p>
      <w:pPr>
        <w:pStyle w:val="Heading2"/>
        <w:keepNext/>
      </w:pPr>
      <w:r>
        <w:t>8.1 Quyết định chấm điểm hiện tại</w:t>
      </w:r>
    </w:p>
    <w:p>
      <w:pPr>
        <w:pStyle w:val="ListBullet"/>
      </w:pPr>
      <w:r>
        <w:t>Khóa chuỗi C5 của BVH từ Q1 2023 trở đi.</w:t>
      </w:r>
    </w:p>
    <w:p>
      <w:pPr>
        <w:pStyle w:val="ListBullet"/>
      </w:pPr>
      <w:r>
        <w:t>Q2 2026 so với Q2 2025 và Q3 2026 so với Q3 2025; các kỳ này thuộc chuỗi sạch.</w:t>
      </w:r>
    </w:p>
    <w:p>
      <w:pPr>
        <w:pStyle w:val="ListBullet"/>
      </w:pPr>
      <w:r>
        <w:t>Không dùng dữ liệu dự phòng 2018 đến 2021 để chấm điểm hiện tại.</w:t>
      </w:r>
    </w:p>
    <w:p>
      <w:pPr>
        <w:pStyle w:val="ListBullet"/>
      </w:pPr>
      <w:r>
        <w:t>Không dùng nợ dài hạn thay tổng dự phòng nghiệp vụ.</w:t>
      </w:r>
    </w:p>
    <w:p>
      <w:pPr>
        <w:pStyle w:val="ListBullet"/>
      </w:pPr>
      <w:r>
        <w:t>Vấn đề lịch sử không chặn điểm Q2 2026 và các quý tiếp theo.</w:t>
      </w:r>
    </w:p>
    <w:p>
      <w:pPr>
        <w:pStyle w:val="Heading2"/>
        <w:keepNext/>
      </w:pPr>
      <w:r>
        <w:t>8.2 Phương án phục hồi lịch sử nếu cần backtest</w:t>
      </w:r>
    </w:p>
    <w:p>
      <w:pPr>
        <w:pStyle w:val="BodyText"/>
      </w:pPr>
      <w:r>
        <w:t>Chỉ phục hồi bằng BCTC hợp nhất gốc và thuyết minh dự phòng. Tổng dự phòng nghiệp vụ được lấy từ dòng tổng hoặc cộng các cấu phần như dự phòng toán học, phí, bồi thường, chia lãi, lãi suất cam kết, dao động lớn và các dự phòng bảo hiểm khác. Mỗi giá trị phải lưu nguồn, kỳ, trang thuyết minh và công thức ghép.</w:t>
      </w:r>
    </w:p>
    <w:p>
      <w:pPr>
        <w:pStyle w:val="BodyText"/>
      </w:pPr>
      <w:r>
        <w:t>Nếu không tái lập được một kỳ, kỳ đó bị loại khỏi riêng backtest C5. Không loại BVH khỏi toàn bộ backtest và không tạo số giả để lấp chuỗi.</w:t>
      </w:r>
    </w:p>
    <w:p>
      <w:pPr>
        <w:pStyle w:val="Heading1"/>
        <w:keepNext/>
      </w:pPr>
      <w:r>
        <w:t>9 Quy tắc dữ liệu chung cho IT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088"/>
            <w:shd w:fill="17365D"/>
            <w:vAlign w:val="center"/>
          </w:tcPr>
          <w:p>
            <w:pPr>
              <w:jc w:val="center"/>
            </w:pPr>
            <w:r>
              <w:rPr>
                <w:b/>
                <w:color w:val="FFFFFF"/>
                <w:sz w:val="18"/>
              </w:rPr>
              <w:t>Quy tắc</w:t>
            </w:r>
          </w:p>
        </w:tc>
        <w:tc>
          <w:tcPr>
            <w:tcW w:type="dxa" w:w="7704"/>
            <w:shd w:fill="17365D"/>
            <w:vAlign w:val="center"/>
          </w:tcPr>
          <w:p>
            <w:pPr>
              <w:jc w:val="center"/>
            </w:pPr>
            <w:r>
              <w:rPr>
                <w:b/>
                <w:color w:val="FFFFFF"/>
                <w:sz w:val="18"/>
              </w:rPr>
              <w:t>Yêu cầu triển khai</w:t>
            </w:r>
          </w:p>
        </w:tc>
      </w:tr>
      <w:tr>
        <w:tc>
          <w:tcPr>
            <w:tcW w:type="dxa" w:w="2088"/>
            <w:vAlign w:val="center"/>
            <w:tcMar>
              <w:top w:w="100" w:type="dxa"/>
              <w:start w:w="110" w:type="dxa"/>
              <w:bottom w:w="100" w:type="dxa"/>
              <w:end w:w="110" w:type="dxa"/>
            </w:tcMar>
          </w:tcPr>
          <w:p>
            <w:pPr>
              <w:spacing w:after="0" w:line="252" w:lineRule="auto"/>
              <w:jc w:val="center"/>
            </w:pPr>
            <w:r>
              <w:rPr>
                <w:sz w:val="18"/>
              </w:rPr>
              <w:t>Nguồn chính</w:t>
            </w:r>
          </w:p>
        </w:tc>
        <w:tc>
          <w:tcPr>
            <w:tcW w:type="dxa" w:w="7704"/>
            <w:vAlign w:val="center"/>
            <w:tcMar>
              <w:top w:w="100" w:type="dxa"/>
              <w:start w:w="110" w:type="dxa"/>
              <w:bottom w:w="100" w:type="dxa"/>
              <w:end w:w="110" w:type="dxa"/>
            </w:tcMar>
          </w:tcPr>
          <w:p>
            <w:pPr>
              <w:spacing w:after="0" w:line="252" w:lineRule="auto"/>
              <w:jc w:val="left"/>
            </w:pPr>
            <w:r>
              <w:rPr>
                <w:sz w:val="18"/>
              </w:rPr>
              <w:t>BCTC hợp nhất và thuyết minh BCTC của doanh nghiệp</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Nguồn đối chiếu</w:t>
            </w:r>
          </w:p>
        </w:tc>
        <w:tc>
          <w:tcPr>
            <w:tcW w:type="dxa" w:w="7704"/>
            <w:shd w:fill="F3F7FB"/>
            <w:vAlign w:val="center"/>
            <w:tcMar>
              <w:top w:w="100" w:type="dxa"/>
              <w:start w:w="110" w:type="dxa"/>
              <w:bottom w:w="100" w:type="dxa"/>
              <w:end w:w="110" w:type="dxa"/>
            </w:tcMar>
          </w:tcPr>
          <w:p>
            <w:pPr>
              <w:spacing w:after="0" w:line="252" w:lineRule="auto"/>
              <w:jc w:val="left"/>
            </w:pPr>
            <w:r>
              <w:rPr>
                <w:sz w:val="18"/>
              </w:rPr>
              <w:t>Simplize, Vnstock hoặc nhà cung cấp khác chỉ dùng để phát hiện chênh lệch và kiểm tra chéo</w:t>
            </w:r>
          </w:p>
        </w:tc>
      </w:tr>
      <w:tr>
        <w:tc>
          <w:tcPr>
            <w:tcW w:type="dxa" w:w="2088"/>
            <w:vAlign w:val="center"/>
            <w:tcMar>
              <w:top w:w="100" w:type="dxa"/>
              <w:start w:w="110" w:type="dxa"/>
              <w:bottom w:w="100" w:type="dxa"/>
              <w:end w:w="110" w:type="dxa"/>
            </w:tcMar>
          </w:tcPr>
          <w:p>
            <w:pPr>
              <w:spacing w:after="0" w:line="252" w:lineRule="auto"/>
              <w:jc w:val="center"/>
            </w:pPr>
            <w:r>
              <w:rPr>
                <w:sz w:val="18"/>
              </w:rPr>
              <w:t>Đơn vị</w:t>
            </w:r>
          </w:p>
        </w:tc>
        <w:tc>
          <w:tcPr>
            <w:tcW w:type="dxa" w:w="7704"/>
            <w:vAlign w:val="center"/>
            <w:tcMar>
              <w:top w:w="100" w:type="dxa"/>
              <w:start w:w="110" w:type="dxa"/>
              <w:bottom w:w="100" w:type="dxa"/>
              <w:end w:w="110" w:type="dxa"/>
            </w:tcMar>
          </w:tcPr>
          <w:p>
            <w:pPr>
              <w:spacing w:after="0" w:line="252" w:lineRule="auto"/>
              <w:jc w:val="left"/>
            </w:pPr>
            <w:r>
              <w:rPr>
                <w:sz w:val="18"/>
              </w:rPr>
              <w:t>Chuẩn hóa VND, triệu đồng hoặc tỷ đồng trước khi tính; không trộn đơn vị</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Kỳ số liệu</w:t>
            </w:r>
          </w:p>
        </w:tc>
        <w:tc>
          <w:tcPr>
            <w:tcW w:type="dxa" w:w="7704"/>
            <w:shd w:fill="F3F7FB"/>
            <w:vAlign w:val="center"/>
            <w:tcMar>
              <w:top w:w="100" w:type="dxa"/>
              <w:start w:w="110" w:type="dxa"/>
              <w:bottom w:w="100" w:type="dxa"/>
              <w:end w:w="110" w:type="dxa"/>
            </w:tcMar>
          </w:tcPr>
          <w:p>
            <w:pPr>
              <w:spacing w:after="0" w:line="252" w:lineRule="auto"/>
              <w:jc w:val="left"/>
            </w:pPr>
            <w:r>
              <w:rPr>
                <w:sz w:val="18"/>
              </w:rPr>
              <w:t>Phân biệt số dư cuối kỳ, số phát sinh quý độc lập, số lũy kế và TTM</w:t>
            </w:r>
          </w:p>
        </w:tc>
      </w:tr>
      <w:tr>
        <w:tc>
          <w:tcPr>
            <w:tcW w:type="dxa" w:w="2088"/>
            <w:vAlign w:val="center"/>
            <w:tcMar>
              <w:top w:w="100" w:type="dxa"/>
              <w:start w:w="110" w:type="dxa"/>
              <w:bottom w:w="100" w:type="dxa"/>
              <w:end w:w="110" w:type="dxa"/>
            </w:tcMar>
          </w:tcPr>
          <w:p>
            <w:pPr>
              <w:spacing w:after="0" w:line="252" w:lineRule="auto"/>
              <w:jc w:val="center"/>
            </w:pPr>
            <w:r>
              <w:rPr>
                <w:sz w:val="18"/>
              </w:rPr>
              <w:t>Dòng số</w:t>
            </w:r>
          </w:p>
        </w:tc>
        <w:tc>
          <w:tcPr>
            <w:tcW w:type="dxa" w:w="7704"/>
            <w:vAlign w:val="center"/>
            <w:tcMar>
              <w:top w:w="100" w:type="dxa"/>
              <w:start w:w="110" w:type="dxa"/>
              <w:bottom w:w="100" w:type="dxa"/>
              <w:end w:w="110" w:type="dxa"/>
            </w:tcMar>
          </w:tcPr>
          <w:p>
            <w:pPr>
              <w:spacing w:after="0" w:line="252" w:lineRule="auto"/>
              <w:jc w:val="left"/>
            </w:pPr>
            <w:r>
              <w:rPr>
                <w:sz w:val="18"/>
              </w:rPr>
              <w:t>Một chỉ tiêu phải dùng cùng định nghĩa qua các kỳ so sánh</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Ngoại lệ</w:t>
            </w:r>
          </w:p>
        </w:tc>
        <w:tc>
          <w:tcPr>
            <w:tcW w:type="dxa" w:w="7704"/>
            <w:shd w:fill="F3F7FB"/>
            <w:vAlign w:val="center"/>
            <w:tcMar>
              <w:top w:w="100" w:type="dxa"/>
              <w:start w:w="110" w:type="dxa"/>
              <w:bottom w:w="100" w:type="dxa"/>
              <w:end w:w="110" w:type="dxa"/>
            </w:tcMar>
          </w:tcPr>
          <w:p>
            <w:pPr>
              <w:spacing w:after="0" w:line="252" w:lineRule="auto"/>
              <w:jc w:val="left"/>
            </w:pPr>
            <w:r>
              <w:rPr>
                <w:sz w:val="18"/>
              </w:rPr>
              <w:t>Không tự thay bằng chỉ tiêu gần giống; đưa vào nhật ký lỗi dữ liệu nội bộ</w:t>
            </w:r>
          </w:p>
        </w:tc>
      </w:tr>
      <w:tr>
        <w:tc>
          <w:tcPr>
            <w:tcW w:type="dxa" w:w="2088"/>
            <w:vAlign w:val="center"/>
            <w:tcMar>
              <w:top w:w="100" w:type="dxa"/>
              <w:start w:w="110" w:type="dxa"/>
              <w:bottom w:w="100" w:type="dxa"/>
              <w:end w:w="110" w:type="dxa"/>
            </w:tcMar>
          </w:tcPr>
          <w:p>
            <w:pPr>
              <w:spacing w:after="0" w:line="252" w:lineRule="auto"/>
              <w:jc w:val="center"/>
            </w:pPr>
            <w:r>
              <w:rPr>
                <w:sz w:val="18"/>
              </w:rPr>
              <w:t>Bảng khách hàng</w:t>
            </w:r>
          </w:p>
        </w:tc>
        <w:tc>
          <w:tcPr>
            <w:tcW w:type="dxa" w:w="7704"/>
            <w:vAlign w:val="center"/>
            <w:tcMar>
              <w:top w:w="100" w:type="dxa"/>
              <w:start w:w="110" w:type="dxa"/>
              <w:bottom w:w="100" w:type="dxa"/>
              <w:end w:w="110" w:type="dxa"/>
            </w:tcMar>
          </w:tcPr>
          <w:p>
            <w:pPr>
              <w:spacing w:after="0" w:line="252" w:lineRule="auto"/>
              <w:jc w:val="left"/>
            </w:pPr>
            <w:r>
              <w:rPr>
                <w:sz w:val="18"/>
              </w:rPr>
              <w:t>Không hiển thị N/A. Chỉ công bố mã sau khi năm tiêu chí có dữ liệu hợp lệ</w:t>
            </w:r>
          </w:p>
        </w:tc>
      </w:tr>
      <w:tr>
        <w:tc>
          <w:tcPr>
            <w:tcW w:type="dxa" w:w="2088"/>
            <w:shd w:fill="F3F7FB"/>
            <w:vAlign w:val="center"/>
            <w:tcMar>
              <w:top w:w="100" w:type="dxa"/>
              <w:start w:w="110" w:type="dxa"/>
              <w:bottom w:w="100" w:type="dxa"/>
              <w:end w:w="110" w:type="dxa"/>
            </w:tcMar>
          </w:tcPr>
          <w:p>
            <w:pPr>
              <w:spacing w:after="0" w:line="252" w:lineRule="auto"/>
              <w:jc w:val="center"/>
            </w:pPr>
            <w:r>
              <w:rPr>
                <w:sz w:val="18"/>
              </w:rPr>
              <w:t>Truy vết</w:t>
            </w:r>
          </w:p>
        </w:tc>
        <w:tc>
          <w:tcPr>
            <w:tcW w:type="dxa" w:w="7704"/>
            <w:shd w:fill="F3F7FB"/>
            <w:vAlign w:val="center"/>
            <w:tcMar>
              <w:top w:w="100" w:type="dxa"/>
              <w:start w:w="110" w:type="dxa"/>
              <w:bottom w:w="100" w:type="dxa"/>
              <w:end w:w="110" w:type="dxa"/>
            </w:tcMar>
          </w:tcPr>
          <w:p>
            <w:pPr>
              <w:spacing w:after="0" w:line="252" w:lineRule="auto"/>
              <w:jc w:val="left"/>
            </w:pPr>
            <w:r>
              <w:rPr>
                <w:sz w:val="18"/>
              </w:rPr>
              <w:t>Lưu mã, kỳ, chỉ tiêu, giá trị gốc, đơn vị, nguồn, công thức và thời điểm cập nhật</w:t>
            </w:r>
          </w:p>
        </w:tc>
      </w:tr>
    </w:tbl>
    <w:p>
      <w:pPr>
        <w:spacing w:after="0"/>
      </w:pPr>
    </w:p>
    <w:p>
      <w:pPr>
        <w:pStyle w:val="Heading1"/>
        <w:keepNext/>
      </w:pPr>
      <w:r>
        <w:t>10 Phạm vi số kỳ phải thu thập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27"/>
        <w:gridCol w:w="3427"/>
        <w:gridCol w:w="3427"/>
      </w:tblGrid>
      <w:tr>
        <w:trPr>
          <w:tblHeader w:val="true"/>
        </w:trPr>
        <w:tc>
          <w:tcPr>
            <w:tcW w:type="dxa" w:w="2520"/>
            <w:shd w:fill="17365D"/>
            <w:vAlign w:val="center"/>
          </w:tcPr>
          <w:p>
            <w:pPr>
              <w:jc w:val="center"/>
            </w:pPr>
            <w:r>
              <w:rPr>
                <w:b/>
                <w:color w:val="FFFFFF"/>
                <w:sz w:val="18"/>
              </w:rPr>
              <w:t>Tiêu chí</w:t>
            </w:r>
          </w:p>
        </w:tc>
        <w:tc>
          <w:tcPr>
            <w:tcW w:type="dxa" w:w="3744"/>
            <w:shd w:fill="17365D"/>
            <w:vAlign w:val="center"/>
          </w:tcPr>
          <w:p>
            <w:pPr>
              <w:jc w:val="center"/>
            </w:pPr>
            <w:r>
              <w:rPr>
                <w:b/>
                <w:color w:val="FFFFFF"/>
                <w:sz w:val="18"/>
              </w:rPr>
              <w:t>Số kỳ tối thiểu để chấm quý hiện tại</w:t>
            </w:r>
          </w:p>
        </w:tc>
        <w:tc>
          <w:tcPr>
            <w:tcW w:type="dxa" w:w="3528"/>
            <w:shd w:fill="17365D"/>
            <w:vAlign w:val="center"/>
          </w:tcPr>
          <w:p>
            <w:pPr>
              <w:jc w:val="center"/>
            </w:pPr>
            <w:r>
              <w:rPr>
                <w:b/>
                <w:color w:val="FFFFFF"/>
                <w:sz w:val="18"/>
              </w:rPr>
              <w:t>Phạm vi khuyến nghị cho kiểm thử</w:t>
            </w:r>
          </w:p>
        </w:tc>
      </w:tr>
      <w:tr>
        <w:tc>
          <w:tcPr>
            <w:tcW w:type="dxa" w:w="2520"/>
            <w:vAlign w:val="center"/>
            <w:tcMar>
              <w:top w:w="100" w:type="dxa"/>
              <w:start w:w="110" w:type="dxa"/>
              <w:bottom w:w="100" w:type="dxa"/>
              <w:end w:w="110" w:type="dxa"/>
            </w:tcMar>
          </w:tcPr>
          <w:p>
            <w:pPr>
              <w:spacing w:after="0" w:line="252" w:lineRule="auto"/>
              <w:jc w:val="center"/>
            </w:pPr>
            <w:r>
              <w:rPr>
                <w:sz w:val="18"/>
              </w:rPr>
              <w:t>C1 EPS YoY</w:t>
            </w:r>
          </w:p>
        </w:tc>
        <w:tc>
          <w:tcPr>
            <w:tcW w:type="dxa" w:w="3744"/>
            <w:vAlign w:val="center"/>
            <w:tcMar>
              <w:top w:w="100" w:type="dxa"/>
              <w:start w:w="110" w:type="dxa"/>
              <w:bottom w:w="100" w:type="dxa"/>
              <w:end w:w="110" w:type="dxa"/>
            </w:tcMar>
          </w:tcPr>
          <w:p>
            <w:pPr>
              <w:spacing w:after="0" w:line="252" w:lineRule="auto"/>
              <w:jc w:val="left"/>
            </w:pPr>
            <w:r>
              <w:rPr>
                <w:sz w:val="18"/>
              </w:rPr>
              <w:t>5 quý</w:t>
            </w:r>
          </w:p>
        </w:tc>
        <w:tc>
          <w:tcPr>
            <w:tcW w:type="dxa" w:w="3528"/>
            <w:vAlign w:val="center"/>
            <w:tcMar>
              <w:top w:w="100" w:type="dxa"/>
              <w:start w:w="110" w:type="dxa"/>
              <w:bottom w:w="100" w:type="dxa"/>
              <w:end w:w="110" w:type="dxa"/>
            </w:tcMar>
          </w:tcPr>
          <w:p>
            <w:pPr>
              <w:spacing w:after="0" w:line="252" w:lineRule="auto"/>
              <w:jc w:val="left"/>
            </w:pPr>
            <w:r>
              <w:rPr>
                <w:sz w:val="18"/>
              </w:rPr>
              <w:t>Ít nhất 8 quý để kiểm tra tính liên tục</w:t>
            </w:r>
          </w:p>
        </w:tc>
      </w:tr>
      <w:tr>
        <w:tc>
          <w:tcPr>
            <w:tcW w:type="dxa" w:w="2520"/>
            <w:shd w:fill="F3F7FB"/>
            <w:vAlign w:val="center"/>
            <w:tcMar>
              <w:top w:w="100" w:type="dxa"/>
              <w:start w:w="110" w:type="dxa"/>
              <w:bottom w:w="100" w:type="dxa"/>
              <w:end w:w="110" w:type="dxa"/>
            </w:tcMar>
          </w:tcPr>
          <w:p>
            <w:pPr>
              <w:spacing w:after="0" w:line="252" w:lineRule="auto"/>
              <w:jc w:val="center"/>
            </w:pPr>
            <w:r>
              <w:rPr>
                <w:sz w:val="18"/>
              </w:rPr>
              <w:t>C2 Số quý EPS tăng trưởng</w:t>
            </w:r>
          </w:p>
        </w:tc>
        <w:tc>
          <w:tcPr>
            <w:tcW w:type="dxa" w:w="3744"/>
            <w:shd w:fill="F3F7FB"/>
            <w:vAlign w:val="center"/>
            <w:tcMar>
              <w:top w:w="100" w:type="dxa"/>
              <w:start w:w="110" w:type="dxa"/>
              <w:bottom w:w="100" w:type="dxa"/>
              <w:end w:w="110" w:type="dxa"/>
            </w:tcMar>
          </w:tcPr>
          <w:p>
            <w:pPr>
              <w:spacing w:after="0" w:line="252" w:lineRule="auto"/>
              <w:jc w:val="left"/>
            </w:pPr>
            <w:r>
              <w:rPr>
                <w:sz w:val="18"/>
              </w:rPr>
              <w:t>7 quý</w:t>
            </w:r>
          </w:p>
        </w:tc>
        <w:tc>
          <w:tcPr>
            <w:tcW w:type="dxa" w:w="3528"/>
            <w:shd w:fill="F3F7FB"/>
            <w:vAlign w:val="center"/>
            <w:tcMar>
              <w:top w:w="100" w:type="dxa"/>
              <w:start w:w="110" w:type="dxa"/>
              <w:bottom w:w="100" w:type="dxa"/>
              <w:end w:w="110" w:type="dxa"/>
            </w:tcMar>
          </w:tcPr>
          <w:p>
            <w:pPr>
              <w:spacing w:after="0" w:line="252" w:lineRule="auto"/>
              <w:jc w:val="left"/>
            </w:pPr>
            <w:r>
              <w:rPr>
                <w:sz w:val="18"/>
              </w:rPr>
              <w:t>Ít nhất 8 quý</w:t>
            </w:r>
          </w:p>
        </w:tc>
      </w:tr>
      <w:tr>
        <w:tc>
          <w:tcPr>
            <w:tcW w:type="dxa" w:w="2520"/>
            <w:vAlign w:val="center"/>
            <w:tcMar>
              <w:top w:w="100" w:type="dxa"/>
              <w:start w:w="110" w:type="dxa"/>
              <w:bottom w:w="100" w:type="dxa"/>
              <w:end w:w="110" w:type="dxa"/>
            </w:tcMar>
          </w:tcPr>
          <w:p>
            <w:pPr>
              <w:spacing w:after="0" w:line="252" w:lineRule="auto"/>
              <w:jc w:val="center"/>
            </w:pPr>
            <w:r>
              <w:rPr>
                <w:sz w:val="18"/>
              </w:rPr>
              <w:t>C3 Doanh thu bảo hiểm YoY</w:t>
            </w:r>
          </w:p>
        </w:tc>
        <w:tc>
          <w:tcPr>
            <w:tcW w:type="dxa" w:w="3744"/>
            <w:vAlign w:val="center"/>
            <w:tcMar>
              <w:top w:w="100" w:type="dxa"/>
              <w:start w:w="110" w:type="dxa"/>
              <w:bottom w:w="100" w:type="dxa"/>
              <w:end w:w="110" w:type="dxa"/>
            </w:tcMar>
          </w:tcPr>
          <w:p>
            <w:pPr>
              <w:spacing w:after="0" w:line="252" w:lineRule="auto"/>
              <w:jc w:val="left"/>
            </w:pPr>
            <w:r>
              <w:rPr>
                <w:sz w:val="18"/>
              </w:rPr>
              <w:t>5 quý</w:t>
            </w:r>
          </w:p>
        </w:tc>
        <w:tc>
          <w:tcPr>
            <w:tcW w:type="dxa" w:w="3528"/>
            <w:vAlign w:val="center"/>
            <w:tcMar>
              <w:top w:w="100" w:type="dxa"/>
              <w:start w:w="110" w:type="dxa"/>
              <w:bottom w:w="100" w:type="dxa"/>
              <w:end w:w="110" w:type="dxa"/>
            </w:tcMar>
          </w:tcPr>
          <w:p>
            <w:pPr>
              <w:spacing w:after="0" w:line="252" w:lineRule="auto"/>
              <w:jc w:val="left"/>
            </w:pPr>
            <w:r>
              <w:rPr>
                <w:sz w:val="18"/>
              </w:rPr>
              <w:t>Ít nhất 8 quý</w:t>
            </w:r>
          </w:p>
        </w:tc>
      </w:tr>
      <w:tr>
        <w:tc>
          <w:tcPr>
            <w:tcW w:type="dxa" w:w="2520"/>
            <w:shd w:fill="F3F7FB"/>
            <w:vAlign w:val="center"/>
            <w:tcMar>
              <w:top w:w="100" w:type="dxa"/>
              <w:start w:w="110" w:type="dxa"/>
              <w:bottom w:w="100" w:type="dxa"/>
              <w:end w:w="110" w:type="dxa"/>
            </w:tcMar>
          </w:tcPr>
          <w:p>
            <w:pPr>
              <w:spacing w:after="0" w:line="252" w:lineRule="auto"/>
              <w:jc w:val="center"/>
            </w:pPr>
            <w:r>
              <w:rPr>
                <w:sz w:val="18"/>
              </w:rPr>
              <w:t>C4 ROE TTM</w:t>
            </w:r>
          </w:p>
        </w:tc>
        <w:tc>
          <w:tcPr>
            <w:tcW w:type="dxa" w:w="3744"/>
            <w:shd w:fill="F3F7FB"/>
            <w:vAlign w:val="center"/>
            <w:tcMar>
              <w:top w:w="100" w:type="dxa"/>
              <w:start w:w="110" w:type="dxa"/>
              <w:bottom w:w="100" w:type="dxa"/>
              <w:end w:w="110" w:type="dxa"/>
            </w:tcMar>
          </w:tcPr>
          <w:p>
            <w:pPr>
              <w:spacing w:after="0" w:line="252" w:lineRule="auto"/>
              <w:jc w:val="left"/>
            </w:pPr>
            <w:r>
              <w:rPr>
                <w:sz w:val="18"/>
              </w:rPr>
              <w:t>4 quý lợi nhuận và số dư vốn đầu cuối</w:t>
            </w:r>
          </w:p>
        </w:tc>
        <w:tc>
          <w:tcPr>
            <w:tcW w:type="dxa" w:w="3528"/>
            <w:shd w:fill="F3F7FB"/>
            <w:vAlign w:val="center"/>
            <w:tcMar>
              <w:top w:w="100" w:type="dxa"/>
              <w:start w:w="110" w:type="dxa"/>
              <w:bottom w:w="100" w:type="dxa"/>
              <w:end w:w="110" w:type="dxa"/>
            </w:tcMar>
          </w:tcPr>
          <w:p>
            <w:pPr>
              <w:spacing w:after="0" w:line="252" w:lineRule="auto"/>
              <w:jc w:val="left"/>
            </w:pPr>
            <w:r>
              <w:rPr>
                <w:sz w:val="18"/>
              </w:rPr>
              <w:t>Ít nhất 8 quý</w:t>
            </w:r>
          </w:p>
        </w:tc>
      </w:tr>
      <w:tr>
        <w:tc>
          <w:tcPr>
            <w:tcW w:type="dxa" w:w="2520"/>
            <w:vAlign w:val="center"/>
            <w:tcMar>
              <w:top w:w="100" w:type="dxa"/>
              <w:start w:w="110" w:type="dxa"/>
              <w:bottom w:w="100" w:type="dxa"/>
              <w:end w:w="110" w:type="dxa"/>
            </w:tcMar>
          </w:tcPr>
          <w:p>
            <w:pPr>
              <w:spacing w:after="0" w:line="252" w:lineRule="auto"/>
              <w:jc w:val="center"/>
            </w:pPr>
            <w:r>
              <w:rPr>
                <w:sz w:val="18"/>
              </w:rPr>
              <w:t>C5 Xu hướng đệm vốn</w:t>
            </w:r>
          </w:p>
        </w:tc>
        <w:tc>
          <w:tcPr>
            <w:tcW w:type="dxa" w:w="3744"/>
            <w:vAlign w:val="center"/>
            <w:tcMar>
              <w:top w:w="100" w:type="dxa"/>
              <w:start w:w="110" w:type="dxa"/>
              <w:bottom w:w="100" w:type="dxa"/>
              <w:end w:w="110" w:type="dxa"/>
            </w:tcMar>
          </w:tcPr>
          <w:p>
            <w:pPr>
              <w:spacing w:after="0" w:line="252" w:lineRule="auto"/>
              <w:jc w:val="left"/>
            </w:pPr>
            <w:r>
              <w:rPr>
                <w:sz w:val="18"/>
              </w:rPr>
              <w:t>5 quý</w:t>
            </w:r>
          </w:p>
        </w:tc>
        <w:tc>
          <w:tcPr>
            <w:tcW w:type="dxa" w:w="3528"/>
            <w:vAlign w:val="center"/>
            <w:tcMar>
              <w:top w:w="100" w:type="dxa"/>
              <w:start w:w="110" w:type="dxa"/>
              <w:bottom w:w="100" w:type="dxa"/>
              <w:end w:w="110" w:type="dxa"/>
            </w:tcMar>
          </w:tcPr>
          <w:p>
            <w:pPr>
              <w:spacing w:after="0" w:line="252" w:lineRule="auto"/>
              <w:jc w:val="left"/>
            </w:pPr>
            <w:r>
              <w:rPr>
                <w:sz w:val="18"/>
              </w:rPr>
              <w:t>Từ Q1 2023 trở đi; riêng BVH không kéo chuỗi lỗi về trước</w:t>
            </w:r>
          </w:p>
        </w:tc>
      </w:tr>
    </w:tbl>
    <w:p>
      <w:pPr>
        <w:spacing w:after="0"/>
      </w:pPr>
    </w:p>
    <w:p>
      <w:pPr>
        <w:pStyle w:val="BodyText"/>
      </w:pPr>
      <w:r>
        <w:t>Không bắt buộc lấy 20 quý để chấm điểm 50 điểm hiện tại. Chuỗi dài hơn chỉ phục vụ backtest và kiểm tra độ ổn định của ngưỡng; không được biến thành điều kiện làm chậm việc chấm Q2 2026 hoặc Q3 2026.</w:t>
      </w:r>
    </w:p>
    <w:p>
      <w:pPr>
        <w:pStyle w:val="Heading1"/>
        <w:keepNext/>
      </w:pPr>
      <w:r>
        <w:t>11 Kết quả IT cần bàn giao</w:t>
      </w:r>
    </w:p>
    <w:p>
      <w:pPr>
        <w:pStyle w:val="BodyText"/>
        <w:spacing w:after="40"/>
        <w:ind w:left="317" w:hanging="259"/>
      </w:pPr>
      <w:r>
        <w:t>•  Bảng dữ liệu đầu vào của toàn bộ doanh nghiệp bảo hiểm theo từng quý.</w:t>
      </w:r>
    </w:p>
    <w:p>
      <w:pPr>
        <w:pStyle w:val="BodyText"/>
        <w:spacing w:after="40"/>
        <w:ind w:left="317" w:hanging="259"/>
      </w:pPr>
      <w:r>
        <w:t>•  Bảng tính năm tiêu chí C1 đến C5, gồm giá trị gốc, giá trị tính và điểm.</w:t>
      </w:r>
    </w:p>
    <w:p>
      <w:pPr>
        <w:pStyle w:val="BodyText"/>
        <w:spacing w:after="40"/>
        <w:ind w:left="317" w:hanging="259"/>
      </w:pPr>
      <w:r>
        <w:t>•  Danh sách mã vượt kiểm tra dữ liệu và danh sách lỗi cần xử lý nội bộ.</w:t>
      </w:r>
    </w:p>
    <w:p>
      <w:pPr>
        <w:pStyle w:val="BodyText"/>
        <w:spacing w:after="40"/>
        <w:ind w:left="317" w:hanging="259"/>
      </w:pPr>
      <w:r>
        <w:t>•  Sổ sự kiện cổ phiếu dùng chuẩn hóa EPS, trước mắt phải xử lý ABI.</w:t>
      </w:r>
    </w:p>
    <w:p>
      <w:pPr>
        <w:pStyle w:val="BodyText"/>
        <w:spacing w:after="40"/>
        <w:ind w:left="317" w:hanging="259"/>
      </w:pPr>
      <w:r>
        <w:t>•  Bảng cấu phần dự phòng và nguồn dữ liệu cho BVH từ Q1 2023.</w:t>
      </w:r>
    </w:p>
    <w:p>
      <w:pPr>
        <w:pStyle w:val="BodyText"/>
        <w:spacing w:after="40"/>
        <w:ind w:left="317" w:hanging="259"/>
      </w:pPr>
      <w:r>
        <w:t>•  Kết quả đối chiếu Q2 2026; sau đó quy trình tự động chạy Q3 2026 khi BCTC được công bố.</w:t>
      </w:r>
    </w:p>
    <w:p>
      <w:pPr>
        <w:pStyle w:val="Heading1"/>
        <w:keepNext/>
      </w:pPr>
      <w:r>
        <w:t>12 Tiêu chuẩn nghiệm thu tab Toàn ngành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41"/>
        <w:gridCol w:w="5141"/>
      </w:tblGrid>
      <w:tr>
        <w:trPr>
          <w:tblHeader w:val="true"/>
        </w:trPr>
        <w:tc>
          <w:tcPr>
            <w:tcW w:type="dxa" w:w="2376"/>
            <w:shd w:fill="17365D"/>
            <w:vAlign w:val="center"/>
          </w:tcPr>
          <w:p>
            <w:pPr>
              <w:jc w:val="center"/>
            </w:pPr>
            <w:r>
              <w:rPr>
                <w:b/>
                <w:color w:val="FFFFFF"/>
                <w:sz w:val="18"/>
              </w:rPr>
              <w:t>Mục kiểm tra</w:t>
            </w:r>
          </w:p>
        </w:tc>
        <w:tc>
          <w:tcPr>
            <w:tcW w:type="dxa" w:w="7416"/>
            <w:shd w:fill="17365D"/>
            <w:vAlign w:val="center"/>
          </w:tcPr>
          <w:p>
            <w:pPr>
              <w:jc w:val="center"/>
            </w:pPr>
            <w:r>
              <w:rPr>
                <w:b/>
                <w:color w:val="FFFFFF"/>
                <w:sz w:val="18"/>
              </w:rPr>
              <w:t>Điều kiện đạt</w:t>
            </w:r>
          </w:p>
        </w:tc>
      </w:tr>
      <w:tr>
        <w:tc>
          <w:tcPr>
            <w:tcW w:type="dxa" w:w="2376"/>
            <w:vAlign w:val="center"/>
            <w:tcMar>
              <w:top w:w="100" w:type="dxa"/>
              <w:start w:w="110" w:type="dxa"/>
              <w:bottom w:w="100" w:type="dxa"/>
              <w:end w:w="110" w:type="dxa"/>
            </w:tcMar>
          </w:tcPr>
          <w:p>
            <w:pPr>
              <w:spacing w:after="0" w:line="252" w:lineRule="auto"/>
              <w:jc w:val="center"/>
            </w:pPr>
            <w:r>
              <w:rPr>
                <w:sz w:val="18"/>
              </w:rPr>
              <w:t>Độ phủ</w:t>
            </w:r>
          </w:p>
        </w:tc>
        <w:tc>
          <w:tcPr>
            <w:tcW w:type="dxa" w:w="7416"/>
            <w:vAlign w:val="center"/>
            <w:tcMar>
              <w:top w:w="100" w:type="dxa"/>
              <w:start w:w="110" w:type="dxa"/>
              <w:bottom w:w="100" w:type="dxa"/>
              <w:end w:w="110" w:type="dxa"/>
            </w:tcMar>
          </w:tcPr>
          <w:p>
            <w:pPr>
              <w:spacing w:after="0" w:line="252" w:lineRule="auto"/>
              <w:jc w:val="left"/>
            </w:pPr>
            <w:r>
              <w:rPr>
                <w:sz w:val="18"/>
              </w:rPr>
              <w:t>Mọi mã được đưa lên giao diện có đủ dữ liệu hợp lệ cho cả năm tiêu chí</w:t>
            </w:r>
          </w:p>
        </w:tc>
      </w:tr>
      <w:tr>
        <w:tc>
          <w:tcPr>
            <w:tcW w:type="dxa" w:w="2376"/>
            <w:shd w:fill="F3F7FB"/>
            <w:vAlign w:val="center"/>
            <w:tcMar>
              <w:top w:w="100" w:type="dxa"/>
              <w:start w:w="110" w:type="dxa"/>
              <w:bottom w:w="100" w:type="dxa"/>
              <w:end w:w="110" w:type="dxa"/>
            </w:tcMar>
          </w:tcPr>
          <w:p>
            <w:pPr>
              <w:spacing w:after="0" w:line="252" w:lineRule="auto"/>
              <w:jc w:val="center"/>
            </w:pPr>
            <w:r>
              <w:rPr>
                <w:sz w:val="18"/>
              </w:rPr>
              <w:t>Nhất quán kỳ</w:t>
            </w:r>
          </w:p>
        </w:tc>
        <w:tc>
          <w:tcPr>
            <w:tcW w:type="dxa" w:w="7416"/>
            <w:shd w:fill="F3F7FB"/>
            <w:vAlign w:val="center"/>
            <w:tcMar>
              <w:top w:w="100" w:type="dxa"/>
              <w:start w:w="110" w:type="dxa"/>
              <w:bottom w:w="100" w:type="dxa"/>
              <w:end w:w="110" w:type="dxa"/>
            </w:tcMar>
          </w:tcPr>
          <w:p>
            <w:pPr>
              <w:spacing w:after="0" w:line="252" w:lineRule="auto"/>
              <w:jc w:val="left"/>
            </w:pPr>
            <w:r>
              <w:rPr>
                <w:sz w:val="18"/>
              </w:rPr>
              <w:t>Không trộn quý độc lập với lũy kế hoặc TTM</w:t>
            </w:r>
          </w:p>
        </w:tc>
      </w:tr>
      <w:tr>
        <w:tc>
          <w:tcPr>
            <w:tcW w:type="dxa" w:w="2376"/>
            <w:vAlign w:val="center"/>
            <w:tcMar>
              <w:top w:w="100" w:type="dxa"/>
              <w:start w:w="110" w:type="dxa"/>
              <w:bottom w:w="100" w:type="dxa"/>
              <w:end w:w="110" w:type="dxa"/>
            </w:tcMar>
          </w:tcPr>
          <w:p>
            <w:pPr>
              <w:spacing w:after="0" w:line="252" w:lineRule="auto"/>
              <w:jc w:val="center"/>
            </w:pPr>
            <w:r>
              <w:rPr>
                <w:sz w:val="18"/>
              </w:rPr>
              <w:t>Nhất quán định nghĩa</w:t>
            </w:r>
          </w:p>
        </w:tc>
        <w:tc>
          <w:tcPr>
            <w:tcW w:type="dxa" w:w="7416"/>
            <w:vAlign w:val="center"/>
            <w:tcMar>
              <w:top w:w="100" w:type="dxa"/>
              <w:start w:w="110" w:type="dxa"/>
              <w:bottom w:w="100" w:type="dxa"/>
              <w:end w:w="110" w:type="dxa"/>
            </w:tcMar>
          </w:tcPr>
          <w:p>
            <w:pPr>
              <w:spacing w:after="0" w:line="252" w:lineRule="auto"/>
              <w:jc w:val="left"/>
            </w:pPr>
            <w:r>
              <w:rPr>
                <w:sz w:val="18"/>
              </w:rPr>
              <w:t>Doanh thu, EPS, VCSH và dự phòng sử dụng cùng định nghĩa qua kỳ so sánh</w:t>
            </w:r>
          </w:p>
        </w:tc>
      </w:tr>
      <w:tr>
        <w:tc>
          <w:tcPr>
            <w:tcW w:type="dxa" w:w="2376"/>
            <w:shd w:fill="F3F7FB"/>
            <w:vAlign w:val="center"/>
            <w:tcMar>
              <w:top w:w="100" w:type="dxa"/>
              <w:start w:w="110" w:type="dxa"/>
              <w:bottom w:w="100" w:type="dxa"/>
              <w:end w:w="110" w:type="dxa"/>
            </w:tcMar>
          </w:tcPr>
          <w:p>
            <w:pPr>
              <w:spacing w:after="0" w:line="252" w:lineRule="auto"/>
              <w:jc w:val="center"/>
            </w:pPr>
            <w:r>
              <w:rPr>
                <w:sz w:val="18"/>
              </w:rPr>
              <w:t>ABI</w:t>
            </w:r>
          </w:p>
        </w:tc>
        <w:tc>
          <w:tcPr>
            <w:tcW w:type="dxa" w:w="7416"/>
            <w:shd w:fill="F3F7FB"/>
            <w:vAlign w:val="center"/>
            <w:tcMar>
              <w:top w:w="100" w:type="dxa"/>
              <w:start w:w="110" w:type="dxa"/>
              <w:bottom w:w="100" w:type="dxa"/>
              <w:end w:w="110" w:type="dxa"/>
            </w:tcMar>
          </w:tcPr>
          <w:p>
            <w:pPr>
              <w:spacing w:after="0" w:line="252" w:lineRule="auto"/>
              <w:jc w:val="left"/>
            </w:pPr>
            <w:r>
              <w:rPr>
                <w:sz w:val="18"/>
              </w:rPr>
              <w:t>EPS được chuẩn hóa theo sự kiện cổ phiếu thực tế và kiểm tra được bằng số học</w:t>
            </w:r>
          </w:p>
        </w:tc>
      </w:tr>
      <w:tr>
        <w:tc>
          <w:tcPr>
            <w:tcW w:type="dxa" w:w="2376"/>
            <w:vAlign w:val="center"/>
            <w:tcMar>
              <w:top w:w="100" w:type="dxa"/>
              <w:start w:w="110" w:type="dxa"/>
              <w:bottom w:w="100" w:type="dxa"/>
              <w:end w:w="110" w:type="dxa"/>
            </w:tcMar>
          </w:tcPr>
          <w:p>
            <w:pPr>
              <w:spacing w:after="0" w:line="252" w:lineRule="auto"/>
              <w:jc w:val="center"/>
            </w:pPr>
            <w:r>
              <w:rPr>
                <w:sz w:val="18"/>
              </w:rPr>
              <w:t>BVH</w:t>
            </w:r>
          </w:p>
        </w:tc>
        <w:tc>
          <w:tcPr>
            <w:tcW w:type="dxa" w:w="7416"/>
            <w:vAlign w:val="center"/>
            <w:tcMar>
              <w:top w:w="100" w:type="dxa"/>
              <w:start w:w="110" w:type="dxa"/>
              <w:bottom w:w="100" w:type="dxa"/>
              <w:end w:w="110" w:type="dxa"/>
            </w:tcMar>
          </w:tcPr>
          <w:p>
            <w:pPr>
              <w:spacing w:after="0" w:line="252" w:lineRule="auto"/>
              <w:jc w:val="left"/>
            </w:pPr>
            <w:r>
              <w:rPr>
                <w:sz w:val="18"/>
              </w:rPr>
              <w:t>C5 dùng chuỗi sạch từ Q1 2023; không lấy nợ dài hạn thay dự phòng</w:t>
            </w:r>
          </w:p>
        </w:tc>
      </w:tr>
      <w:tr>
        <w:tc>
          <w:tcPr>
            <w:tcW w:type="dxa" w:w="2376"/>
            <w:shd w:fill="F3F7FB"/>
            <w:vAlign w:val="center"/>
            <w:tcMar>
              <w:top w:w="100" w:type="dxa"/>
              <w:start w:w="110" w:type="dxa"/>
              <w:bottom w:w="100" w:type="dxa"/>
              <w:end w:w="110" w:type="dxa"/>
            </w:tcMar>
          </w:tcPr>
          <w:p>
            <w:pPr>
              <w:spacing w:after="0" w:line="252" w:lineRule="auto"/>
              <w:jc w:val="center"/>
            </w:pPr>
            <w:r>
              <w:rPr>
                <w:sz w:val="18"/>
              </w:rPr>
              <w:t>Cổng an toàn vốn</w:t>
            </w:r>
          </w:p>
        </w:tc>
        <w:tc>
          <w:tcPr>
            <w:tcW w:type="dxa" w:w="7416"/>
            <w:shd w:fill="F3F7FB"/>
            <w:vAlign w:val="center"/>
            <w:tcMar>
              <w:top w:w="100" w:type="dxa"/>
              <w:start w:w="110" w:type="dxa"/>
              <w:bottom w:w="100" w:type="dxa"/>
              <w:end w:w="110" w:type="dxa"/>
            </w:tcMar>
          </w:tcPr>
          <w:p>
            <w:pPr>
              <w:spacing w:after="0" w:line="252" w:lineRule="auto"/>
              <w:jc w:val="left"/>
            </w:pPr>
            <w:r>
              <w:rPr>
                <w:sz w:val="18"/>
              </w:rPr>
              <w:t>Chưa áp trần 79 và 59 trong thang 50; VCSH không dương bị loại</w:t>
            </w:r>
          </w:p>
        </w:tc>
      </w:tr>
      <w:tr>
        <w:tc>
          <w:tcPr>
            <w:tcW w:type="dxa" w:w="2376"/>
            <w:vAlign w:val="center"/>
            <w:tcMar>
              <w:top w:w="100" w:type="dxa"/>
              <w:start w:w="110" w:type="dxa"/>
              <w:bottom w:w="100" w:type="dxa"/>
              <w:end w:w="110" w:type="dxa"/>
            </w:tcMar>
          </w:tcPr>
          <w:p>
            <w:pPr>
              <w:spacing w:after="0" w:line="252" w:lineRule="auto"/>
              <w:jc w:val="center"/>
            </w:pPr>
            <w:r>
              <w:rPr>
                <w:sz w:val="18"/>
              </w:rPr>
              <w:t>Giao diện</w:t>
            </w:r>
          </w:p>
        </w:tc>
        <w:tc>
          <w:tcPr>
            <w:tcW w:type="dxa" w:w="7416"/>
            <w:vAlign w:val="center"/>
            <w:tcMar>
              <w:top w:w="100" w:type="dxa"/>
              <w:start w:w="110" w:type="dxa"/>
              <w:bottom w:w="100" w:type="dxa"/>
              <w:end w:w="110" w:type="dxa"/>
            </w:tcMar>
          </w:tcPr>
          <w:p>
            <w:pPr>
              <w:spacing w:after="0" w:line="252" w:lineRule="auto"/>
              <w:jc w:val="left"/>
            </w:pPr>
            <w:r>
              <w:rPr>
                <w:sz w:val="18"/>
              </w:rPr>
              <w:t>Hiển thị giá trị phần trăm, điểm thành phần và tooltip công thức</w:t>
            </w:r>
          </w:p>
        </w:tc>
      </w:tr>
      <w:tr>
        <w:tc>
          <w:tcPr>
            <w:tcW w:type="dxa" w:w="2376"/>
            <w:shd w:fill="F3F7FB"/>
            <w:vAlign w:val="center"/>
            <w:tcMar>
              <w:top w:w="100" w:type="dxa"/>
              <w:start w:w="110" w:type="dxa"/>
              <w:bottom w:w="100" w:type="dxa"/>
              <w:end w:w="110" w:type="dxa"/>
            </w:tcMar>
          </w:tcPr>
          <w:p>
            <w:pPr>
              <w:spacing w:after="0" w:line="252" w:lineRule="auto"/>
              <w:jc w:val="center"/>
            </w:pPr>
            <w:r>
              <w:rPr>
                <w:sz w:val="18"/>
              </w:rPr>
              <w:t>Khả năng truy vết</w:t>
            </w:r>
          </w:p>
        </w:tc>
        <w:tc>
          <w:tcPr>
            <w:tcW w:type="dxa" w:w="7416"/>
            <w:shd w:fill="F3F7FB"/>
            <w:vAlign w:val="center"/>
            <w:tcMar>
              <w:top w:w="100" w:type="dxa"/>
              <w:start w:w="110" w:type="dxa"/>
              <w:bottom w:w="100" w:type="dxa"/>
              <w:end w:w="110" w:type="dxa"/>
            </w:tcMar>
          </w:tcPr>
          <w:p>
            <w:pPr>
              <w:spacing w:after="0" w:line="252" w:lineRule="auto"/>
              <w:jc w:val="left"/>
            </w:pPr>
            <w:r>
              <w:rPr>
                <w:sz w:val="18"/>
              </w:rPr>
              <w:t>Có thể quay lại số liệu gốc và nguồn của từng điểm</w:t>
            </w:r>
          </w:p>
        </w:tc>
      </w:tr>
    </w:tbl>
    <w:p>
      <w:pPr>
        <w:spacing w:after="0"/>
      </w:pPr>
    </w:p>
    <w:p>
      <w:pPr>
        <w:pStyle w:val="Heading1"/>
        <w:keepNext/>
      </w:pPr>
      <w:r>
        <w:t>13 Những việc chưa thuộc phạm vi phê duyệt lần này</w:t>
      </w:r>
    </w:p>
    <w:p>
      <w:pPr>
        <w:pStyle w:val="ListBullet"/>
      </w:pPr>
      <w:r>
        <w:t>Combined ratio, loss ratio, expense ratio và biên khai thác riêng của phi nhân thọ.</w:t>
      </w:r>
    </w:p>
    <w:p>
      <w:pPr>
        <w:pStyle w:val="ListBullet"/>
      </w:pPr>
      <w:r>
        <w:t>Các chỉ tiêu APE, VNB, EV, persistency riêng của nhân thọ.</w:t>
      </w:r>
    </w:p>
    <w:p>
      <w:pPr>
        <w:pStyle w:val="ListBullet"/>
      </w:pPr>
      <w:r>
        <w:t>Các chỉ tiêu retrocession, hiệu quả nhận và nhượng tái bảo hiểm.</w:t>
      </w:r>
    </w:p>
    <w:p>
      <w:pPr>
        <w:pStyle w:val="ListBullet"/>
      </w:pPr>
      <w:r>
        <w:t>Cơ cấu lợi nhuận và hiệu quả từng mảng của holding hỗn hợp.</w:t>
      </w:r>
    </w:p>
    <w:p>
      <w:pPr>
        <w:pStyle w:val="ListBullet"/>
      </w:pPr>
      <w:r>
        <w:t>Ngưỡng cổng an toàn vốn tuyệt đối theo từng mô hình.</w:t>
      </w:r>
    </w:p>
    <w:p>
      <w:pPr>
        <w:pStyle w:val="ListBullet"/>
      </w:pPr>
      <w:r>
        <w:t>Áp trần tổng điểm 79 hoặc 59 trên thang 100.</w:t>
      </w:r>
    </w:p>
    <w:p>
      <w:pPr>
        <w:pStyle w:val="ListBullet"/>
      </w:pPr>
      <w:r>
        <w:t>Định giá, dòng tiền thị trường, thanh khoản và tín hiệu kỹ thuật.</w:t>
      </w:r>
    </w:p>
    <w:p>
      <w:pPr>
        <w:pStyle w:val="BodyText"/>
      </w:pPr>
      <w:r>
        <w:t>Những nội dung trên chỉ được triển khai sau khi tab Toàn ngành được nghiệm thu. Khi xây 50 điểm chuyên sâu, nhóm nghiệp vụ phải kiểm tra lại nguy cơ trùng điểm với năm tiêu chí chung trước khi hợp nhất.</w:t>
      </w:r>
    </w:p>
    <w:p>
      <w:pPr>
        <w:pStyle w:val="Heading1"/>
        <w:keepNext/>
      </w:pPr>
      <w:r>
        <w:t>14 Kết luận và quyết định triển khai</w:t>
      </w:r>
    </w:p>
    <w:p>
      <w:pPr>
        <w:pStyle w:val="BodyText"/>
      </w:pPr>
      <w:r>
        <w:t>IT triển khai trước lớp 50 điểm chung gồm EPS YoY, số quý EPS tăng trưởng, doanh thu bảo hiểm YoY, ROE và xu hướng đệm vốn. Đây là lớp kiểm tra nền tảng, chưa phải bảng đánh giá cuối cùng của doanh nghiệp bảo hiểm.</w:t>
      </w:r>
    </w:p>
    <w:p>
      <w:pPr>
        <w:pStyle w:val="BodyText"/>
      </w:pPr>
      <w:r>
        <w:t>ABI được xử lý bằng chuẩn hóa EPS theo sự kiện cổ phiếu thực tế. BVH được chấm C5 bằng chuỗi sạch từ Q1 2023 và không bị chặn bởi dữ liệu lịch sử trước năm 2022. Cổng an toàn vốn chưa áp trần trong thang 50; chỉ loại ngay khi VCSH không dương.</w:t>
      </w:r>
    </w:p>
    <w:p>
      <w:pPr>
        <w:pStyle w:val="BodyText"/>
      </w:pPr>
      <w:r>
        <w:t>Sau khi IT và BA xác nhận năm tiêu chí hoạt động ổn định trên toàn bộ danh sách mã, dự án mới chuyển sang xây 50 điểm chuyên sâu theo từng loại hình. BA là đầu mối hợp nhất hai lớp thành bảng tổng kết 100 điểm cho toàn ngành bảo hiểm.</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ptos" w:hAnsi="Aptos" w:eastAsia="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