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before="560" w:after="200"/>
        <w:jc w:val="left"/>
      </w:pPr>
      <w:r>
        <w:rPr>
          <w:rFonts w:ascii="Aptos" w:hAnsi="Aptos" w:eastAsia="Aptos"/>
          <w:b/>
          <w:i w:val="0"/>
          <w:color w:val="000000"/>
          <w:sz w:val="50"/>
        </w:rPr>
        <w:t>Đặc tả kiểm tra dữ liệu 5 tiêu chí Toàn ngành Bảo hiểm</w:t>
      </w:r>
    </w:p>
    <w:p>
      <w:pPr>
        <w:spacing w:after="360"/>
      </w:pPr>
      <w:r>
        <w:rPr>
          <w:rFonts w:ascii="Aptos" w:hAnsi="Aptos" w:eastAsia="Aptos"/>
          <w:b w:val="0"/>
          <w:i w:val="0"/>
          <w:color w:val="404040"/>
          <w:sz w:val="26"/>
        </w:rPr>
        <w:t>Tài liệu giao IT kiểm tra khả năng lấy và tính dữ liệu trước khi xây dựng bộ chấm điểm theo từng loại hình</w:t>
      </w:r>
    </w:p>
    <w:tbl>
      <w:tblPr>
        <w:tblW w:type="auto" w:w="0"/>
        <w:jc w:val="center"/>
        <w:tblLayout w:type="fixed"/>
        <w:tblLook w:firstColumn="1" w:firstRow="1" w:lastColumn="0" w:lastRow="0" w:noHBand="0" w:noVBand="1" w:val="04A0"/>
      </w:tblPr>
      <w:tblGrid>
        <w:gridCol w:w="5112"/>
        <w:gridCol w:w="5112"/>
      </w:tblGrid>
      <w:tr>
        <w:trPr>
          <w:tblHeader w:val="true"/>
        </w:trPr>
        <w:tc>
          <w:tcPr>
            <w:tcW w:type="dxa" w:w="1944"/>
            <w:shd w:fill="17365D"/>
            <w:tcMar>
              <w:top w:w="100" w:type="dxa"/>
              <w:start w:w="110" w:type="dxa"/>
              <w:bottom w:w="100" w:type="dxa"/>
              <w:end w:w="110" w:type="dxa"/>
            </w:tcMar>
            <w:tcBorders>
              <w:top w:val="single" w:sz="6" w:color="D9D9D9"/>
              <w:start w:val="single" w:sz="6" w:color="D9D9D9"/>
              <w:bottom w:val="single" w:sz="6" w:color="D9D9D9"/>
              <w:end w:val="single" w:sz="6" w:color="D9D9D9"/>
              <w:insideH w:val="single" w:sz="6" w:color="D9D9D9"/>
              <w:insideV w:val="single" w:sz="6" w:color="D9D9D9"/>
            </w:tcBorders>
            <w:vAlign w:val="center"/>
          </w:tcPr>
          <w:p>
            <w:pPr>
              <w:spacing w:after="0"/>
              <w:jc w:val="center"/>
            </w:pPr>
            <w:r>
              <w:rPr>
                <w:rFonts w:ascii="Aptos" w:hAnsi="Aptos" w:eastAsia="Aptos"/>
                <w:b/>
                <w:i w:val="0"/>
                <w:color w:val="FFFFFF"/>
                <w:sz w:val="18"/>
              </w:rPr>
              <w:t>Thuộc tính</w:t>
            </w:r>
          </w:p>
        </w:tc>
        <w:tc>
          <w:tcPr>
            <w:tcW w:type="dxa" w:w="7992"/>
            <w:shd w:fill="17365D"/>
            <w:tcMar>
              <w:top w:w="100" w:type="dxa"/>
              <w:start w:w="110" w:type="dxa"/>
              <w:bottom w:w="100" w:type="dxa"/>
              <w:end w:w="110" w:type="dxa"/>
            </w:tcMar>
            <w:tcBorders>
              <w:top w:val="single" w:sz="6" w:color="D9D9D9"/>
              <w:start w:val="single" w:sz="6" w:color="D9D9D9"/>
              <w:bottom w:val="single" w:sz="6" w:color="D9D9D9"/>
              <w:end w:val="single" w:sz="6" w:color="D9D9D9"/>
              <w:insideH w:val="single" w:sz="6" w:color="D9D9D9"/>
              <w:insideV w:val="single" w:sz="6" w:color="D9D9D9"/>
            </w:tcBorders>
            <w:vAlign w:val="center"/>
          </w:tcPr>
          <w:p>
            <w:pPr>
              <w:spacing w:after="0"/>
              <w:jc w:val="center"/>
            </w:pPr>
            <w:r>
              <w:rPr>
                <w:rFonts w:ascii="Aptos" w:hAnsi="Aptos" w:eastAsia="Aptos"/>
                <w:b/>
                <w:i w:val="0"/>
                <w:color w:val="FFFFFF"/>
                <w:sz w:val="18"/>
              </w:rPr>
              <w:t>Nội dung</w:t>
            </w:r>
          </w:p>
        </w:tc>
      </w:tr>
      <w:tr>
        <w:tc>
          <w:tcPr>
            <w:tcW w:type="dxa" w:w="1944"/>
            <w:tcMar>
              <w:top w:w="100" w:type="dxa"/>
              <w:start w:w="110" w:type="dxa"/>
              <w:bottom w:w="100" w:type="dxa"/>
              <w:end w:w="110" w:type="dxa"/>
            </w:tcMar>
            <w:tcBorders>
              <w:top w:val="single" w:sz="6" w:color="D9D9D9"/>
              <w:start w:val="single" w:sz="6" w:color="D9D9D9"/>
              <w:bottom w:val="single" w:sz="6" w:color="D9D9D9"/>
              <w:end w:val="single" w:sz="6" w:color="D9D9D9"/>
              <w:insideH w:val="single" w:sz="6" w:color="D9D9D9"/>
              <w:insideV w:val="single" w:sz="6" w:color="D9D9D9"/>
            </w:tcBorders>
            <w:vAlign w:val="center"/>
          </w:tcPr>
          <w:p>
            <w:pPr>
              <w:spacing w:after="0" w:line="252" w:lineRule="auto"/>
              <w:jc w:val="center"/>
            </w:pPr>
            <w:r>
              <w:rPr>
                <w:rFonts w:ascii="Aptos" w:hAnsi="Aptos" w:eastAsia="Aptos"/>
                <w:b w:val="0"/>
                <w:i w:val="0"/>
                <w:color w:val="000000"/>
                <w:sz w:val="19"/>
              </w:rPr>
              <w:t>Mục đích</w:t>
            </w:r>
          </w:p>
        </w:tc>
        <w:tc>
          <w:tcPr>
            <w:tcW w:type="dxa" w:w="7992"/>
            <w:tcMar>
              <w:top w:w="100" w:type="dxa"/>
              <w:start w:w="110" w:type="dxa"/>
              <w:bottom w:w="100" w:type="dxa"/>
              <w:end w:w="110" w:type="dxa"/>
            </w:tcMar>
            <w:tcBorders>
              <w:top w:val="single" w:sz="6" w:color="D9D9D9"/>
              <w:start w:val="single" w:sz="6" w:color="D9D9D9"/>
              <w:bottom w:val="single" w:sz="6" w:color="D9D9D9"/>
              <w:end w:val="single" w:sz="6" w:color="D9D9D9"/>
              <w:insideH w:val="single" w:sz="6" w:color="D9D9D9"/>
              <w:insideV w:val="single" w:sz="6" w:color="D9D9D9"/>
            </w:tcBorders>
            <w:vAlign w:val="center"/>
          </w:tcPr>
          <w:p>
            <w:pPr>
              <w:spacing w:after="0" w:line="252" w:lineRule="auto"/>
              <w:jc w:val="left"/>
            </w:pPr>
            <w:r>
              <w:rPr>
                <w:rFonts w:ascii="Aptos" w:hAnsi="Aptos" w:eastAsia="Aptos"/>
                <w:b w:val="0"/>
                <w:i w:val="0"/>
                <w:color w:val="000000"/>
                <w:sz w:val="19"/>
              </w:rPr>
              <w:t>Kiểm tra dữ liệu nguồn, công thức và độ phủ của 5 tiêu chí chung trên toàn bộ doanh nghiệp bảo hiểm.</w:t>
            </w:r>
          </w:p>
        </w:tc>
      </w:tr>
      <w:tr>
        <w:tc>
          <w:tcPr>
            <w:tcW w:type="dxa" w:w="1944"/>
            <w:shd w:fill="F4F7FA"/>
            <w:tcMar>
              <w:top w:w="100" w:type="dxa"/>
              <w:start w:w="110" w:type="dxa"/>
              <w:bottom w:w="100" w:type="dxa"/>
              <w:end w:w="110" w:type="dxa"/>
            </w:tcMar>
            <w:tcBorders>
              <w:top w:val="single" w:sz="6" w:color="D9D9D9"/>
              <w:start w:val="single" w:sz="6" w:color="D9D9D9"/>
              <w:bottom w:val="single" w:sz="6" w:color="D9D9D9"/>
              <w:end w:val="single" w:sz="6" w:color="D9D9D9"/>
              <w:insideH w:val="single" w:sz="6" w:color="D9D9D9"/>
              <w:insideV w:val="single" w:sz="6" w:color="D9D9D9"/>
            </w:tcBorders>
            <w:vAlign w:val="center"/>
          </w:tcPr>
          <w:p>
            <w:pPr>
              <w:spacing w:after="0" w:line="252" w:lineRule="auto"/>
              <w:jc w:val="center"/>
            </w:pPr>
            <w:r>
              <w:rPr>
                <w:rFonts w:ascii="Aptos" w:hAnsi="Aptos" w:eastAsia="Aptos"/>
                <w:b w:val="0"/>
                <w:i w:val="0"/>
                <w:color w:val="000000"/>
                <w:sz w:val="19"/>
              </w:rPr>
              <w:t>Phạm vi</w:t>
            </w:r>
          </w:p>
        </w:tc>
        <w:tc>
          <w:tcPr>
            <w:tcW w:type="dxa" w:w="7992"/>
            <w:shd w:fill="F4F7FA"/>
            <w:tcMar>
              <w:top w:w="100" w:type="dxa"/>
              <w:start w:w="110" w:type="dxa"/>
              <w:bottom w:w="100" w:type="dxa"/>
              <w:end w:w="110" w:type="dxa"/>
            </w:tcMar>
            <w:tcBorders>
              <w:top w:val="single" w:sz="6" w:color="D9D9D9"/>
              <w:start w:val="single" w:sz="6" w:color="D9D9D9"/>
              <w:bottom w:val="single" w:sz="6" w:color="D9D9D9"/>
              <w:end w:val="single" w:sz="6" w:color="D9D9D9"/>
              <w:insideH w:val="single" w:sz="6" w:color="D9D9D9"/>
              <w:insideV w:val="single" w:sz="6" w:color="D9D9D9"/>
            </w:tcBorders>
            <w:vAlign w:val="center"/>
          </w:tcPr>
          <w:p>
            <w:pPr>
              <w:spacing w:after="0" w:line="252" w:lineRule="auto"/>
              <w:jc w:val="left"/>
            </w:pPr>
            <w:r>
              <w:rPr>
                <w:rFonts w:ascii="Aptos" w:hAnsi="Aptos" w:eastAsia="Aptos"/>
                <w:b w:val="0"/>
                <w:i w:val="0"/>
                <w:color w:val="000000"/>
                <w:sz w:val="19"/>
              </w:rPr>
              <w:t>Tab Toàn ngành; chưa triển khai sâu Phi nhân thọ, Tái bảo hiểm, Holding/Hỗn hợp và Nhân thọ.</w:t>
            </w:r>
          </w:p>
        </w:tc>
      </w:tr>
      <w:tr>
        <w:tc>
          <w:tcPr>
            <w:tcW w:type="dxa" w:w="1944"/>
            <w:tcMar>
              <w:top w:w="100" w:type="dxa"/>
              <w:start w:w="110" w:type="dxa"/>
              <w:bottom w:w="100" w:type="dxa"/>
              <w:end w:w="110" w:type="dxa"/>
            </w:tcMar>
            <w:tcBorders>
              <w:top w:val="single" w:sz="6" w:color="D9D9D9"/>
              <w:start w:val="single" w:sz="6" w:color="D9D9D9"/>
              <w:bottom w:val="single" w:sz="6" w:color="D9D9D9"/>
              <w:end w:val="single" w:sz="6" w:color="D9D9D9"/>
              <w:insideH w:val="single" w:sz="6" w:color="D9D9D9"/>
              <w:insideV w:val="single" w:sz="6" w:color="D9D9D9"/>
            </w:tcBorders>
            <w:vAlign w:val="center"/>
          </w:tcPr>
          <w:p>
            <w:pPr>
              <w:spacing w:after="0" w:line="252" w:lineRule="auto"/>
              <w:jc w:val="center"/>
            </w:pPr>
            <w:r>
              <w:rPr>
                <w:rFonts w:ascii="Aptos" w:hAnsi="Aptos" w:eastAsia="Aptos"/>
                <w:b w:val="0"/>
                <w:i w:val="0"/>
                <w:color w:val="000000"/>
                <w:sz w:val="19"/>
              </w:rPr>
              <w:t>Nguồn dữ liệu</w:t>
            </w:r>
          </w:p>
        </w:tc>
        <w:tc>
          <w:tcPr>
            <w:tcW w:type="dxa" w:w="7992"/>
            <w:tcMar>
              <w:top w:w="100" w:type="dxa"/>
              <w:start w:w="110" w:type="dxa"/>
              <w:bottom w:w="100" w:type="dxa"/>
              <w:end w:w="110" w:type="dxa"/>
            </w:tcMar>
            <w:tcBorders>
              <w:top w:val="single" w:sz="6" w:color="D9D9D9"/>
              <w:start w:val="single" w:sz="6" w:color="D9D9D9"/>
              <w:bottom w:val="single" w:sz="6" w:color="D9D9D9"/>
              <w:end w:val="single" w:sz="6" w:color="D9D9D9"/>
              <w:insideH w:val="single" w:sz="6" w:color="D9D9D9"/>
              <w:insideV w:val="single" w:sz="6" w:color="D9D9D9"/>
            </w:tcBorders>
            <w:vAlign w:val="center"/>
          </w:tcPr>
          <w:p>
            <w:pPr>
              <w:spacing w:after="0" w:line="252" w:lineRule="auto"/>
              <w:jc w:val="left"/>
            </w:pPr>
            <w:r>
              <w:rPr>
                <w:rFonts w:ascii="Aptos" w:hAnsi="Aptos" w:eastAsia="Aptos"/>
                <w:b w:val="0"/>
                <w:i w:val="0"/>
                <w:color w:val="000000"/>
                <w:sz w:val="19"/>
              </w:rPr>
              <w:t>Chỉ sử dụng BCTC hợp nhất và thuyết minh BCTC; EPS dùng bộ dữ liệu chuẩn hóa đã thống nhất.</w:t>
            </w:r>
          </w:p>
        </w:tc>
      </w:tr>
      <w:tr>
        <w:tc>
          <w:tcPr>
            <w:tcW w:type="dxa" w:w="1944"/>
            <w:shd w:fill="F4F7FA"/>
            <w:tcMar>
              <w:top w:w="100" w:type="dxa"/>
              <w:start w:w="110" w:type="dxa"/>
              <w:bottom w:w="100" w:type="dxa"/>
              <w:end w:w="110" w:type="dxa"/>
            </w:tcMar>
            <w:tcBorders>
              <w:top w:val="single" w:sz="6" w:color="D9D9D9"/>
              <w:start w:val="single" w:sz="6" w:color="D9D9D9"/>
              <w:bottom w:val="single" w:sz="6" w:color="D9D9D9"/>
              <w:end w:val="single" w:sz="6" w:color="D9D9D9"/>
              <w:insideH w:val="single" w:sz="6" w:color="D9D9D9"/>
              <w:insideV w:val="single" w:sz="6" w:color="D9D9D9"/>
            </w:tcBorders>
            <w:vAlign w:val="center"/>
          </w:tcPr>
          <w:p>
            <w:pPr>
              <w:spacing w:after="0" w:line="252" w:lineRule="auto"/>
              <w:jc w:val="center"/>
            </w:pPr>
            <w:r>
              <w:rPr>
                <w:rFonts w:ascii="Aptos" w:hAnsi="Aptos" w:eastAsia="Aptos"/>
                <w:b w:val="0"/>
                <w:i w:val="0"/>
                <w:color w:val="000000"/>
                <w:sz w:val="19"/>
              </w:rPr>
              <w:t>Giai đoạn dữ liệu</w:t>
            </w:r>
          </w:p>
        </w:tc>
        <w:tc>
          <w:tcPr>
            <w:tcW w:type="dxa" w:w="7992"/>
            <w:shd w:fill="F4F7FA"/>
            <w:tcMar>
              <w:top w:w="100" w:type="dxa"/>
              <w:start w:w="110" w:type="dxa"/>
              <w:bottom w:w="100" w:type="dxa"/>
              <w:end w:w="110" w:type="dxa"/>
            </w:tcMar>
            <w:tcBorders>
              <w:top w:val="single" w:sz="6" w:color="D9D9D9"/>
              <w:start w:val="single" w:sz="6" w:color="D9D9D9"/>
              <w:bottom w:val="single" w:sz="6" w:color="D9D9D9"/>
              <w:end w:val="single" w:sz="6" w:color="D9D9D9"/>
              <w:insideH w:val="single" w:sz="6" w:color="D9D9D9"/>
              <w:insideV w:val="single" w:sz="6" w:color="D9D9D9"/>
            </w:tcBorders>
            <w:vAlign w:val="center"/>
          </w:tcPr>
          <w:p>
            <w:pPr>
              <w:spacing w:after="0" w:line="252" w:lineRule="auto"/>
              <w:jc w:val="left"/>
            </w:pPr>
            <w:r>
              <w:rPr>
                <w:rFonts w:ascii="Aptos" w:hAnsi="Aptos" w:eastAsia="Aptos"/>
                <w:b w:val="0"/>
                <w:i w:val="0"/>
                <w:color w:val="000000"/>
                <w:sz w:val="19"/>
              </w:rPr>
              <w:t>20 quý liên tiếp gần nhất cho mỗi doanh nghiệp, gồm quý đánh giá.</w:t>
            </w:r>
          </w:p>
        </w:tc>
      </w:tr>
      <w:tr>
        <w:tc>
          <w:tcPr>
            <w:tcW w:type="dxa" w:w="1944"/>
            <w:tcMar>
              <w:top w:w="100" w:type="dxa"/>
              <w:start w:w="110" w:type="dxa"/>
              <w:bottom w:w="100" w:type="dxa"/>
              <w:end w:w="110" w:type="dxa"/>
            </w:tcMar>
            <w:tcBorders>
              <w:top w:val="single" w:sz="6" w:color="D9D9D9"/>
              <w:start w:val="single" w:sz="6" w:color="D9D9D9"/>
              <w:bottom w:val="single" w:sz="6" w:color="D9D9D9"/>
              <w:end w:val="single" w:sz="6" w:color="D9D9D9"/>
              <w:insideH w:val="single" w:sz="6" w:color="D9D9D9"/>
              <w:insideV w:val="single" w:sz="6" w:color="D9D9D9"/>
            </w:tcBorders>
            <w:vAlign w:val="center"/>
          </w:tcPr>
          <w:p>
            <w:pPr>
              <w:spacing w:after="0" w:line="252" w:lineRule="auto"/>
              <w:jc w:val="center"/>
            </w:pPr>
            <w:r>
              <w:rPr>
                <w:rFonts w:ascii="Aptos" w:hAnsi="Aptos" w:eastAsia="Aptos"/>
                <w:b w:val="0"/>
                <w:i w:val="0"/>
                <w:color w:val="000000"/>
                <w:sz w:val="19"/>
              </w:rPr>
              <w:t>Đầu ra IT</w:t>
            </w:r>
          </w:p>
        </w:tc>
        <w:tc>
          <w:tcPr>
            <w:tcW w:type="dxa" w:w="7992"/>
            <w:tcMar>
              <w:top w:w="100" w:type="dxa"/>
              <w:start w:w="110" w:type="dxa"/>
              <w:bottom w:w="100" w:type="dxa"/>
              <w:end w:w="110" w:type="dxa"/>
            </w:tcMar>
            <w:tcBorders>
              <w:top w:val="single" w:sz="6" w:color="D9D9D9"/>
              <w:start w:val="single" w:sz="6" w:color="D9D9D9"/>
              <w:bottom w:val="single" w:sz="6" w:color="D9D9D9"/>
              <w:end w:val="single" w:sz="6" w:color="D9D9D9"/>
              <w:insideH w:val="single" w:sz="6" w:color="D9D9D9"/>
              <w:insideV w:val="single" w:sz="6" w:color="D9D9D9"/>
            </w:tcBorders>
            <w:vAlign w:val="center"/>
          </w:tcPr>
          <w:p>
            <w:pPr>
              <w:spacing w:after="0" w:line="252" w:lineRule="auto"/>
              <w:jc w:val="left"/>
            </w:pPr>
            <w:r>
              <w:rPr>
                <w:rFonts w:ascii="Aptos" w:hAnsi="Aptos" w:eastAsia="Aptos"/>
                <w:b w:val="0"/>
                <w:i w:val="0"/>
                <w:color w:val="000000"/>
                <w:sz w:val="19"/>
              </w:rPr>
              <w:t>Coverage matrix, data dictionary, dữ liệu thô, dữ liệu tính lại, danh sách ngoại lệ và kết luận có/không đủ điều kiện triển khai.</w:t>
            </w:r>
          </w:p>
        </w:tc>
      </w:tr>
      <w:tr>
        <w:tc>
          <w:tcPr>
            <w:tcW w:type="dxa" w:w="1944"/>
            <w:shd w:fill="F4F7FA"/>
            <w:tcMar>
              <w:top w:w="100" w:type="dxa"/>
              <w:start w:w="110" w:type="dxa"/>
              <w:bottom w:w="100" w:type="dxa"/>
              <w:end w:w="110" w:type="dxa"/>
            </w:tcMar>
            <w:tcBorders>
              <w:top w:val="single" w:sz="6" w:color="D9D9D9"/>
              <w:start w:val="single" w:sz="6" w:color="D9D9D9"/>
              <w:bottom w:val="single" w:sz="6" w:color="D9D9D9"/>
              <w:end w:val="single" w:sz="6" w:color="D9D9D9"/>
              <w:insideH w:val="single" w:sz="6" w:color="D9D9D9"/>
              <w:insideV w:val="single" w:sz="6" w:color="D9D9D9"/>
            </w:tcBorders>
            <w:vAlign w:val="center"/>
          </w:tcPr>
          <w:p>
            <w:pPr>
              <w:spacing w:after="0" w:line="252" w:lineRule="auto"/>
              <w:jc w:val="center"/>
            </w:pPr>
            <w:r>
              <w:rPr>
                <w:rFonts w:ascii="Aptos" w:hAnsi="Aptos" w:eastAsia="Aptos"/>
                <w:b w:val="0"/>
                <w:i w:val="0"/>
                <w:color w:val="000000"/>
                <w:sz w:val="19"/>
              </w:rPr>
              <w:t>Trạng thái tài liệu</w:t>
            </w:r>
          </w:p>
        </w:tc>
        <w:tc>
          <w:tcPr>
            <w:tcW w:type="dxa" w:w="7992"/>
            <w:shd w:fill="F4F7FA"/>
            <w:tcMar>
              <w:top w:w="100" w:type="dxa"/>
              <w:start w:w="110" w:type="dxa"/>
              <w:bottom w:w="100" w:type="dxa"/>
              <w:end w:w="110" w:type="dxa"/>
            </w:tcMar>
            <w:tcBorders>
              <w:top w:val="single" w:sz="6" w:color="D9D9D9"/>
              <w:start w:val="single" w:sz="6" w:color="D9D9D9"/>
              <w:bottom w:val="single" w:sz="6" w:color="D9D9D9"/>
              <w:end w:val="single" w:sz="6" w:color="D9D9D9"/>
              <w:insideH w:val="single" w:sz="6" w:color="D9D9D9"/>
              <w:insideV w:val="single" w:sz="6" w:color="D9D9D9"/>
            </w:tcBorders>
            <w:vAlign w:val="center"/>
          </w:tcPr>
          <w:p>
            <w:pPr>
              <w:spacing w:after="0" w:line="252" w:lineRule="auto"/>
              <w:jc w:val="left"/>
            </w:pPr>
            <w:r>
              <w:rPr>
                <w:rFonts w:ascii="Aptos" w:hAnsi="Aptos" w:eastAsia="Aptos"/>
                <w:b w:val="0"/>
                <w:i w:val="0"/>
                <w:color w:val="000000"/>
                <w:sz w:val="19"/>
              </w:rPr>
              <w:t>Đặc tả kiểm tra dữ liệu; chưa phải đặc tả giao diện và chưa phải bảng điểm sản xuất.</w:t>
            </w:r>
          </w:p>
        </w:tc>
      </w:tr>
    </w:tbl>
    <w:p>
      <w:pPr>
        <w:spacing w:after="20"/>
      </w:pPr>
    </w:p>
    <w:p>
      <w:pPr>
        <w:pStyle w:val="Heading2"/>
        <w:keepNext/>
        <w:spacing w:after="100" w:line="269" w:lineRule="auto"/>
      </w:pPr>
      <w:r>
        <w:rPr>
          <w:rFonts w:ascii="Aptos" w:hAnsi="Aptos" w:eastAsia="Aptos"/>
          <w:b w:val="0"/>
          <w:i w:val="0"/>
          <w:color w:val="000000"/>
          <w:sz w:val="21"/>
        </w:rPr>
        <w:t>Kết luận cần thống nhất trước khi bắt đầu</w:t>
      </w:r>
    </w:p>
    <w:p>
      <w:pPr>
        <w:spacing w:after="100" w:line="269" w:lineRule="auto"/>
      </w:pPr>
      <w:r>
        <w:rPr>
          <w:rFonts w:ascii="Aptos" w:hAnsi="Aptos" w:eastAsia="Aptos"/>
          <w:b/>
          <w:i w:val="0"/>
          <w:color w:val="000000"/>
          <w:sz w:val="21"/>
        </w:rPr>
        <w:t>IT chưa xây giao diện và chưa đưa điểm lên hệ thống.</w:t>
      </w:r>
      <w:r>
        <w:rPr>
          <w:rFonts w:ascii="Aptos" w:hAnsi="Aptos" w:eastAsia="Aptos"/>
          <w:b w:val="0"/>
          <w:i w:val="0"/>
          <w:color w:val="000000"/>
          <w:sz w:val="21"/>
        </w:rPr>
        <w:t xml:space="preserve"> Việc đầu tiên là chứng minh rằng cả 5 chỉ tiêu có thể lấy hoặc tính lại nhất quán cho 100% mã và 20 quý kiểm tra. Nếu một trường dữ liệu không đạt, IT phải báo FAIL và nguyên nhân; tuyệt đối không điền 0, không suy đoán và không để N/A trong sản phẩm cuối.</w:t>
      </w:r>
    </w:p>
    <w:p>
      <w:r>
        <w:br w:type="page"/>
      </w:r>
    </w:p>
    <w:p>
      <w:pPr>
        <w:pStyle w:val="Heading1"/>
        <w:keepNext/>
        <w:spacing w:before="200" w:after="100"/>
      </w:pPr>
      <w:r>
        <w:rPr>
          <w:rFonts w:ascii="Aptos" w:hAnsi="Aptos" w:eastAsia="Aptos"/>
          <w:b/>
          <w:i w:val="0"/>
          <w:color w:val="000000"/>
          <w:sz w:val="30"/>
        </w:rPr>
        <w:t>1 Mục tiêu nghiệp vụ và phạm vi kiểm tra</w:t>
      </w:r>
    </w:p>
    <w:p>
      <w:pPr>
        <w:spacing w:after="100" w:line="269" w:lineRule="auto"/>
      </w:pPr>
      <w:r>
        <w:rPr>
          <w:rFonts w:ascii="Aptos" w:hAnsi="Aptos" w:eastAsia="Aptos"/>
          <w:b w:val="0"/>
          <w:i w:val="0"/>
          <w:color w:val="000000"/>
          <w:sz w:val="21"/>
        </w:rPr>
        <w:t>Tab Toàn ngành là lớp kiểm tra chung trước khi đi sâu vào công thức đặc thù của từng mô hình bảo hiểm. Năm tiêu chí được thiết kế để trả lời lần lượt: lợi nhuận đang tăng nhanh không, tăng trưởng có liên tục không, quy mô nghiệp vụ có mở rộng không, vốn được sử dụng hiệu quả không và nền vốn có theo kịp nghĩa vụ bảo hiểm không.</w:t>
      </w:r>
    </w:p>
    <w:p>
      <w:pPr>
        <w:pStyle w:val="Heading2"/>
        <w:keepNext/>
        <w:spacing w:before="140" w:after="100"/>
      </w:pPr>
      <w:r>
        <w:rPr>
          <w:rFonts w:ascii="Aptos" w:hAnsi="Aptos" w:eastAsia="Aptos"/>
          <w:b/>
          <w:i w:val="0"/>
          <w:color w:val="000000"/>
          <w:sz w:val="24"/>
        </w:rPr>
        <w:t>1.1 Năm tiêu chí và trọng số</w:t>
      </w:r>
    </w:p>
    <w:tbl>
      <w:tblPr>
        <w:tblW w:type="auto" w:w="0"/>
        <w:jc w:val="center"/>
        <w:tblLayout w:type="fixed"/>
        <w:tblLook w:firstColumn="1" w:firstRow="1" w:lastColumn="0" w:lastRow="0" w:noHBand="0" w:noVBand="1" w:val="04A0"/>
      </w:tblPr>
      <w:tblGrid>
        <w:gridCol w:w="2556"/>
        <w:gridCol w:w="2556"/>
        <w:gridCol w:w="2556"/>
        <w:gridCol w:w="2556"/>
      </w:tblGrid>
      <w:tr>
        <w:trPr>
          <w:tblHeader w:val="true"/>
        </w:trPr>
        <w:tc>
          <w:tcPr>
            <w:tcW w:type="dxa" w:w="605"/>
            <w:shd w:fill="17365D"/>
            <w:tcMar>
              <w:top w:w="100" w:type="dxa"/>
              <w:start w:w="110" w:type="dxa"/>
              <w:bottom w:w="100" w:type="dxa"/>
              <w:end w:w="110" w:type="dxa"/>
            </w:tcMar>
            <w:tcBorders>
              <w:top w:val="single" w:sz="6" w:color="D9D9D9"/>
              <w:start w:val="single" w:sz="6" w:color="D9D9D9"/>
              <w:bottom w:val="single" w:sz="6" w:color="D9D9D9"/>
              <w:end w:val="single" w:sz="6" w:color="D9D9D9"/>
              <w:insideH w:val="single" w:sz="6" w:color="D9D9D9"/>
              <w:insideV w:val="single" w:sz="6" w:color="D9D9D9"/>
            </w:tcBorders>
            <w:vAlign w:val="center"/>
          </w:tcPr>
          <w:p>
            <w:pPr>
              <w:spacing w:after="0"/>
              <w:jc w:val="center"/>
            </w:pPr>
            <w:r>
              <w:rPr>
                <w:rFonts w:ascii="Aptos" w:hAnsi="Aptos" w:eastAsia="Aptos"/>
                <w:b/>
                <w:i w:val="0"/>
                <w:color w:val="FFFFFF"/>
                <w:sz w:val="18"/>
              </w:rPr>
              <w:t>STT</w:t>
            </w:r>
          </w:p>
        </w:tc>
        <w:tc>
          <w:tcPr>
            <w:tcW w:type="dxa" w:w="2520"/>
            <w:shd w:fill="17365D"/>
            <w:tcMar>
              <w:top w:w="100" w:type="dxa"/>
              <w:start w:w="110" w:type="dxa"/>
              <w:bottom w:w="100" w:type="dxa"/>
              <w:end w:w="110" w:type="dxa"/>
            </w:tcMar>
            <w:tcBorders>
              <w:top w:val="single" w:sz="6" w:color="D9D9D9"/>
              <w:start w:val="single" w:sz="6" w:color="D9D9D9"/>
              <w:bottom w:val="single" w:sz="6" w:color="D9D9D9"/>
              <w:end w:val="single" w:sz="6" w:color="D9D9D9"/>
              <w:insideH w:val="single" w:sz="6" w:color="D9D9D9"/>
              <w:insideV w:val="single" w:sz="6" w:color="D9D9D9"/>
            </w:tcBorders>
            <w:vAlign w:val="center"/>
          </w:tcPr>
          <w:p>
            <w:pPr>
              <w:spacing w:after="0"/>
              <w:jc w:val="center"/>
            </w:pPr>
            <w:r>
              <w:rPr>
                <w:rFonts w:ascii="Aptos" w:hAnsi="Aptos" w:eastAsia="Aptos"/>
                <w:b/>
                <w:i w:val="0"/>
                <w:color w:val="FFFFFF"/>
                <w:sz w:val="18"/>
              </w:rPr>
              <w:t>Tiêu chí</w:t>
            </w:r>
          </w:p>
        </w:tc>
        <w:tc>
          <w:tcPr>
            <w:tcW w:type="dxa" w:w="893"/>
            <w:shd w:fill="17365D"/>
            <w:tcMar>
              <w:top w:w="100" w:type="dxa"/>
              <w:start w:w="110" w:type="dxa"/>
              <w:bottom w:w="100" w:type="dxa"/>
              <w:end w:w="110" w:type="dxa"/>
            </w:tcMar>
            <w:tcBorders>
              <w:top w:val="single" w:sz="6" w:color="D9D9D9"/>
              <w:start w:val="single" w:sz="6" w:color="D9D9D9"/>
              <w:bottom w:val="single" w:sz="6" w:color="D9D9D9"/>
              <w:end w:val="single" w:sz="6" w:color="D9D9D9"/>
              <w:insideH w:val="single" w:sz="6" w:color="D9D9D9"/>
              <w:insideV w:val="single" w:sz="6" w:color="D9D9D9"/>
            </w:tcBorders>
            <w:vAlign w:val="center"/>
          </w:tcPr>
          <w:p>
            <w:pPr>
              <w:spacing w:after="0"/>
              <w:jc w:val="center"/>
            </w:pPr>
            <w:r>
              <w:rPr>
                <w:rFonts w:ascii="Aptos" w:hAnsi="Aptos" w:eastAsia="Aptos"/>
                <w:b/>
                <w:i w:val="0"/>
                <w:color w:val="FFFFFF"/>
                <w:sz w:val="18"/>
              </w:rPr>
              <w:t>Điểm</w:t>
            </w:r>
          </w:p>
        </w:tc>
        <w:tc>
          <w:tcPr>
            <w:tcW w:type="dxa" w:w="5976"/>
            <w:shd w:fill="17365D"/>
            <w:tcMar>
              <w:top w:w="100" w:type="dxa"/>
              <w:start w:w="110" w:type="dxa"/>
              <w:bottom w:w="100" w:type="dxa"/>
              <w:end w:w="110" w:type="dxa"/>
            </w:tcMar>
            <w:tcBorders>
              <w:top w:val="single" w:sz="6" w:color="D9D9D9"/>
              <w:start w:val="single" w:sz="6" w:color="D9D9D9"/>
              <w:bottom w:val="single" w:sz="6" w:color="D9D9D9"/>
              <w:end w:val="single" w:sz="6" w:color="D9D9D9"/>
              <w:insideH w:val="single" w:sz="6" w:color="D9D9D9"/>
              <w:insideV w:val="single" w:sz="6" w:color="D9D9D9"/>
            </w:tcBorders>
            <w:vAlign w:val="center"/>
          </w:tcPr>
          <w:p>
            <w:pPr>
              <w:spacing w:after="0"/>
              <w:jc w:val="center"/>
            </w:pPr>
            <w:r>
              <w:rPr>
                <w:rFonts w:ascii="Aptos" w:hAnsi="Aptos" w:eastAsia="Aptos"/>
                <w:b/>
                <w:i w:val="0"/>
                <w:color w:val="FFFFFF"/>
                <w:sz w:val="18"/>
              </w:rPr>
              <w:t>Câu hỏi cần trả lời</w:t>
            </w:r>
          </w:p>
        </w:tc>
      </w:tr>
      <w:tr>
        <w:tc>
          <w:tcPr>
            <w:tcW w:type="dxa" w:w="605"/>
            <w:tcMar>
              <w:top w:w="100" w:type="dxa"/>
              <w:start w:w="110" w:type="dxa"/>
              <w:bottom w:w="100" w:type="dxa"/>
              <w:end w:w="110" w:type="dxa"/>
            </w:tcMar>
            <w:tcBorders>
              <w:top w:val="single" w:sz="6" w:color="D9D9D9"/>
              <w:start w:val="single" w:sz="6" w:color="D9D9D9"/>
              <w:bottom w:val="single" w:sz="6" w:color="D9D9D9"/>
              <w:end w:val="single" w:sz="6" w:color="D9D9D9"/>
              <w:insideH w:val="single" w:sz="6" w:color="D9D9D9"/>
              <w:insideV w:val="single" w:sz="6" w:color="D9D9D9"/>
            </w:tcBorders>
            <w:vAlign w:val="center"/>
          </w:tcPr>
          <w:p>
            <w:pPr>
              <w:spacing w:after="0" w:line="252" w:lineRule="auto"/>
              <w:jc w:val="center"/>
            </w:pPr>
            <w:r>
              <w:rPr>
                <w:rFonts w:ascii="Aptos" w:hAnsi="Aptos" w:eastAsia="Aptos"/>
                <w:b w:val="0"/>
                <w:i w:val="0"/>
                <w:color w:val="000000"/>
                <w:sz w:val="18"/>
              </w:rPr>
              <w:t>1</w:t>
            </w:r>
          </w:p>
        </w:tc>
        <w:tc>
          <w:tcPr>
            <w:tcW w:type="dxa" w:w="2520"/>
            <w:tcMar>
              <w:top w:w="100" w:type="dxa"/>
              <w:start w:w="110" w:type="dxa"/>
              <w:bottom w:w="100" w:type="dxa"/>
              <w:end w:w="110" w:type="dxa"/>
            </w:tcMar>
            <w:tcBorders>
              <w:top w:val="single" w:sz="6" w:color="D9D9D9"/>
              <w:start w:val="single" w:sz="6" w:color="D9D9D9"/>
              <w:bottom w:val="single" w:sz="6" w:color="D9D9D9"/>
              <w:end w:val="single" w:sz="6" w:color="D9D9D9"/>
              <w:insideH w:val="single" w:sz="6" w:color="D9D9D9"/>
              <w:insideV w:val="single" w:sz="6" w:color="D9D9D9"/>
            </w:tcBorders>
            <w:vAlign w:val="center"/>
          </w:tcPr>
          <w:p>
            <w:pPr>
              <w:spacing w:after="0" w:line="252" w:lineRule="auto"/>
              <w:jc w:val="left"/>
            </w:pPr>
            <w:r>
              <w:rPr>
                <w:rFonts w:ascii="Aptos" w:hAnsi="Aptos" w:eastAsia="Aptos"/>
                <w:b w:val="0"/>
                <w:i w:val="0"/>
                <w:color w:val="000000"/>
                <w:sz w:val="18"/>
              </w:rPr>
              <w:t>EPS chuẩn hóa YoY</w:t>
            </w:r>
          </w:p>
        </w:tc>
        <w:tc>
          <w:tcPr>
            <w:tcW w:type="dxa" w:w="893"/>
            <w:tcMar>
              <w:top w:w="100" w:type="dxa"/>
              <w:start w:w="110" w:type="dxa"/>
              <w:bottom w:w="100" w:type="dxa"/>
              <w:end w:w="110" w:type="dxa"/>
            </w:tcMar>
            <w:tcBorders>
              <w:top w:val="single" w:sz="6" w:color="D9D9D9"/>
              <w:start w:val="single" w:sz="6" w:color="D9D9D9"/>
              <w:bottom w:val="single" w:sz="6" w:color="D9D9D9"/>
              <w:end w:val="single" w:sz="6" w:color="D9D9D9"/>
              <w:insideH w:val="single" w:sz="6" w:color="D9D9D9"/>
              <w:insideV w:val="single" w:sz="6" w:color="D9D9D9"/>
            </w:tcBorders>
            <w:vAlign w:val="center"/>
          </w:tcPr>
          <w:p>
            <w:pPr>
              <w:spacing w:after="0" w:line="252" w:lineRule="auto"/>
              <w:jc w:val="center"/>
            </w:pPr>
            <w:r>
              <w:rPr>
                <w:rFonts w:ascii="Aptos" w:hAnsi="Aptos" w:eastAsia="Aptos"/>
                <w:b w:val="0"/>
                <w:i w:val="0"/>
                <w:color w:val="000000"/>
                <w:sz w:val="18"/>
              </w:rPr>
              <w:t>10</w:t>
            </w:r>
          </w:p>
        </w:tc>
        <w:tc>
          <w:tcPr>
            <w:tcW w:type="dxa" w:w="5976"/>
            <w:tcMar>
              <w:top w:w="100" w:type="dxa"/>
              <w:start w:w="110" w:type="dxa"/>
              <w:bottom w:w="100" w:type="dxa"/>
              <w:end w:w="110" w:type="dxa"/>
            </w:tcMar>
            <w:tcBorders>
              <w:top w:val="single" w:sz="6" w:color="D9D9D9"/>
              <w:start w:val="single" w:sz="6" w:color="D9D9D9"/>
              <w:bottom w:val="single" w:sz="6" w:color="D9D9D9"/>
              <w:end w:val="single" w:sz="6" w:color="D9D9D9"/>
              <w:insideH w:val="single" w:sz="6" w:color="D9D9D9"/>
              <w:insideV w:val="single" w:sz="6" w:color="D9D9D9"/>
            </w:tcBorders>
            <w:vAlign w:val="center"/>
          </w:tcPr>
          <w:p>
            <w:pPr>
              <w:spacing w:after="0" w:line="252" w:lineRule="auto"/>
              <w:jc w:val="left"/>
            </w:pPr>
            <w:r>
              <w:rPr>
                <w:rFonts w:ascii="Aptos" w:hAnsi="Aptos" w:eastAsia="Aptos"/>
                <w:b w:val="0"/>
                <w:i w:val="0"/>
                <w:color w:val="000000"/>
                <w:sz w:val="18"/>
              </w:rPr>
              <w:t>Lợi nhuận trên mỗi cổ phần quý hiện tại thay đổi bao nhiêu so với cùng kỳ?</w:t>
            </w:r>
          </w:p>
        </w:tc>
      </w:tr>
      <w:tr>
        <w:tc>
          <w:tcPr>
            <w:tcW w:type="dxa" w:w="605"/>
            <w:shd w:fill="F4F7FA"/>
            <w:tcMar>
              <w:top w:w="100" w:type="dxa"/>
              <w:start w:w="110" w:type="dxa"/>
              <w:bottom w:w="100" w:type="dxa"/>
              <w:end w:w="110" w:type="dxa"/>
            </w:tcMar>
            <w:tcBorders>
              <w:top w:val="single" w:sz="6" w:color="D9D9D9"/>
              <w:start w:val="single" w:sz="6" w:color="D9D9D9"/>
              <w:bottom w:val="single" w:sz="6" w:color="D9D9D9"/>
              <w:end w:val="single" w:sz="6" w:color="D9D9D9"/>
              <w:insideH w:val="single" w:sz="6" w:color="D9D9D9"/>
              <w:insideV w:val="single" w:sz="6" w:color="D9D9D9"/>
            </w:tcBorders>
            <w:vAlign w:val="center"/>
          </w:tcPr>
          <w:p>
            <w:pPr>
              <w:spacing w:after="0" w:line="252" w:lineRule="auto"/>
              <w:jc w:val="center"/>
            </w:pPr>
            <w:r>
              <w:rPr>
                <w:rFonts w:ascii="Aptos" w:hAnsi="Aptos" w:eastAsia="Aptos"/>
                <w:b w:val="0"/>
                <w:i w:val="0"/>
                <w:color w:val="000000"/>
                <w:sz w:val="18"/>
              </w:rPr>
              <w:t>2</w:t>
            </w:r>
          </w:p>
        </w:tc>
        <w:tc>
          <w:tcPr>
            <w:tcW w:type="dxa" w:w="2520"/>
            <w:shd w:fill="F4F7FA"/>
            <w:tcMar>
              <w:top w:w="100" w:type="dxa"/>
              <w:start w:w="110" w:type="dxa"/>
              <w:bottom w:w="100" w:type="dxa"/>
              <w:end w:w="110" w:type="dxa"/>
            </w:tcMar>
            <w:tcBorders>
              <w:top w:val="single" w:sz="6" w:color="D9D9D9"/>
              <w:start w:val="single" w:sz="6" w:color="D9D9D9"/>
              <w:bottom w:val="single" w:sz="6" w:color="D9D9D9"/>
              <w:end w:val="single" w:sz="6" w:color="D9D9D9"/>
              <w:insideH w:val="single" w:sz="6" w:color="D9D9D9"/>
              <w:insideV w:val="single" w:sz="6" w:color="D9D9D9"/>
            </w:tcBorders>
            <w:vAlign w:val="center"/>
          </w:tcPr>
          <w:p>
            <w:pPr>
              <w:spacing w:after="0" w:line="252" w:lineRule="auto"/>
              <w:jc w:val="left"/>
            </w:pPr>
            <w:r>
              <w:rPr>
                <w:rFonts w:ascii="Aptos" w:hAnsi="Aptos" w:eastAsia="Aptos"/>
                <w:b w:val="0"/>
                <w:i w:val="0"/>
                <w:color w:val="000000"/>
                <w:sz w:val="18"/>
              </w:rPr>
              <w:t>Số quý EPS tăng trưởng</w:t>
            </w:r>
          </w:p>
        </w:tc>
        <w:tc>
          <w:tcPr>
            <w:tcW w:type="dxa" w:w="893"/>
            <w:shd w:fill="F4F7FA"/>
            <w:tcMar>
              <w:top w:w="100" w:type="dxa"/>
              <w:start w:w="110" w:type="dxa"/>
              <w:bottom w:w="100" w:type="dxa"/>
              <w:end w:w="110" w:type="dxa"/>
            </w:tcMar>
            <w:tcBorders>
              <w:top w:val="single" w:sz="6" w:color="D9D9D9"/>
              <w:start w:val="single" w:sz="6" w:color="D9D9D9"/>
              <w:bottom w:val="single" w:sz="6" w:color="D9D9D9"/>
              <w:end w:val="single" w:sz="6" w:color="D9D9D9"/>
              <w:insideH w:val="single" w:sz="6" w:color="D9D9D9"/>
              <w:insideV w:val="single" w:sz="6" w:color="D9D9D9"/>
            </w:tcBorders>
            <w:vAlign w:val="center"/>
          </w:tcPr>
          <w:p>
            <w:pPr>
              <w:spacing w:after="0" w:line="252" w:lineRule="auto"/>
              <w:jc w:val="center"/>
            </w:pPr>
            <w:r>
              <w:rPr>
                <w:rFonts w:ascii="Aptos" w:hAnsi="Aptos" w:eastAsia="Aptos"/>
                <w:b w:val="0"/>
                <w:i w:val="0"/>
                <w:color w:val="000000"/>
                <w:sz w:val="18"/>
              </w:rPr>
              <w:t>10</w:t>
            </w:r>
          </w:p>
        </w:tc>
        <w:tc>
          <w:tcPr>
            <w:tcW w:type="dxa" w:w="5976"/>
            <w:shd w:fill="F4F7FA"/>
            <w:tcMar>
              <w:top w:w="100" w:type="dxa"/>
              <w:start w:w="110" w:type="dxa"/>
              <w:bottom w:w="100" w:type="dxa"/>
              <w:end w:w="110" w:type="dxa"/>
            </w:tcMar>
            <w:tcBorders>
              <w:top w:val="single" w:sz="6" w:color="D9D9D9"/>
              <w:start w:val="single" w:sz="6" w:color="D9D9D9"/>
              <w:bottom w:val="single" w:sz="6" w:color="D9D9D9"/>
              <w:end w:val="single" w:sz="6" w:color="D9D9D9"/>
              <w:insideH w:val="single" w:sz="6" w:color="D9D9D9"/>
              <w:insideV w:val="single" w:sz="6" w:color="D9D9D9"/>
            </w:tcBorders>
            <w:vAlign w:val="center"/>
          </w:tcPr>
          <w:p>
            <w:pPr>
              <w:spacing w:after="0" w:line="252" w:lineRule="auto"/>
              <w:jc w:val="left"/>
            </w:pPr>
            <w:r>
              <w:rPr>
                <w:rFonts w:ascii="Aptos" w:hAnsi="Aptos" w:eastAsia="Aptos"/>
                <w:b w:val="0"/>
                <w:i w:val="0"/>
                <w:color w:val="000000"/>
                <w:sz w:val="18"/>
              </w:rPr>
              <w:t>Trong ba quý gần nhất, tăng trưởng EPS có xuất hiện liên tục hay chỉ đột biến một quý?</w:t>
            </w:r>
          </w:p>
        </w:tc>
      </w:tr>
      <w:tr>
        <w:tc>
          <w:tcPr>
            <w:tcW w:type="dxa" w:w="605"/>
            <w:tcMar>
              <w:top w:w="100" w:type="dxa"/>
              <w:start w:w="110" w:type="dxa"/>
              <w:bottom w:w="100" w:type="dxa"/>
              <w:end w:w="110" w:type="dxa"/>
            </w:tcMar>
            <w:tcBorders>
              <w:top w:val="single" w:sz="6" w:color="D9D9D9"/>
              <w:start w:val="single" w:sz="6" w:color="D9D9D9"/>
              <w:bottom w:val="single" w:sz="6" w:color="D9D9D9"/>
              <w:end w:val="single" w:sz="6" w:color="D9D9D9"/>
              <w:insideH w:val="single" w:sz="6" w:color="D9D9D9"/>
              <w:insideV w:val="single" w:sz="6" w:color="D9D9D9"/>
            </w:tcBorders>
            <w:vAlign w:val="center"/>
          </w:tcPr>
          <w:p>
            <w:pPr>
              <w:spacing w:after="0" w:line="252" w:lineRule="auto"/>
              <w:jc w:val="center"/>
            </w:pPr>
            <w:r>
              <w:rPr>
                <w:rFonts w:ascii="Aptos" w:hAnsi="Aptos" w:eastAsia="Aptos"/>
                <w:b w:val="0"/>
                <w:i w:val="0"/>
                <w:color w:val="000000"/>
                <w:sz w:val="18"/>
              </w:rPr>
              <w:t>3</w:t>
            </w:r>
          </w:p>
        </w:tc>
        <w:tc>
          <w:tcPr>
            <w:tcW w:type="dxa" w:w="2520"/>
            <w:tcMar>
              <w:top w:w="100" w:type="dxa"/>
              <w:start w:w="110" w:type="dxa"/>
              <w:bottom w:w="100" w:type="dxa"/>
              <w:end w:w="110" w:type="dxa"/>
            </w:tcMar>
            <w:tcBorders>
              <w:top w:val="single" w:sz="6" w:color="D9D9D9"/>
              <w:start w:val="single" w:sz="6" w:color="D9D9D9"/>
              <w:bottom w:val="single" w:sz="6" w:color="D9D9D9"/>
              <w:end w:val="single" w:sz="6" w:color="D9D9D9"/>
              <w:insideH w:val="single" w:sz="6" w:color="D9D9D9"/>
              <w:insideV w:val="single" w:sz="6" w:color="D9D9D9"/>
            </w:tcBorders>
            <w:vAlign w:val="center"/>
          </w:tcPr>
          <w:p>
            <w:pPr>
              <w:spacing w:after="0" w:line="252" w:lineRule="auto"/>
              <w:jc w:val="left"/>
            </w:pPr>
            <w:r>
              <w:rPr>
                <w:rFonts w:ascii="Aptos" w:hAnsi="Aptos" w:eastAsia="Aptos"/>
                <w:b w:val="0"/>
                <w:i w:val="0"/>
                <w:color w:val="000000"/>
                <w:sz w:val="18"/>
              </w:rPr>
              <w:t>Doanh thu bảo hiểm thuần YoY</w:t>
            </w:r>
          </w:p>
        </w:tc>
        <w:tc>
          <w:tcPr>
            <w:tcW w:type="dxa" w:w="893"/>
            <w:tcMar>
              <w:top w:w="100" w:type="dxa"/>
              <w:start w:w="110" w:type="dxa"/>
              <w:bottom w:w="100" w:type="dxa"/>
              <w:end w:w="110" w:type="dxa"/>
            </w:tcMar>
            <w:tcBorders>
              <w:top w:val="single" w:sz="6" w:color="D9D9D9"/>
              <w:start w:val="single" w:sz="6" w:color="D9D9D9"/>
              <w:bottom w:val="single" w:sz="6" w:color="D9D9D9"/>
              <w:end w:val="single" w:sz="6" w:color="D9D9D9"/>
              <w:insideH w:val="single" w:sz="6" w:color="D9D9D9"/>
              <w:insideV w:val="single" w:sz="6" w:color="D9D9D9"/>
            </w:tcBorders>
            <w:vAlign w:val="center"/>
          </w:tcPr>
          <w:p>
            <w:pPr>
              <w:spacing w:after="0" w:line="252" w:lineRule="auto"/>
              <w:jc w:val="center"/>
            </w:pPr>
            <w:r>
              <w:rPr>
                <w:rFonts w:ascii="Aptos" w:hAnsi="Aptos" w:eastAsia="Aptos"/>
                <w:b w:val="0"/>
                <w:i w:val="0"/>
                <w:color w:val="000000"/>
                <w:sz w:val="18"/>
              </w:rPr>
              <w:t>10</w:t>
            </w:r>
          </w:p>
        </w:tc>
        <w:tc>
          <w:tcPr>
            <w:tcW w:type="dxa" w:w="5976"/>
            <w:tcMar>
              <w:top w:w="100" w:type="dxa"/>
              <w:start w:w="110" w:type="dxa"/>
              <w:bottom w:w="100" w:type="dxa"/>
              <w:end w:w="110" w:type="dxa"/>
            </w:tcMar>
            <w:tcBorders>
              <w:top w:val="single" w:sz="6" w:color="D9D9D9"/>
              <w:start w:val="single" w:sz="6" w:color="D9D9D9"/>
              <w:bottom w:val="single" w:sz="6" w:color="D9D9D9"/>
              <w:end w:val="single" w:sz="6" w:color="D9D9D9"/>
              <w:insideH w:val="single" w:sz="6" w:color="D9D9D9"/>
              <w:insideV w:val="single" w:sz="6" w:color="D9D9D9"/>
            </w:tcBorders>
            <w:vAlign w:val="center"/>
          </w:tcPr>
          <w:p>
            <w:pPr>
              <w:spacing w:after="0" w:line="252" w:lineRule="auto"/>
              <w:jc w:val="left"/>
            </w:pPr>
            <w:r>
              <w:rPr>
                <w:rFonts w:ascii="Aptos" w:hAnsi="Aptos" w:eastAsia="Aptos"/>
                <w:b w:val="0"/>
                <w:i w:val="0"/>
                <w:color w:val="000000"/>
                <w:sz w:val="18"/>
              </w:rPr>
              <w:t>Quy mô nghiệp vụ bảo hiểm đang mở rộng hay thu hẹp?</w:t>
            </w:r>
          </w:p>
        </w:tc>
      </w:tr>
      <w:tr>
        <w:tc>
          <w:tcPr>
            <w:tcW w:type="dxa" w:w="605"/>
            <w:shd w:fill="F4F7FA"/>
            <w:tcMar>
              <w:top w:w="100" w:type="dxa"/>
              <w:start w:w="110" w:type="dxa"/>
              <w:bottom w:w="100" w:type="dxa"/>
              <w:end w:w="110" w:type="dxa"/>
            </w:tcMar>
            <w:tcBorders>
              <w:top w:val="single" w:sz="6" w:color="D9D9D9"/>
              <w:start w:val="single" w:sz="6" w:color="D9D9D9"/>
              <w:bottom w:val="single" w:sz="6" w:color="D9D9D9"/>
              <w:end w:val="single" w:sz="6" w:color="D9D9D9"/>
              <w:insideH w:val="single" w:sz="6" w:color="D9D9D9"/>
              <w:insideV w:val="single" w:sz="6" w:color="D9D9D9"/>
            </w:tcBorders>
            <w:vAlign w:val="center"/>
          </w:tcPr>
          <w:p>
            <w:pPr>
              <w:spacing w:after="0" w:line="252" w:lineRule="auto"/>
              <w:jc w:val="center"/>
            </w:pPr>
            <w:r>
              <w:rPr>
                <w:rFonts w:ascii="Aptos" w:hAnsi="Aptos" w:eastAsia="Aptos"/>
                <w:b w:val="0"/>
                <w:i w:val="0"/>
                <w:color w:val="000000"/>
                <w:sz w:val="18"/>
              </w:rPr>
              <w:t>4</w:t>
            </w:r>
          </w:p>
        </w:tc>
        <w:tc>
          <w:tcPr>
            <w:tcW w:type="dxa" w:w="2520"/>
            <w:shd w:fill="F4F7FA"/>
            <w:tcMar>
              <w:top w:w="100" w:type="dxa"/>
              <w:start w:w="110" w:type="dxa"/>
              <w:bottom w:w="100" w:type="dxa"/>
              <w:end w:w="110" w:type="dxa"/>
            </w:tcMar>
            <w:tcBorders>
              <w:top w:val="single" w:sz="6" w:color="D9D9D9"/>
              <w:start w:val="single" w:sz="6" w:color="D9D9D9"/>
              <w:bottom w:val="single" w:sz="6" w:color="D9D9D9"/>
              <w:end w:val="single" w:sz="6" w:color="D9D9D9"/>
              <w:insideH w:val="single" w:sz="6" w:color="D9D9D9"/>
              <w:insideV w:val="single" w:sz="6" w:color="D9D9D9"/>
            </w:tcBorders>
            <w:vAlign w:val="center"/>
          </w:tcPr>
          <w:p>
            <w:pPr>
              <w:spacing w:after="0" w:line="252" w:lineRule="auto"/>
              <w:jc w:val="left"/>
            </w:pPr>
            <w:r>
              <w:rPr>
                <w:rFonts w:ascii="Aptos" w:hAnsi="Aptos" w:eastAsia="Aptos"/>
                <w:b w:val="0"/>
                <w:i w:val="0"/>
                <w:color w:val="000000"/>
                <w:sz w:val="18"/>
              </w:rPr>
              <w:t>ROE bốn quý gần nhất</w:t>
            </w:r>
          </w:p>
        </w:tc>
        <w:tc>
          <w:tcPr>
            <w:tcW w:type="dxa" w:w="893"/>
            <w:shd w:fill="F4F7FA"/>
            <w:tcMar>
              <w:top w:w="100" w:type="dxa"/>
              <w:start w:w="110" w:type="dxa"/>
              <w:bottom w:w="100" w:type="dxa"/>
              <w:end w:w="110" w:type="dxa"/>
            </w:tcMar>
            <w:tcBorders>
              <w:top w:val="single" w:sz="6" w:color="D9D9D9"/>
              <w:start w:val="single" w:sz="6" w:color="D9D9D9"/>
              <w:bottom w:val="single" w:sz="6" w:color="D9D9D9"/>
              <w:end w:val="single" w:sz="6" w:color="D9D9D9"/>
              <w:insideH w:val="single" w:sz="6" w:color="D9D9D9"/>
              <w:insideV w:val="single" w:sz="6" w:color="D9D9D9"/>
            </w:tcBorders>
            <w:vAlign w:val="center"/>
          </w:tcPr>
          <w:p>
            <w:pPr>
              <w:spacing w:after="0" w:line="252" w:lineRule="auto"/>
              <w:jc w:val="center"/>
            </w:pPr>
            <w:r>
              <w:rPr>
                <w:rFonts w:ascii="Aptos" w:hAnsi="Aptos" w:eastAsia="Aptos"/>
                <w:b w:val="0"/>
                <w:i w:val="0"/>
                <w:color w:val="000000"/>
                <w:sz w:val="18"/>
              </w:rPr>
              <w:t>10</w:t>
            </w:r>
          </w:p>
        </w:tc>
        <w:tc>
          <w:tcPr>
            <w:tcW w:type="dxa" w:w="5976"/>
            <w:shd w:fill="F4F7FA"/>
            <w:tcMar>
              <w:top w:w="100" w:type="dxa"/>
              <w:start w:w="110" w:type="dxa"/>
              <w:bottom w:w="100" w:type="dxa"/>
              <w:end w:w="110" w:type="dxa"/>
            </w:tcMar>
            <w:tcBorders>
              <w:top w:val="single" w:sz="6" w:color="D9D9D9"/>
              <w:start w:val="single" w:sz="6" w:color="D9D9D9"/>
              <w:bottom w:val="single" w:sz="6" w:color="D9D9D9"/>
              <w:end w:val="single" w:sz="6" w:color="D9D9D9"/>
              <w:insideH w:val="single" w:sz="6" w:color="D9D9D9"/>
              <w:insideV w:val="single" w:sz="6" w:color="D9D9D9"/>
            </w:tcBorders>
            <w:vAlign w:val="center"/>
          </w:tcPr>
          <w:p>
            <w:pPr>
              <w:spacing w:after="0" w:line="252" w:lineRule="auto"/>
              <w:jc w:val="left"/>
            </w:pPr>
            <w:r>
              <w:rPr>
                <w:rFonts w:ascii="Aptos" w:hAnsi="Aptos" w:eastAsia="Aptos"/>
                <w:b w:val="0"/>
                <w:i w:val="0"/>
                <w:color w:val="000000"/>
                <w:sz w:val="18"/>
              </w:rPr>
              <w:t>Doanh nghiệp tạo ra bao nhiêu lợi nhuận trên vốn của cổ đông?</w:t>
            </w:r>
          </w:p>
        </w:tc>
      </w:tr>
      <w:tr>
        <w:tc>
          <w:tcPr>
            <w:tcW w:type="dxa" w:w="605"/>
            <w:tcMar>
              <w:top w:w="100" w:type="dxa"/>
              <w:start w:w="110" w:type="dxa"/>
              <w:bottom w:w="100" w:type="dxa"/>
              <w:end w:w="110" w:type="dxa"/>
            </w:tcMar>
            <w:tcBorders>
              <w:top w:val="single" w:sz="6" w:color="D9D9D9"/>
              <w:start w:val="single" w:sz="6" w:color="D9D9D9"/>
              <w:bottom w:val="single" w:sz="6" w:color="D9D9D9"/>
              <w:end w:val="single" w:sz="6" w:color="D9D9D9"/>
              <w:insideH w:val="single" w:sz="6" w:color="D9D9D9"/>
              <w:insideV w:val="single" w:sz="6" w:color="D9D9D9"/>
            </w:tcBorders>
            <w:vAlign w:val="center"/>
          </w:tcPr>
          <w:p>
            <w:pPr>
              <w:spacing w:after="0" w:line="252" w:lineRule="auto"/>
              <w:jc w:val="center"/>
            </w:pPr>
            <w:r>
              <w:rPr>
                <w:rFonts w:ascii="Aptos" w:hAnsi="Aptos" w:eastAsia="Aptos"/>
                <w:b w:val="0"/>
                <w:i w:val="0"/>
                <w:color w:val="000000"/>
                <w:sz w:val="18"/>
              </w:rPr>
              <w:t>5</w:t>
            </w:r>
          </w:p>
        </w:tc>
        <w:tc>
          <w:tcPr>
            <w:tcW w:type="dxa" w:w="2520"/>
            <w:tcMar>
              <w:top w:w="100" w:type="dxa"/>
              <w:start w:w="110" w:type="dxa"/>
              <w:bottom w:w="100" w:type="dxa"/>
              <w:end w:w="110" w:type="dxa"/>
            </w:tcMar>
            <w:tcBorders>
              <w:top w:val="single" w:sz="6" w:color="D9D9D9"/>
              <w:start w:val="single" w:sz="6" w:color="D9D9D9"/>
              <w:bottom w:val="single" w:sz="6" w:color="D9D9D9"/>
              <w:end w:val="single" w:sz="6" w:color="D9D9D9"/>
              <w:insideH w:val="single" w:sz="6" w:color="D9D9D9"/>
              <w:insideV w:val="single" w:sz="6" w:color="D9D9D9"/>
            </w:tcBorders>
            <w:vAlign w:val="center"/>
          </w:tcPr>
          <w:p>
            <w:pPr>
              <w:spacing w:after="0" w:line="252" w:lineRule="auto"/>
              <w:jc w:val="left"/>
            </w:pPr>
            <w:r>
              <w:rPr>
                <w:rFonts w:ascii="Aptos" w:hAnsi="Aptos" w:eastAsia="Aptos"/>
                <w:b w:val="0"/>
                <w:i w:val="0"/>
                <w:color w:val="000000"/>
                <w:sz w:val="18"/>
              </w:rPr>
              <w:t>Đệm vốn BCTC</w:t>
            </w:r>
          </w:p>
        </w:tc>
        <w:tc>
          <w:tcPr>
            <w:tcW w:type="dxa" w:w="893"/>
            <w:tcMar>
              <w:top w:w="100" w:type="dxa"/>
              <w:start w:w="110" w:type="dxa"/>
              <w:bottom w:w="100" w:type="dxa"/>
              <w:end w:w="110" w:type="dxa"/>
            </w:tcMar>
            <w:tcBorders>
              <w:top w:val="single" w:sz="6" w:color="D9D9D9"/>
              <w:start w:val="single" w:sz="6" w:color="D9D9D9"/>
              <w:bottom w:val="single" w:sz="6" w:color="D9D9D9"/>
              <w:end w:val="single" w:sz="6" w:color="D9D9D9"/>
              <w:insideH w:val="single" w:sz="6" w:color="D9D9D9"/>
              <w:insideV w:val="single" w:sz="6" w:color="D9D9D9"/>
            </w:tcBorders>
            <w:vAlign w:val="center"/>
          </w:tcPr>
          <w:p>
            <w:pPr>
              <w:spacing w:after="0" w:line="252" w:lineRule="auto"/>
              <w:jc w:val="center"/>
            </w:pPr>
            <w:r>
              <w:rPr>
                <w:rFonts w:ascii="Aptos" w:hAnsi="Aptos" w:eastAsia="Aptos"/>
                <w:b w:val="0"/>
                <w:i w:val="0"/>
                <w:color w:val="000000"/>
                <w:sz w:val="18"/>
              </w:rPr>
              <w:t>10</w:t>
            </w:r>
          </w:p>
        </w:tc>
        <w:tc>
          <w:tcPr>
            <w:tcW w:type="dxa" w:w="5976"/>
            <w:tcMar>
              <w:top w:w="100" w:type="dxa"/>
              <w:start w:w="110" w:type="dxa"/>
              <w:bottom w:w="100" w:type="dxa"/>
              <w:end w:w="110" w:type="dxa"/>
            </w:tcMar>
            <w:tcBorders>
              <w:top w:val="single" w:sz="6" w:color="D9D9D9"/>
              <w:start w:val="single" w:sz="6" w:color="D9D9D9"/>
              <w:bottom w:val="single" w:sz="6" w:color="D9D9D9"/>
              <w:end w:val="single" w:sz="6" w:color="D9D9D9"/>
              <w:insideH w:val="single" w:sz="6" w:color="D9D9D9"/>
              <w:insideV w:val="single" w:sz="6" w:color="D9D9D9"/>
            </w:tcBorders>
            <w:vAlign w:val="center"/>
          </w:tcPr>
          <w:p>
            <w:pPr>
              <w:spacing w:after="0" w:line="252" w:lineRule="auto"/>
              <w:jc w:val="left"/>
            </w:pPr>
            <w:r>
              <w:rPr>
                <w:rFonts w:ascii="Aptos" w:hAnsi="Aptos" w:eastAsia="Aptos"/>
                <w:b w:val="0"/>
                <w:i w:val="0"/>
                <w:color w:val="000000"/>
                <w:sz w:val="18"/>
              </w:rPr>
              <w:t>Nền vốn kế toán đang tăng, ổn định hay co hẹp so với dự phòng nghiệp vụ?</w:t>
            </w:r>
          </w:p>
        </w:tc>
      </w:tr>
      <w:tr>
        <w:tc>
          <w:tcPr>
            <w:tcW w:type="dxa" w:w="605"/>
            <w:shd w:fill="F4F7FA"/>
            <w:tcMar>
              <w:top w:w="100" w:type="dxa"/>
              <w:start w:w="110" w:type="dxa"/>
              <w:bottom w:w="100" w:type="dxa"/>
              <w:end w:w="110" w:type="dxa"/>
            </w:tcMar>
            <w:tcBorders>
              <w:top w:val="single" w:sz="6" w:color="D9D9D9"/>
              <w:start w:val="single" w:sz="6" w:color="D9D9D9"/>
              <w:bottom w:val="single" w:sz="6" w:color="D9D9D9"/>
              <w:end w:val="single" w:sz="6" w:color="D9D9D9"/>
              <w:insideH w:val="single" w:sz="6" w:color="D9D9D9"/>
              <w:insideV w:val="single" w:sz="6" w:color="D9D9D9"/>
            </w:tcBorders>
            <w:vAlign w:val="center"/>
          </w:tcPr>
          <w:p>
            <w:pPr>
              <w:spacing w:after="0" w:line="252" w:lineRule="auto"/>
              <w:jc w:val="center"/>
            </w:pPr>
            <w:r>
              <w:rPr>
                <w:rFonts w:ascii="Aptos" w:hAnsi="Aptos" w:eastAsia="Aptos"/>
                <w:b w:val="0"/>
                <w:i w:val="0"/>
                <w:color w:val="000000"/>
                <w:sz w:val="18"/>
              </w:rPr>
            </w:r>
          </w:p>
        </w:tc>
        <w:tc>
          <w:tcPr>
            <w:tcW w:type="dxa" w:w="2520"/>
            <w:shd w:fill="F4F7FA"/>
            <w:tcMar>
              <w:top w:w="100" w:type="dxa"/>
              <w:start w:w="110" w:type="dxa"/>
              <w:bottom w:w="100" w:type="dxa"/>
              <w:end w:w="110" w:type="dxa"/>
            </w:tcMar>
            <w:tcBorders>
              <w:top w:val="single" w:sz="6" w:color="D9D9D9"/>
              <w:start w:val="single" w:sz="6" w:color="D9D9D9"/>
              <w:bottom w:val="single" w:sz="6" w:color="D9D9D9"/>
              <w:end w:val="single" w:sz="6" w:color="D9D9D9"/>
              <w:insideH w:val="single" w:sz="6" w:color="D9D9D9"/>
              <w:insideV w:val="single" w:sz="6" w:color="D9D9D9"/>
            </w:tcBorders>
            <w:vAlign w:val="center"/>
          </w:tcPr>
          <w:p>
            <w:pPr>
              <w:spacing w:after="0" w:line="252" w:lineRule="auto"/>
              <w:jc w:val="left"/>
            </w:pPr>
            <w:r>
              <w:rPr>
                <w:rFonts w:ascii="Aptos" w:hAnsi="Aptos" w:eastAsia="Aptos"/>
                <w:b w:val="0"/>
                <w:i w:val="0"/>
                <w:color w:val="000000"/>
                <w:sz w:val="18"/>
              </w:rPr>
              <w:t>Tổng</w:t>
            </w:r>
          </w:p>
        </w:tc>
        <w:tc>
          <w:tcPr>
            <w:tcW w:type="dxa" w:w="893"/>
            <w:shd w:fill="F4F7FA"/>
            <w:tcMar>
              <w:top w:w="100" w:type="dxa"/>
              <w:start w:w="110" w:type="dxa"/>
              <w:bottom w:w="100" w:type="dxa"/>
              <w:end w:w="110" w:type="dxa"/>
            </w:tcMar>
            <w:tcBorders>
              <w:top w:val="single" w:sz="6" w:color="D9D9D9"/>
              <w:start w:val="single" w:sz="6" w:color="D9D9D9"/>
              <w:bottom w:val="single" w:sz="6" w:color="D9D9D9"/>
              <w:end w:val="single" w:sz="6" w:color="D9D9D9"/>
              <w:insideH w:val="single" w:sz="6" w:color="D9D9D9"/>
              <w:insideV w:val="single" w:sz="6" w:color="D9D9D9"/>
            </w:tcBorders>
            <w:vAlign w:val="center"/>
          </w:tcPr>
          <w:p>
            <w:pPr>
              <w:spacing w:after="0" w:line="252" w:lineRule="auto"/>
              <w:jc w:val="center"/>
            </w:pPr>
            <w:r>
              <w:rPr>
                <w:rFonts w:ascii="Aptos" w:hAnsi="Aptos" w:eastAsia="Aptos"/>
                <w:b w:val="0"/>
                <w:i w:val="0"/>
                <w:color w:val="000000"/>
                <w:sz w:val="18"/>
              </w:rPr>
              <w:t>50</w:t>
            </w:r>
          </w:p>
        </w:tc>
        <w:tc>
          <w:tcPr>
            <w:tcW w:type="dxa" w:w="5976"/>
            <w:shd w:fill="F4F7FA"/>
            <w:tcMar>
              <w:top w:w="100" w:type="dxa"/>
              <w:start w:w="110" w:type="dxa"/>
              <w:bottom w:w="100" w:type="dxa"/>
              <w:end w:w="110" w:type="dxa"/>
            </w:tcMar>
            <w:tcBorders>
              <w:top w:val="single" w:sz="6" w:color="D9D9D9"/>
              <w:start w:val="single" w:sz="6" w:color="D9D9D9"/>
              <w:bottom w:val="single" w:sz="6" w:color="D9D9D9"/>
              <w:end w:val="single" w:sz="6" w:color="D9D9D9"/>
              <w:insideH w:val="single" w:sz="6" w:color="D9D9D9"/>
              <w:insideV w:val="single" w:sz="6" w:color="D9D9D9"/>
            </w:tcBorders>
            <w:vAlign w:val="center"/>
          </w:tcPr>
          <w:p>
            <w:pPr>
              <w:spacing w:after="0" w:line="252" w:lineRule="auto"/>
              <w:jc w:val="left"/>
            </w:pPr>
            <w:r>
              <w:rPr>
                <w:rFonts w:ascii="Aptos" w:hAnsi="Aptos" w:eastAsia="Aptos"/>
                <w:b w:val="0"/>
                <w:i w:val="0"/>
                <w:color w:val="000000"/>
                <w:sz w:val="18"/>
              </w:rPr>
              <w:t>Lớp điểm chung cho toàn ngành, trước 30 điểm hiệu quả bảo hiểm theo loại hình và các phần khác.</w:t>
            </w:r>
          </w:p>
        </w:tc>
      </w:tr>
    </w:tbl>
    <w:p>
      <w:pPr>
        <w:spacing w:after="20"/>
      </w:pPr>
    </w:p>
    <w:p>
      <w:pPr>
        <w:pStyle w:val="Heading2"/>
        <w:keepNext/>
        <w:spacing w:before="140" w:after="100"/>
      </w:pPr>
      <w:r>
        <w:rPr>
          <w:rFonts w:ascii="Aptos" w:hAnsi="Aptos" w:eastAsia="Aptos"/>
          <w:b/>
          <w:i w:val="0"/>
          <w:color w:val="000000"/>
          <w:sz w:val="24"/>
        </w:rPr>
        <w:t>1.2 Tên nhóm hiển thị</w:t>
      </w:r>
    </w:p>
    <w:p>
      <w:pPr>
        <w:spacing w:after="100" w:line="269" w:lineRule="auto"/>
      </w:pPr>
      <w:r>
        <w:rPr>
          <w:rFonts w:ascii="Aptos" w:hAnsi="Aptos" w:eastAsia="Aptos"/>
          <w:b w:val="0"/>
          <w:i w:val="0"/>
          <w:color w:val="000000"/>
          <w:sz w:val="21"/>
        </w:rPr>
        <w:t>Tên đề nghị: Tăng trưởng sinh lời và nền vốn 50 điểm. Không dùng tên Năng lực tăng trưởng vì ROE và đệm vốn không chỉ phản ánh tăng trưởng.</w:t>
      </w:r>
    </w:p>
    <w:p>
      <w:pPr>
        <w:pStyle w:val="Heading2"/>
        <w:keepNext/>
        <w:spacing w:before="140" w:after="100"/>
      </w:pPr>
      <w:r>
        <w:rPr>
          <w:rFonts w:ascii="Aptos" w:hAnsi="Aptos" w:eastAsia="Aptos"/>
          <w:b/>
          <w:i w:val="0"/>
          <w:color w:val="000000"/>
          <w:sz w:val="24"/>
        </w:rPr>
        <w:t>1.3 Những nội dung chưa làm ở giai đoạn này</w:t>
      </w:r>
    </w:p>
    <w:p>
      <w:pPr>
        <w:pStyle w:val="ListBullet"/>
        <w:spacing w:after="60" w:line="259" w:lineRule="auto"/>
      </w:pPr>
      <w:r>
        <w:rPr>
          <w:rFonts w:ascii="Aptos" w:hAnsi="Aptos" w:eastAsia="Aptos"/>
          <w:b w:val="0"/>
          <w:i w:val="0"/>
          <w:color w:val="000000"/>
          <w:sz w:val="21"/>
        </w:rPr>
        <w:t>Không tính Combined ratio, Loss ratio, Expense ratio hoặc các chỉ tiêu hiệu quả đặc thù theo loại hình.</w:t>
      </w:r>
    </w:p>
    <w:p>
      <w:pPr>
        <w:pStyle w:val="ListBullet"/>
        <w:spacing w:after="60" w:line="259" w:lineRule="auto"/>
      </w:pPr>
      <w:r>
        <w:rPr>
          <w:rFonts w:ascii="Aptos" w:hAnsi="Aptos" w:eastAsia="Aptos"/>
          <w:b w:val="0"/>
          <w:i w:val="0"/>
          <w:color w:val="000000"/>
          <w:sz w:val="21"/>
        </w:rPr>
        <w:t>Không tính điểm định giá, tín hiệu kỹ thuật, thanh khoản, catalyst hoặc target price.</w:t>
      </w:r>
    </w:p>
    <w:p>
      <w:pPr>
        <w:pStyle w:val="ListBullet"/>
        <w:spacing w:after="60" w:line="259" w:lineRule="auto"/>
      </w:pPr>
      <w:r>
        <w:rPr>
          <w:rFonts w:ascii="Aptos" w:hAnsi="Aptos" w:eastAsia="Aptos"/>
          <w:b w:val="0"/>
          <w:i w:val="0"/>
          <w:color w:val="000000"/>
          <w:sz w:val="21"/>
        </w:rPr>
        <w:t>Không tự suy ra tỷ lệ khả năng thanh toán theo quy định từ BCTC.</w:t>
      </w:r>
    </w:p>
    <w:p>
      <w:pPr>
        <w:pStyle w:val="ListBullet"/>
        <w:spacing w:after="60" w:line="259" w:lineRule="auto"/>
      </w:pPr>
      <w:r>
        <w:rPr>
          <w:rFonts w:ascii="Aptos" w:hAnsi="Aptos" w:eastAsia="Aptos"/>
          <w:b w:val="0"/>
          <w:i w:val="0"/>
          <w:color w:val="000000"/>
          <w:sz w:val="21"/>
        </w:rPr>
        <w:t>Không chốt ngưỡng điểm Đệm vốn BCTC trước khi xem phân phối dữ liệu thật của 20 quý.</w:t>
      </w:r>
    </w:p>
    <w:p>
      <w:pPr>
        <w:pStyle w:val="ListBullet"/>
        <w:spacing w:after="60" w:line="259" w:lineRule="auto"/>
      </w:pPr>
      <w:r>
        <w:rPr>
          <w:rFonts w:ascii="Aptos" w:hAnsi="Aptos" w:eastAsia="Aptos"/>
          <w:b w:val="0"/>
          <w:i w:val="0"/>
          <w:color w:val="000000"/>
          <w:sz w:val="21"/>
        </w:rPr>
        <w:t>Không thiết kế giao diện trước khi hoàn tất báo cáo coverage dữ liệu.</w:t>
      </w:r>
    </w:p>
    <w:p>
      <w:pPr>
        <w:pStyle w:val="Heading1"/>
        <w:keepNext/>
        <w:spacing w:before="200" w:after="100"/>
      </w:pPr>
      <w:r>
        <w:rPr>
          <w:rFonts w:ascii="Aptos" w:hAnsi="Aptos" w:eastAsia="Aptos"/>
          <w:b/>
          <w:i w:val="0"/>
          <w:color w:val="000000"/>
          <w:sz w:val="30"/>
        </w:rPr>
        <w:t>2 Quy chuẩn nguồn dữ liệu áp dụng cho cả 5 tiêu chí</w:t>
      </w:r>
    </w:p>
    <w:tbl>
      <w:tblPr>
        <w:tblW w:type="auto" w:w="0"/>
        <w:jc w:val="center"/>
        <w:tblLayout w:type="fixed"/>
        <w:tblLook w:firstColumn="1" w:firstRow="1" w:lastColumn="0" w:lastRow="0" w:noHBand="0" w:noVBand="1" w:val="04A0"/>
      </w:tblPr>
      <w:tblGrid>
        <w:gridCol w:w="5112"/>
        <w:gridCol w:w="5112"/>
      </w:tblGrid>
      <w:tr>
        <w:trPr>
          <w:tblHeader w:val="true"/>
        </w:trPr>
        <w:tc>
          <w:tcPr>
            <w:tcW w:type="dxa" w:w="1944"/>
            <w:shd w:fill="17365D"/>
            <w:tcMar>
              <w:top w:w="100" w:type="dxa"/>
              <w:start w:w="110" w:type="dxa"/>
              <w:bottom w:w="100" w:type="dxa"/>
              <w:end w:w="110" w:type="dxa"/>
            </w:tcMar>
            <w:tcBorders>
              <w:top w:val="single" w:sz="6" w:color="D9D9D9"/>
              <w:start w:val="single" w:sz="6" w:color="D9D9D9"/>
              <w:bottom w:val="single" w:sz="6" w:color="D9D9D9"/>
              <w:end w:val="single" w:sz="6" w:color="D9D9D9"/>
              <w:insideH w:val="single" w:sz="6" w:color="D9D9D9"/>
              <w:insideV w:val="single" w:sz="6" w:color="D9D9D9"/>
            </w:tcBorders>
            <w:vAlign w:val="center"/>
          </w:tcPr>
          <w:p>
            <w:pPr>
              <w:spacing w:after="0"/>
              <w:jc w:val="center"/>
            </w:pPr>
            <w:r>
              <w:rPr>
                <w:rFonts w:ascii="Aptos" w:hAnsi="Aptos" w:eastAsia="Aptos"/>
                <w:b/>
                <w:i w:val="0"/>
                <w:color w:val="FFFFFF"/>
                <w:sz w:val="18"/>
              </w:rPr>
              <w:t>Quy tắc</w:t>
            </w:r>
          </w:p>
        </w:tc>
        <w:tc>
          <w:tcPr>
            <w:tcW w:type="dxa" w:w="7992"/>
            <w:shd w:fill="17365D"/>
            <w:tcMar>
              <w:top w:w="100" w:type="dxa"/>
              <w:start w:w="110" w:type="dxa"/>
              <w:bottom w:w="100" w:type="dxa"/>
              <w:end w:w="110" w:type="dxa"/>
            </w:tcMar>
            <w:tcBorders>
              <w:top w:val="single" w:sz="6" w:color="D9D9D9"/>
              <w:start w:val="single" w:sz="6" w:color="D9D9D9"/>
              <w:bottom w:val="single" w:sz="6" w:color="D9D9D9"/>
              <w:end w:val="single" w:sz="6" w:color="D9D9D9"/>
              <w:insideH w:val="single" w:sz="6" w:color="D9D9D9"/>
              <w:insideV w:val="single" w:sz="6" w:color="D9D9D9"/>
            </w:tcBorders>
            <w:vAlign w:val="center"/>
          </w:tcPr>
          <w:p>
            <w:pPr>
              <w:spacing w:after="0"/>
              <w:jc w:val="center"/>
            </w:pPr>
            <w:r>
              <w:rPr>
                <w:rFonts w:ascii="Aptos" w:hAnsi="Aptos" w:eastAsia="Aptos"/>
                <w:b/>
                <w:i w:val="0"/>
                <w:color w:val="FFFFFF"/>
                <w:sz w:val="18"/>
              </w:rPr>
              <w:t>Yêu cầu bắt buộc</w:t>
            </w:r>
          </w:p>
        </w:tc>
      </w:tr>
      <w:tr>
        <w:tc>
          <w:tcPr>
            <w:tcW w:type="dxa" w:w="1944"/>
            <w:tcMar>
              <w:top w:w="100" w:type="dxa"/>
              <w:start w:w="110" w:type="dxa"/>
              <w:bottom w:w="100" w:type="dxa"/>
              <w:end w:w="110" w:type="dxa"/>
            </w:tcMar>
            <w:tcBorders>
              <w:top w:val="single" w:sz="6" w:color="D9D9D9"/>
              <w:start w:val="single" w:sz="6" w:color="D9D9D9"/>
              <w:bottom w:val="single" w:sz="6" w:color="D9D9D9"/>
              <w:end w:val="single" w:sz="6" w:color="D9D9D9"/>
              <w:insideH w:val="single" w:sz="6" w:color="D9D9D9"/>
              <w:insideV w:val="single" w:sz="6" w:color="D9D9D9"/>
            </w:tcBorders>
            <w:vAlign w:val="center"/>
          </w:tcPr>
          <w:p>
            <w:pPr>
              <w:spacing w:after="0" w:line="252" w:lineRule="auto"/>
              <w:jc w:val="center"/>
            </w:pPr>
            <w:r>
              <w:rPr>
                <w:rFonts w:ascii="Aptos" w:hAnsi="Aptos" w:eastAsia="Aptos"/>
                <w:b w:val="0"/>
                <w:i w:val="0"/>
                <w:color w:val="000000"/>
                <w:sz w:val="18"/>
              </w:rPr>
              <w:t>Loại báo cáo</w:t>
            </w:r>
          </w:p>
        </w:tc>
        <w:tc>
          <w:tcPr>
            <w:tcW w:type="dxa" w:w="7992"/>
            <w:tcMar>
              <w:top w:w="100" w:type="dxa"/>
              <w:start w:w="110" w:type="dxa"/>
              <w:bottom w:w="100" w:type="dxa"/>
              <w:end w:w="110" w:type="dxa"/>
            </w:tcMar>
            <w:tcBorders>
              <w:top w:val="single" w:sz="6" w:color="D9D9D9"/>
              <w:start w:val="single" w:sz="6" w:color="D9D9D9"/>
              <w:bottom w:val="single" w:sz="6" w:color="D9D9D9"/>
              <w:end w:val="single" w:sz="6" w:color="D9D9D9"/>
              <w:insideH w:val="single" w:sz="6" w:color="D9D9D9"/>
              <w:insideV w:val="single" w:sz="6" w:color="D9D9D9"/>
            </w:tcBorders>
            <w:vAlign w:val="center"/>
          </w:tcPr>
          <w:p>
            <w:pPr>
              <w:spacing w:after="0" w:line="252" w:lineRule="auto"/>
              <w:jc w:val="left"/>
            </w:pPr>
            <w:r>
              <w:rPr>
                <w:rFonts w:ascii="Aptos" w:hAnsi="Aptos" w:eastAsia="Aptos"/>
                <w:b w:val="0"/>
                <w:i w:val="0"/>
                <w:color w:val="000000"/>
                <w:sz w:val="18"/>
              </w:rPr>
              <w:t>Ưu tiên BCTC hợp nhất. Chỉ dùng BCTC riêng khi doanh nghiệp không lập BCTC hợp nhất; phải gắn cờ phạm vi báo cáo.</w:t>
            </w:r>
          </w:p>
        </w:tc>
      </w:tr>
      <w:tr>
        <w:tc>
          <w:tcPr>
            <w:tcW w:type="dxa" w:w="1944"/>
            <w:shd w:fill="F4F7FA"/>
            <w:tcMar>
              <w:top w:w="100" w:type="dxa"/>
              <w:start w:w="110" w:type="dxa"/>
              <w:bottom w:w="100" w:type="dxa"/>
              <w:end w:w="110" w:type="dxa"/>
            </w:tcMar>
            <w:tcBorders>
              <w:top w:val="single" w:sz="6" w:color="D9D9D9"/>
              <w:start w:val="single" w:sz="6" w:color="D9D9D9"/>
              <w:bottom w:val="single" w:sz="6" w:color="D9D9D9"/>
              <w:end w:val="single" w:sz="6" w:color="D9D9D9"/>
              <w:insideH w:val="single" w:sz="6" w:color="D9D9D9"/>
              <w:insideV w:val="single" w:sz="6" w:color="D9D9D9"/>
            </w:tcBorders>
            <w:vAlign w:val="center"/>
          </w:tcPr>
          <w:p>
            <w:pPr>
              <w:spacing w:after="0" w:line="252" w:lineRule="auto"/>
              <w:jc w:val="center"/>
            </w:pPr>
            <w:r>
              <w:rPr>
                <w:rFonts w:ascii="Aptos" w:hAnsi="Aptos" w:eastAsia="Aptos"/>
                <w:b w:val="0"/>
                <w:i w:val="0"/>
                <w:color w:val="000000"/>
                <w:sz w:val="18"/>
              </w:rPr>
              <w:t>Kỳ dữ liệu</w:t>
            </w:r>
          </w:p>
        </w:tc>
        <w:tc>
          <w:tcPr>
            <w:tcW w:type="dxa" w:w="7992"/>
            <w:shd w:fill="F4F7FA"/>
            <w:tcMar>
              <w:top w:w="100" w:type="dxa"/>
              <w:start w:w="110" w:type="dxa"/>
              <w:bottom w:w="100" w:type="dxa"/>
              <w:end w:w="110" w:type="dxa"/>
            </w:tcMar>
            <w:tcBorders>
              <w:top w:val="single" w:sz="6" w:color="D9D9D9"/>
              <w:start w:val="single" w:sz="6" w:color="D9D9D9"/>
              <w:bottom w:val="single" w:sz="6" w:color="D9D9D9"/>
              <w:end w:val="single" w:sz="6" w:color="D9D9D9"/>
              <w:insideH w:val="single" w:sz="6" w:color="D9D9D9"/>
              <w:insideV w:val="single" w:sz="6" w:color="D9D9D9"/>
            </w:tcBorders>
            <w:vAlign w:val="center"/>
          </w:tcPr>
          <w:p>
            <w:pPr>
              <w:spacing w:after="0" w:line="252" w:lineRule="auto"/>
              <w:jc w:val="left"/>
            </w:pPr>
            <w:r>
              <w:rPr>
                <w:rFonts w:ascii="Aptos" w:hAnsi="Aptos" w:eastAsia="Aptos"/>
                <w:b w:val="0"/>
                <w:i w:val="0"/>
                <w:color w:val="000000"/>
                <w:sz w:val="18"/>
              </w:rPr>
              <w:t>20 quý liên tiếp gần nhất, bao gồm quý đánh giá. Không trộn số năm với số quý khi chưa quy đổi.</w:t>
            </w:r>
          </w:p>
        </w:tc>
      </w:tr>
      <w:tr>
        <w:tc>
          <w:tcPr>
            <w:tcW w:type="dxa" w:w="1944"/>
            <w:tcMar>
              <w:top w:w="100" w:type="dxa"/>
              <w:start w:w="110" w:type="dxa"/>
              <w:bottom w:w="100" w:type="dxa"/>
              <w:end w:w="110" w:type="dxa"/>
            </w:tcMar>
            <w:tcBorders>
              <w:top w:val="single" w:sz="6" w:color="D9D9D9"/>
              <w:start w:val="single" w:sz="6" w:color="D9D9D9"/>
              <w:bottom w:val="single" w:sz="6" w:color="D9D9D9"/>
              <w:end w:val="single" w:sz="6" w:color="D9D9D9"/>
              <w:insideH w:val="single" w:sz="6" w:color="D9D9D9"/>
              <w:insideV w:val="single" w:sz="6" w:color="D9D9D9"/>
            </w:tcBorders>
            <w:vAlign w:val="center"/>
          </w:tcPr>
          <w:p>
            <w:pPr>
              <w:spacing w:after="0" w:line="252" w:lineRule="auto"/>
              <w:jc w:val="center"/>
            </w:pPr>
            <w:r>
              <w:rPr>
                <w:rFonts w:ascii="Aptos" w:hAnsi="Aptos" w:eastAsia="Aptos"/>
                <w:b w:val="0"/>
                <w:i w:val="0"/>
                <w:color w:val="000000"/>
                <w:sz w:val="18"/>
              </w:rPr>
              <w:t>Số quý riêng lẻ</w:t>
            </w:r>
          </w:p>
        </w:tc>
        <w:tc>
          <w:tcPr>
            <w:tcW w:type="dxa" w:w="7992"/>
            <w:tcMar>
              <w:top w:w="100" w:type="dxa"/>
              <w:start w:w="110" w:type="dxa"/>
              <w:bottom w:w="100" w:type="dxa"/>
              <w:end w:w="110" w:type="dxa"/>
            </w:tcMar>
            <w:tcBorders>
              <w:top w:val="single" w:sz="6" w:color="D9D9D9"/>
              <w:start w:val="single" w:sz="6" w:color="D9D9D9"/>
              <w:bottom w:val="single" w:sz="6" w:color="D9D9D9"/>
              <w:end w:val="single" w:sz="6" w:color="D9D9D9"/>
              <w:insideH w:val="single" w:sz="6" w:color="D9D9D9"/>
              <w:insideV w:val="single" w:sz="6" w:color="D9D9D9"/>
            </w:tcBorders>
            <w:vAlign w:val="center"/>
          </w:tcPr>
          <w:p>
            <w:pPr>
              <w:spacing w:after="0" w:line="252" w:lineRule="auto"/>
              <w:jc w:val="left"/>
            </w:pPr>
            <w:r>
              <w:rPr>
                <w:rFonts w:ascii="Aptos" w:hAnsi="Aptos" w:eastAsia="Aptos"/>
                <w:b w:val="0"/>
                <w:i w:val="0"/>
                <w:color w:val="000000"/>
                <w:sz w:val="18"/>
              </w:rPr>
              <w:t>Q2 = 6 tháng - Q1; Q3 = 9 tháng - 6 tháng; Q4 = cả năm - 9 tháng. Q1 lấy trực tiếp.</w:t>
            </w:r>
          </w:p>
        </w:tc>
      </w:tr>
      <w:tr>
        <w:tc>
          <w:tcPr>
            <w:tcW w:type="dxa" w:w="1944"/>
            <w:shd w:fill="F4F7FA"/>
            <w:tcMar>
              <w:top w:w="100" w:type="dxa"/>
              <w:start w:w="110" w:type="dxa"/>
              <w:bottom w:w="100" w:type="dxa"/>
              <w:end w:w="110" w:type="dxa"/>
            </w:tcMar>
            <w:tcBorders>
              <w:top w:val="single" w:sz="6" w:color="D9D9D9"/>
              <w:start w:val="single" w:sz="6" w:color="D9D9D9"/>
              <w:bottom w:val="single" w:sz="6" w:color="D9D9D9"/>
              <w:end w:val="single" w:sz="6" w:color="D9D9D9"/>
              <w:insideH w:val="single" w:sz="6" w:color="D9D9D9"/>
              <w:insideV w:val="single" w:sz="6" w:color="D9D9D9"/>
            </w:tcBorders>
            <w:vAlign w:val="center"/>
          </w:tcPr>
          <w:p>
            <w:pPr>
              <w:spacing w:after="0" w:line="252" w:lineRule="auto"/>
              <w:jc w:val="center"/>
            </w:pPr>
            <w:r>
              <w:rPr>
                <w:rFonts w:ascii="Aptos" w:hAnsi="Aptos" w:eastAsia="Aptos"/>
                <w:b w:val="0"/>
                <w:i w:val="0"/>
                <w:color w:val="000000"/>
                <w:sz w:val="18"/>
              </w:rPr>
              <w:t>Số so sánh</w:t>
            </w:r>
          </w:p>
        </w:tc>
        <w:tc>
          <w:tcPr>
            <w:tcW w:type="dxa" w:w="7992"/>
            <w:shd w:fill="F4F7FA"/>
            <w:tcMar>
              <w:top w:w="100" w:type="dxa"/>
              <w:start w:w="110" w:type="dxa"/>
              <w:bottom w:w="100" w:type="dxa"/>
              <w:end w:w="110" w:type="dxa"/>
            </w:tcMar>
            <w:tcBorders>
              <w:top w:val="single" w:sz="6" w:color="D9D9D9"/>
              <w:start w:val="single" w:sz="6" w:color="D9D9D9"/>
              <w:bottom w:val="single" w:sz="6" w:color="D9D9D9"/>
              <w:end w:val="single" w:sz="6" w:color="D9D9D9"/>
              <w:insideH w:val="single" w:sz="6" w:color="D9D9D9"/>
              <w:insideV w:val="single" w:sz="6" w:color="D9D9D9"/>
            </w:tcBorders>
            <w:vAlign w:val="center"/>
          </w:tcPr>
          <w:p>
            <w:pPr>
              <w:spacing w:after="0" w:line="252" w:lineRule="auto"/>
              <w:jc w:val="left"/>
            </w:pPr>
            <w:r>
              <w:rPr>
                <w:rFonts w:ascii="Aptos" w:hAnsi="Aptos" w:eastAsia="Aptos"/>
                <w:b w:val="0"/>
                <w:i w:val="0"/>
                <w:color w:val="000000"/>
                <w:sz w:val="18"/>
              </w:rPr>
              <w:t>Ưu tiên số cùng kỳ đã được trình bày lại trong BCTC mới nhất. Lưu cả giá trị gốc và giá trị trình bày lại.</w:t>
            </w:r>
          </w:p>
        </w:tc>
      </w:tr>
      <w:tr>
        <w:tc>
          <w:tcPr>
            <w:tcW w:type="dxa" w:w="1944"/>
            <w:tcMar>
              <w:top w:w="100" w:type="dxa"/>
              <w:start w:w="110" w:type="dxa"/>
              <w:bottom w:w="100" w:type="dxa"/>
              <w:end w:w="110" w:type="dxa"/>
            </w:tcMar>
            <w:tcBorders>
              <w:top w:val="single" w:sz="6" w:color="D9D9D9"/>
              <w:start w:val="single" w:sz="6" w:color="D9D9D9"/>
              <w:bottom w:val="single" w:sz="6" w:color="D9D9D9"/>
              <w:end w:val="single" w:sz="6" w:color="D9D9D9"/>
              <w:insideH w:val="single" w:sz="6" w:color="D9D9D9"/>
              <w:insideV w:val="single" w:sz="6" w:color="D9D9D9"/>
            </w:tcBorders>
            <w:vAlign w:val="center"/>
          </w:tcPr>
          <w:p>
            <w:pPr>
              <w:spacing w:after="0" w:line="252" w:lineRule="auto"/>
              <w:jc w:val="center"/>
            </w:pPr>
            <w:r>
              <w:rPr>
                <w:rFonts w:ascii="Aptos" w:hAnsi="Aptos" w:eastAsia="Aptos"/>
                <w:b w:val="0"/>
                <w:i w:val="0"/>
                <w:color w:val="000000"/>
                <w:sz w:val="18"/>
              </w:rPr>
              <w:t>Đơn vị</w:t>
            </w:r>
          </w:p>
        </w:tc>
        <w:tc>
          <w:tcPr>
            <w:tcW w:type="dxa" w:w="7992"/>
            <w:tcMar>
              <w:top w:w="100" w:type="dxa"/>
              <w:start w:w="110" w:type="dxa"/>
              <w:bottom w:w="100" w:type="dxa"/>
              <w:end w:w="110" w:type="dxa"/>
            </w:tcMar>
            <w:tcBorders>
              <w:top w:val="single" w:sz="6" w:color="D9D9D9"/>
              <w:start w:val="single" w:sz="6" w:color="D9D9D9"/>
              <w:bottom w:val="single" w:sz="6" w:color="D9D9D9"/>
              <w:end w:val="single" w:sz="6" w:color="D9D9D9"/>
              <w:insideH w:val="single" w:sz="6" w:color="D9D9D9"/>
              <w:insideV w:val="single" w:sz="6" w:color="D9D9D9"/>
            </w:tcBorders>
            <w:vAlign w:val="center"/>
          </w:tcPr>
          <w:p>
            <w:pPr>
              <w:spacing w:after="0" w:line="252" w:lineRule="auto"/>
              <w:jc w:val="left"/>
            </w:pPr>
            <w:r>
              <w:rPr>
                <w:rFonts w:ascii="Aptos" w:hAnsi="Aptos" w:eastAsia="Aptos"/>
                <w:b w:val="0"/>
                <w:i w:val="0"/>
                <w:color w:val="000000"/>
                <w:sz w:val="18"/>
              </w:rPr>
              <w:t>Chuẩn hóa toàn bộ về triệu đồng trước khi tính. EPS giữ đơn vị đồng/cổ phiếu.</w:t>
            </w:r>
          </w:p>
        </w:tc>
      </w:tr>
      <w:tr>
        <w:tc>
          <w:tcPr>
            <w:tcW w:type="dxa" w:w="1944"/>
            <w:shd w:fill="F4F7FA"/>
            <w:tcMar>
              <w:top w:w="100" w:type="dxa"/>
              <w:start w:w="110" w:type="dxa"/>
              <w:bottom w:w="100" w:type="dxa"/>
              <w:end w:w="110" w:type="dxa"/>
            </w:tcMar>
            <w:tcBorders>
              <w:top w:val="single" w:sz="6" w:color="D9D9D9"/>
              <w:start w:val="single" w:sz="6" w:color="D9D9D9"/>
              <w:bottom w:val="single" w:sz="6" w:color="D9D9D9"/>
              <w:end w:val="single" w:sz="6" w:color="D9D9D9"/>
              <w:insideH w:val="single" w:sz="6" w:color="D9D9D9"/>
              <w:insideV w:val="single" w:sz="6" w:color="D9D9D9"/>
            </w:tcBorders>
            <w:vAlign w:val="center"/>
          </w:tcPr>
          <w:p>
            <w:pPr>
              <w:spacing w:after="0" w:line="252" w:lineRule="auto"/>
              <w:jc w:val="center"/>
            </w:pPr>
            <w:r>
              <w:rPr>
                <w:rFonts w:ascii="Aptos" w:hAnsi="Aptos" w:eastAsia="Aptos"/>
                <w:b w:val="0"/>
                <w:i w:val="0"/>
                <w:color w:val="000000"/>
                <w:sz w:val="18"/>
              </w:rPr>
              <w:t>Dấu số</w:t>
            </w:r>
          </w:p>
        </w:tc>
        <w:tc>
          <w:tcPr>
            <w:tcW w:type="dxa" w:w="7992"/>
            <w:shd w:fill="F4F7FA"/>
            <w:tcMar>
              <w:top w:w="100" w:type="dxa"/>
              <w:start w:w="110" w:type="dxa"/>
              <w:bottom w:w="100" w:type="dxa"/>
              <w:end w:w="110" w:type="dxa"/>
            </w:tcMar>
            <w:tcBorders>
              <w:top w:val="single" w:sz="6" w:color="D9D9D9"/>
              <w:start w:val="single" w:sz="6" w:color="D9D9D9"/>
              <w:bottom w:val="single" w:sz="6" w:color="D9D9D9"/>
              <w:end w:val="single" w:sz="6" w:color="D9D9D9"/>
              <w:insideH w:val="single" w:sz="6" w:color="D9D9D9"/>
              <w:insideV w:val="single" w:sz="6" w:color="D9D9D9"/>
            </w:tcBorders>
            <w:vAlign w:val="center"/>
          </w:tcPr>
          <w:p>
            <w:pPr>
              <w:spacing w:after="0" w:line="252" w:lineRule="auto"/>
              <w:jc w:val="left"/>
            </w:pPr>
            <w:r>
              <w:rPr>
                <w:rFonts w:ascii="Aptos" w:hAnsi="Aptos" w:eastAsia="Aptos"/>
                <w:b w:val="0"/>
                <w:i w:val="0"/>
                <w:color w:val="000000"/>
                <w:sz w:val="18"/>
              </w:rPr>
              <w:t>Giữ nguyên dấu âm/dương. Không dùng trị tuyệt đối để biến lỗ thành tăng trưởng dương.</w:t>
            </w:r>
          </w:p>
        </w:tc>
      </w:tr>
      <w:tr>
        <w:tc>
          <w:tcPr>
            <w:tcW w:type="dxa" w:w="1944"/>
            <w:tcMar>
              <w:top w:w="100" w:type="dxa"/>
              <w:start w:w="110" w:type="dxa"/>
              <w:bottom w:w="100" w:type="dxa"/>
              <w:end w:w="110" w:type="dxa"/>
            </w:tcMar>
            <w:tcBorders>
              <w:top w:val="single" w:sz="6" w:color="D9D9D9"/>
              <w:start w:val="single" w:sz="6" w:color="D9D9D9"/>
              <w:bottom w:val="single" w:sz="6" w:color="D9D9D9"/>
              <w:end w:val="single" w:sz="6" w:color="D9D9D9"/>
              <w:insideH w:val="single" w:sz="6" w:color="D9D9D9"/>
              <w:insideV w:val="single" w:sz="6" w:color="D9D9D9"/>
            </w:tcBorders>
            <w:vAlign w:val="center"/>
          </w:tcPr>
          <w:p>
            <w:pPr>
              <w:spacing w:after="0" w:line="252" w:lineRule="auto"/>
              <w:jc w:val="center"/>
            </w:pPr>
            <w:r>
              <w:rPr>
                <w:rFonts w:ascii="Aptos" w:hAnsi="Aptos" w:eastAsia="Aptos"/>
                <w:b w:val="0"/>
                <w:i w:val="0"/>
                <w:color w:val="000000"/>
                <w:sz w:val="18"/>
              </w:rPr>
              <w:t>Truy vết</w:t>
            </w:r>
          </w:p>
        </w:tc>
        <w:tc>
          <w:tcPr>
            <w:tcW w:type="dxa" w:w="7992"/>
            <w:tcMar>
              <w:top w:w="100" w:type="dxa"/>
              <w:start w:w="110" w:type="dxa"/>
              <w:bottom w:w="100" w:type="dxa"/>
              <w:end w:w="110" w:type="dxa"/>
            </w:tcMar>
            <w:tcBorders>
              <w:top w:val="single" w:sz="6" w:color="D9D9D9"/>
              <w:start w:val="single" w:sz="6" w:color="D9D9D9"/>
              <w:bottom w:val="single" w:sz="6" w:color="D9D9D9"/>
              <w:end w:val="single" w:sz="6" w:color="D9D9D9"/>
              <w:insideH w:val="single" w:sz="6" w:color="D9D9D9"/>
              <w:insideV w:val="single" w:sz="6" w:color="D9D9D9"/>
            </w:tcBorders>
            <w:vAlign w:val="center"/>
          </w:tcPr>
          <w:p>
            <w:pPr>
              <w:spacing w:after="0" w:line="252" w:lineRule="auto"/>
              <w:jc w:val="left"/>
            </w:pPr>
            <w:r>
              <w:rPr>
                <w:rFonts w:ascii="Aptos" w:hAnsi="Aptos" w:eastAsia="Aptos"/>
                <w:b w:val="0"/>
                <w:i w:val="0"/>
                <w:color w:val="000000"/>
                <w:sz w:val="18"/>
              </w:rPr>
              <w:t>Mỗi giá trị phải lưu: mã, kỳ, báo cáo, trang/thuyết minh, nhãn dòng gốc, giá trị gốc, đơn vị, giá trị chuẩn hóa.</w:t>
            </w:r>
          </w:p>
        </w:tc>
      </w:tr>
      <w:tr>
        <w:tc>
          <w:tcPr>
            <w:tcW w:type="dxa" w:w="1944"/>
            <w:shd w:fill="F4F7FA"/>
            <w:tcMar>
              <w:top w:w="100" w:type="dxa"/>
              <w:start w:w="110" w:type="dxa"/>
              <w:bottom w:w="100" w:type="dxa"/>
              <w:end w:w="110" w:type="dxa"/>
            </w:tcMar>
            <w:tcBorders>
              <w:top w:val="single" w:sz="6" w:color="D9D9D9"/>
              <w:start w:val="single" w:sz="6" w:color="D9D9D9"/>
              <w:bottom w:val="single" w:sz="6" w:color="D9D9D9"/>
              <w:end w:val="single" w:sz="6" w:color="D9D9D9"/>
              <w:insideH w:val="single" w:sz="6" w:color="D9D9D9"/>
              <w:insideV w:val="single" w:sz="6" w:color="D9D9D9"/>
            </w:tcBorders>
            <w:vAlign w:val="center"/>
          </w:tcPr>
          <w:p>
            <w:pPr>
              <w:spacing w:after="0" w:line="252" w:lineRule="auto"/>
              <w:jc w:val="center"/>
            </w:pPr>
            <w:r>
              <w:rPr>
                <w:rFonts w:ascii="Aptos" w:hAnsi="Aptos" w:eastAsia="Aptos"/>
                <w:b w:val="0"/>
                <w:i w:val="0"/>
                <w:color w:val="000000"/>
                <w:sz w:val="18"/>
              </w:rPr>
              <w:t>Thiếu dữ liệu</w:t>
            </w:r>
          </w:p>
        </w:tc>
        <w:tc>
          <w:tcPr>
            <w:tcW w:type="dxa" w:w="7992"/>
            <w:shd w:fill="F4F7FA"/>
            <w:tcMar>
              <w:top w:w="100" w:type="dxa"/>
              <w:start w:w="110" w:type="dxa"/>
              <w:bottom w:w="100" w:type="dxa"/>
              <w:end w:w="110" w:type="dxa"/>
            </w:tcMar>
            <w:tcBorders>
              <w:top w:val="single" w:sz="6" w:color="D9D9D9"/>
              <w:start w:val="single" w:sz="6" w:color="D9D9D9"/>
              <w:bottom w:val="single" w:sz="6" w:color="D9D9D9"/>
              <w:end w:val="single" w:sz="6" w:color="D9D9D9"/>
              <w:insideH w:val="single" w:sz="6" w:color="D9D9D9"/>
              <w:insideV w:val="single" w:sz="6" w:color="D9D9D9"/>
            </w:tcBorders>
            <w:vAlign w:val="center"/>
          </w:tcPr>
          <w:p>
            <w:pPr>
              <w:spacing w:after="0" w:line="252" w:lineRule="auto"/>
              <w:jc w:val="left"/>
            </w:pPr>
            <w:r>
              <w:rPr>
                <w:rFonts w:ascii="Aptos" w:hAnsi="Aptos" w:eastAsia="Aptos"/>
                <w:b w:val="0"/>
                <w:i w:val="0"/>
                <w:color w:val="000000"/>
                <w:sz w:val="18"/>
              </w:rPr>
              <w:t>Không thay bằng 0, không nội suy, không suy đoán. Ghi FAIL_DATA và lý do để xử lý trước khi triển khai.</w:t>
            </w:r>
          </w:p>
        </w:tc>
      </w:tr>
    </w:tbl>
    <w:p>
      <w:pPr>
        <w:spacing w:after="20"/>
      </w:pPr>
    </w:p>
    <w:p>
      <w:r>
        <w:br w:type="page"/>
      </w:r>
    </w:p>
    <w:p>
      <w:pPr>
        <w:pStyle w:val="Heading1"/>
        <w:keepNext/>
        <w:spacing w:before="200" w:after="100"/>
      </w:pPr>
      <w:r>
        <w:rPr>
          <w:rFonts w:ascii="Aptos" w:hAnsi="Aptos" w:eastAsia="Aptos"/>
          <w:b/>
          <w:i w:val="0"/>
          <w:color w:val="000000"/>
          <w:sz w:val="30"/>
        </w:rPr>
        <w:t>3 Phạm vi kỳ dữ liệu và logic thời gian</w:t>
      </w:r>
    </w:p>
    <w:p>
      <w:pPr>
        <w:spacing w:after="100" w:line="269" w:lineRule="auto"/>
      </w:pPr>
      <w:r>
        <w:rPr>
          <w:rFonts w:ascii="Aptos" w:hAnsi="Aptos" w:eastAsia="Aptos"/>
          <w:b w:val="0"/>
          <w:i w:val="0"/>
          <w:color w:val="000000"/>
          <w:sz w:val="21"/>
        </w:rPr>
        <w:t>Quy ước q là quý đang đánh giá. Yêu cầu thu thập 20 quý nhằm phục vụ kiểm tra độ phủ, kiểm tra sự ổn định của mapping và xây đường cơ sở lịch sử cho chỉ tiêu đệm vốn. Công thức tối thiểu của từng tiêu chí chỉ dùng một phần trong số 20 quý này.</w:t>
      </w:r>
    </w:p>
    <w:tbl>
      <w:tblPr>
        <w:tblW w:type="auto" w:w="0"/>
        <w:jc w:val="center"/>
        <w:tblLayout w:type="fixed"/>
        <w:tblLook w:firstColumn="1" w:firstRow="1" w:lastColumn="0" w:lastRow="0" w:noHBand="0" w:noVBand="1" w:val="04A0"/>
      </w:tblPr>
      <w:tblGrid>
        <w:gridCol w:w="3408"/>
        <w:gridCol w:w="3408"/>
        <w:gridCol w:w="3408"/>
      </w:tblGrid>
      <w:tr>
        <w:trPr>
          <w:tblHeader w:val="true"/>
        </w:trPr>
        <w:tc>
          <w:tcPr>
            <w:tcW w:type="dxa" w:w="2088"/>
            <w:shd w:fill="17365D"/>
            <w:tcMar>
              <w:top w:w="100" w:type="dxa"/>
              <w:start w:w="110" w:type="dxa"/>
              <w:bottom w:w="100" w:type="dxa"/>
              <w:end w:w="110" w:type="dxa"/>
            </w:tcMar>
            <w:tcBorders>
              <w:top w:val="single" w:sz="6" w:color="D9D9D9"/>
              <w:start w:val="single" w:sz="6" w:color="D9D9D9"/>
              <w:bottom w:val="single" w:sz="6" w:color="D9D9D9"/>
              <w:end w:val="single" w:sz="6" w:color="D9D9D9"/>
              <w:insideH w:val="single" w:sz="6" w:color="D9D9D9"/>
              <w:insideV w:val="single" w:sz="6" w:color="D9D9D9"/>
            </w:tcBorders>
            <w:vAlign w:val="center"/>
          </w:tcPr>
          <w:p>
            <w:pPr>
              <w:spacing w:after="0"/>
              <w:jc w:val="center"/>
            </w:pPr>
            <w:r>
              <w:rPr>
                <w:rFonts w:ascii="Aptos" w:hAnsi="Aptos" w:eastAsia="Aptos"/>
                <w:b/>
                <w:i w:val="0"/>
                <w:color w:val="FFFFFF"/>
                <w:sz w:val="18"/>
              </w:rPr>
              <w:t>Tiêu chí</w:t>
            </w:r>
          </w:p>
        </w:tc>
        <w:tc>
          <w:tcPr>
            <w:tcW w:type="dxa" w:w="3672"/>
            <w:shd w:fill="17365D"/>
            <w:tcMar>
              <w:top w:w="100" w:type="dxa"/>
              <w:start w:w="110" w:type="dxa"/>
              <w:bottom w:w="100" w:type="dxa"/>
              <w:end w:w="110" w:type="dxa"/>
            </w:tcMar>
            <w:tcBorders>
              <w:top w:val="single" w:sz="6" w:color="D9D9D9"/>
              <w:start w:val="single" w:sz="6" w:color="D9D9D9"/>
              <w:bottom w:val="single" w:sz="6" w:color="D9D9D9"/>
              <w:end w:val="single" w:sz="6" w:color="D9D9D9"/>
              <w:insideH w:val="single" w:sz="6" w:color="D9D9D9"/>
              <w:insideV w:val="single" w:sz="6" w:color="D9D9D9"/>
            </w:tcBorders>
            <w:vAlign w:val="center"/>
          </w:tcPr>
          <w:p>
            <w:pPr>
              <w:spacing w:after="0"/>
              <w:jc w:val="center"/>
            </w:pPr>
            <w:r>
              <w:rPr>
                <w:rFonts w:ascii="Aptos" w:hAnsi="Aptos" w:eastAsia="Aptos"/>
                <w:b/>
                <w:i w:val="0"/>
                <w:color w:val="FFFFFF"/>
                <w:sz w:val="18"/>
              </w:rPr>
              <w:t>Các kỳ tối thiểu để tính tại quý q</w:t>
            </w:r>
          </w:p>
        </w:tc>
        <w:tc>
          <w:tcPr>
            <w:tcW w:type="dxa" w:w="4176"/>
            <w:shd w:fill="17365D"/>
            <w:tcMar>
              <w:top w:w="100" w:type="dxa"/>
              <w:start w:w="110" w:type="dxa"/>
              <w:bottom w:w="100" w:type="dxa"/>
              <w:end w:w="110" w:type="dxa"/>
            </w:tcMar>
            <w:tcBorders>
              <w:top w:val="single" w:sz="6" w:color="D9D9D9"/>
              <w:start w:val="single" w:sz="6" w:color="D9D9D9"/>
              <w:bottom w:val="single" w:sz="6" w:color="D9D9D9"/>
              <w:end w:val="single" w:sz="6" w:color="D9D9D9"/>
              <w:insideH w:val="single" w:sz="6" w:color="D9D9D9"/>
              <w:insideV w:val="single" w:sz="6" w:color="D9D9D9"/>
            </w:tcBorders>
            <w:vAlign w:val="center"/>
          </w:tcPr>
          <w:p>
            <w:pPr>
              <w:spacing w:after="0"/>
              <w:jc w:val="center"/>
            </w:pPr>
            <w:r>
              <w:rPr>
                <w:rFonts w:ascii="Aptos" w:hAnsi="Aptos" w:eastAsia="Aptos"/>
                <w:b/>
                <w:i w:val="0"/>
                <w:color w:val="FFFFFF"/>
                <w:sz w:val="18"/>
              </w:rPr>
              <w:t>Lý do cần 20 quý khi kiểm tra</w:t>
            </w:r>
          </w:p>
        </w:tc>
      </w:tr>
      <w:tr>
        <w:tc>
          <w:tcPr>
            <w:tcW w:type="dxa" w:w="2088"/>
            <w:tcMar>
              <w:top w:w="100" w:type="dxa"/>
              <w:start w:w="110" w:type="dxa"/>
              <w:bottom w:w="100" w:type="dxa"/>
              <w:end w:w="110" w:type="dxa"/>
            </w:tcMar>
            <w:tcBorders>
              <w:top w:val="single" w:sz="6" w:color="D9D9D9"/>
              <w:start w:val="single" w:sz="6" w:color="D9D9D9"/>
              <w:bottom w:val="single" w:sz="6" w:color="D9D9D9"/>
              <w:end w:val="single" w:sz="6" w:color="D9D9D9"/>
              <w:insideH w:val="single" w:sz="6" w:color="D9D9D9"/>
              <w:insideV w:val="single" w:sz="6" w:color="D9D9D9"/>
            </w:tcBorders>
            <w:vAlign w:val="center"/>
          </w:tcPr>
          <w:p>
            <w:pPr>
              <w:spacing w:after="0" w:line="252" w:lineRule="auto"/>
              <w:jc w:val="center"/>
            </w:pPr>
            <w:r>
              <w:rPr>
                <w:rFonts w:ascii="Aptos" w:hAnsi="Aptos" w:eastAsia="Aptos"/>
                <w:b w:val="0"/>
                <w:i w:val="0"/>
                <w:color w:val="000000"/>
                <w:sz w:val="18"/>
              </w:rPr>
              <w:t>EPS chuẩn hóa YoY</w:t>
            </w:r>
          </w:p>
        </w:tc>
        <w:tc>
          <w:tcPr>
            <w:tcW w:type="dxa" w:w="3672"/>
            <w:tcMar>
              <w:top w:w="100" w:type="dxa"/>
              <w:start w:w="110" w:type="dxa"/>
              <w:bottom w:w="100" w:type="dxa"/>
              <w:end w:w="110" w:type="dxa"/>
            </w:tcMar>
            <w:tcBorders>
              <w:top w:val="single" w:sz="6" w:color="D9D9D9"/>
              <w:start w:val="single" w:sz="6" w:color="D9D9D9"/>
              <w:bottom w:val="single" w:sz="6" w:color="D9D9D9"/>
              <w:end w:val="single" w:sz="6" w:color="D9D9D9"/>
              <w:insideH w:val="single" w:sz="6" w:color="D9D9D9"/>
              <w:insideV w:val="single" w:sz="6" w:color="D9D9D9"/>
            </w:tcBorders>
            <w:vAlign w:val="center"/>
          </w:tcPr>
          <w:p>
            <w:pPr>
              <w:spacing w:after="0" w:line="252" w:lineRule="auto"/>
              <w:jc w:val="left"/>
            </w:pPr>
            <w:r>
              <w:rPr>
                <w:rFonts w:ascii="Aptos" w:hAnsi="Aptos" w:eastAsia="Aptos"/>
                <w:b w:val="0"/>
                <w:i w:val="0"/>
                <w:color w:val="000000"/>
                <w:sz w:val="18"/>
              </w:rPr>
              <w:t>q và q-4</w:t>
            </w:r>
          </w:p>
        </w:tc>
        <w:tc>
          <w:tcPr>
            <w:tcW w:type="dxa" w:w="4176"/>
            <w:tcMar>
              <w:top w:w="100" w:type="dxa"/>
              <w:start w:w="110" w:type="dxa"/>
              <w:bottom w:w="100" w:type="dxa"/>
              <w:end w:w="110" w:type="dxa"/>
            </w:tcMar>
            <w:tcBorders>
              <w:top w:val="single" w:sz="6" w:color="D9D9D9"/>
              <w:start w:val="single" w:sz="6" w:color="D9D9D9"/>
              <w:bottom w:val="single" w:sz="6" w:color="D9D9D9"/>
              <w:end w:val="single" w:sz="6" w:color="D9D9D9"/>
              <w:insideH w:val="single" w:sz="6" w:color="D9D9D9"/>
              <w:insideV w:val="single" w:sz="6" w:color="D9D9D9"/>
            </w:tcBorders>
            <w:vAlign w:val="center"/>
          </w:tcPr>
          <w:p>
            <w:pPr>
              <w:spacing w:after="0" w:line="252" w:lineRule="auto"/>
              <w:jc w:val="left"/>
            </w:pPr>
            <w:r>
              <w:rPr>
                <w:rFonts w:ascii="Aptos" w:hAnsi="Aptos" w:eastAsia="Aptos"/>
                <w:b w:val="0"/>
                <w:i w:val="0"/>
                <w:color w:val="000000"/>
                <w:sz w:val="18"/>
              </w:rPr>
              <w:t>Kiểm tra nhiều chu kỳ, tình huống âm/dương và độ ổn định của hàm điểm.</w:t>
            </w:r>
          </w:p>
        </w:tc>
      </w:tr>
      <w:tr>
        <w:tc>
          <w:tcPr>
            <w:tcW w:type="dxa" w:w="2088"/>
            <w:shd w:fill="F4F7FA"/>
            <w:tcMar>
              <w:top w:w="100" w:type="dxa"/>
              <w:start w:w="110" w:type="dxa"/>
              <w:bottom w:w="100" w:type="dxa"/>
              <w:end w:w="110" w:type="dxa"/>
            </w:tcMar>
            <w:tcBorders>
              <w:top w:val="single" w:sz="6" w:color="D9D9D9"/>
              <w:start w:val="single" w:sz="6" w:color="D9D9D9"/>
              <w:bottom w:val="single" w:sz="6" w:color="D9D9D9"/>
              <w:end w:val="single" w:sz="6" w:color="D9D9D9"/>
              <w:insideH w:val="single" w:sz="6" w:color="D9D9D9"/>
              <w:insideV w:val="single" w:sz="6" w:color="D9D9D9"/>
            </w:tcBorders>
            <w:vAlign w:val="center"/>
          </w:tcPr>
          <w:p>
            <w:pPr>
              <w:spacing w:after="0" w:line="252" w:lineRule="auto"/>
              <w:jc w:val="center"/>
            </w:pPr>
            <w:r>
              <w:rPr>
                <w:rFonts w:ascii="Aptos" w:hAnsi="Aptos" w:eastAsia="Aptos"/>
                <w:b w:val="0"/>
                <w:i w:val="0"/>
                <w:color w:val="000000"/>
                <w:sz w:val="18"/>
              </w:rPr>
              <w:t>Số quý EPS tăng trưởng</w:t>
            </w:r>
          </w:p>
        </w:tc>
        <w:tc>
          <w:tcPr>
            <w:tcW w:type="dxa" w:w="3672"/>
            <w:shd w:fill="F4F7FA"/>
            <w:tcMar>
              <w:top w:w="100" w:type="dxa"/>
              <w:start w:w="110" w:type="dxa"/>
              <w:bottom w:w="100" w:type="dxa"/>
              <w:end w:w="110" w:type="dxa"/>
            </w:tcMar>
            <w:tcBorders>
              <w:top w:val="single" w:sz="6" w:color="D9D9D9"/>
              <w:start w:val="single" w:sz="6" w:color="D9D9D9"/>
              <w:bottom w:val="single" w:sz="6" w:color="D9D9D9"/>
              <w:end w:val="single" w:sz="6" w:color="D9D9D9"/>
              <w:insideH w:val="single" w:sz="6" w:color="D9D9D9"/>
              <w:insideV w:val="single" w:sz="6" w:color="D9D9D9"/>
            </w:tcBorders>
            <w:vAlign w:val="center"/>
          </w:tcPr>
          <w:p>
            <w:pPr>
              <w:spacing w:after="0" w:line="252" w:lineRule="auto"/>
              <w:jc w:val="left"/>
            </w:pPr>
            <w:r>
              <w:rPr>
                <w:rFonts w:ascii="Aptos" w:hAnsi="Aptos" w:eastAsia="Aptos"/>
                <w:b w:val="0"/>
                <w:i w:val="0"/>
                <w:color w:val="000000"/>
                <w:sz w:val="18"/>
              </w:rPr>
              <w:t>q, q-1, q-2 và các quý so sánh q-4, q-5, q-6</w:t>
            </w:r>
          </w:p>
        </w:tc>
        <w:tc>
          <w:tcPr>
            <w:tcW w:type="dxa" w:w="4176"/>
            <w:shd w:fill="F4F7FA"/>
            <w:tcMar>
              <w:top w:w="100" w:type="dxa"/>
              <w:start w:w="110" w:type="dxa"/>
              <w:bottom w:w="100" w:type="dxa"/>
              <w:end w:w="110" w:type="dxa"/>
            </w:tcMar>
            <w:tcBorders>
              <w:top w:val="single" w:sz="6" w:color="D9D9D9"/>
              <w:start w:val="single" w:sz="6" w:color="D9D9D9"/>
              <w:bottom w:val="single" w:sz="6" w:color="D9D9D9"/>
              <w:end w:val="single" w:sz="6" w:color="D9D9D9"/>
              <w:insideH w:val="single" w:sz="6" w:color="D9D9D9"/>
              <w:insideV w:val="single" w:sz="6" w:color="D9D9D9"/>
            </w:tcBorders>
            <w:vAlign w:val="center"/>
          </w:tcPr>
          <w:p>
            <w:pPr>
              <w:spacing w:after="0" w:line="252" w:lineRule="auto"/>
              <w:jc w:val="left"/>
            </w:pPr>
            <w:r>
              <w:rPr>
                <w:rFonts w:ascii="Aptos" w:hAnsi="Aptos" w:eastAsia="Aptos"/>
                <w:b w:val="0"/>
                <w:i w:val="0"/>
                <w:color w:val="000000"/>
                <w:sz w:val="18"/>
              </w:rPr>
              <w:t>Xác nhận chuỗi tăng trưởng trên toàn bộ lịch sử, không chỉ một thời điểm.</w:t>
            </w:r>
          </w:p>
        </w:tc>
      </w:tr>
      <w:tr>
        <w:tc>
          <w:tcPr>
            <w:tcW w:type="dxa" w:w="2088"/>
            <w:tcMar>
              <w:top w:w="100" w:type="dxa"/>
              <w:start w:w="110" w:type="dxa"/>
              <w:bottom w:w="100" w:type="dxa"/>
              <w:end w:w="110" w:type="dxa"/>
            </w:tcMar>
            <w:tcBorders>
              <w:top w:val="single" w:sz="6" w:color="D9D9D9"/>
              <w:start w:val="single" w:sz="6" w:color="D9D9D9"/>
              <w:bottom w:val="single" w:sz="6" w:color="D9D9D9"/>
              <w:end w:val="single" w:sz="6" w:color="D9D9D9"/>
              <w:insideH w:val="single" w:sz="6" w:color="D9D9D9"/>
              <w:insideV w:val="single" w:sz="6" w:color="D9D9D9"/>
            </w:tcBorders>
            <w:vAlign w:val="center"/>
          </w:tcPr>
          <w:p>
            <w:pPr>
              <w:spacing w:after="0" w:line="252" w:lineRule="auto"/>
              <w:jc w:val="center"/>
            </w:pPr>
            <w:r>
              <w:rPr>
                <w:rFonts w:ascii="Aptos" w:hAnsi="Aptos" w:eastAsia="Aptos"/>
                <w:b w:val="0"/>
                <w:i w:val="0"/>
                <w:color w:val="000000"/>
                <w:sz w:val="18"/>
              </w:rPr>
              <w:t>Doanh thu BH thuần YoY</w:t>
            </w:r>
          </w:p>
        </w:tc>
        <w:tc>
          <w:tcPr>
            <w:tcW w:type="dxa" w:w="3672"/>
            <w:tcMar>
              <w:top w:w="100" w:type="dxa"/>
              <w:start w:w="110" w:type="dxa"/>
              <w:bottom w:w="100" w:type="dxa"/>
              <w:end w:w="110" w:type="dxa"/>
            </w:tcMar>
            <w:tcBorders>
              <w:top w:val="single" w:sz="6" w:color="D9D9D9"/>
              <w:start w:val="single" w:sz="6" w:color="D9D9D9"/>
              <w:bottom w:val="single" w:sz="6" w:color="D9D9D9"/>
              <w:end w:val="single" w:sz="6" w:color="D9D9D9"/>
              <w:insideH w:val="single" w:sz="6" w:color="D9D9D9"/>
              <w:insideV w:val="single" w:sz="6" w:color="D9D9D9"/>
            </w:tcBorders>
            <w:vAlign w:val="center"/>
          </w:tcPr>
          <w:p>
            <w:pPr>
              <w:spacing w:after="0" w:line="252" w:lineRule="auto"/>
              <w:jc w:val="left"/>
            </w:pPr>
            <w:r>
              <w:rPr>
                <w:rFonts w:ascii="Aptos" w:hAnsi="Aptos" w:eastAsia="Aptos"/>
                <w:b w:val="0"/>
                <w:i w:val="0"/>
                <w:color w:val="000000"/>
                <w:sz w:val="18"/>
              </w:rPr>
              <w:t>q và q-4</w:t>
            </w:r>
          </w:p>
        </w:tc>
        <w:tc>
          <w:tcPr>
            <w:tcW w:type="dxa" w:w="4176"/>
            <w:tcMar>
              <w:top w:w="100" w:type="dxa"/>
              <w:start w:w="110" w:type="dxa"/>
              <w:bottom w:w="100" w:type="dxa"/>
              <w:end w:w="110" w:type="dxa"/>
            </w:tcMar>
            <w:tcBorders>
              <w:top w:val="single" w:sz="6" w:color="D9D9D9"/>
              <w:start w:val="single" w:sz="6" w:color="D9D9D9"/>
              <w:bottom w:val="single" w:sz="6" w:color="D9D9D9"/>
              <w:end w:val="single" w:sz="6" w:color="D9D9D9"/>
              <w:insideH w:val="single" w:sz="6" w:color="D9D9D9"/>
              <w:insideV w:val="single" w:sz="6" w:color="D9D9D9"/>
            </w:tcBorders>
            <w:vAlign w:val="center"/>
          </w:tcPr>
          <w:p>
            <w:pPr>
              <w:spacing w:after="0" w:line="252" w:lineRule="auto"/>
              <w:jc w:val="left"/>
            </w:pPr>
            <w:r>
              <w:rPr>
                <w:rFonts w:ascii="Aptos" w:hAnsi="Aptos" w:eastAsia="Aptos"/>
                <w:b w:val="0"/>
                <w:i w:val="0"/>
                <w:color w:val="000000"/>
                <w:sz w:val="18"/>
              </w:rPr>
              <w:t>Kiểm tra mapping dòng doanh thu qua các mẫu BCTC và thay đổi cách trình bày.</w:t>
            </w:r>
          </w:p>
        </w:tc>
      </w:tr>
      <w:tr>
        <w:tc>
          <w:tcPr>
            <w:tcW w:type="dxa" w:w="2088"/>
            <w:shd w:fill="F4F7FA"/>
            <w:tcMar>
              <w:top w:w="100" w:type="dxa"/>
              <w:start w:w="110" w:type="dxa"/>
              <w:bottom w:w="100" w:type="dxa"/>
              <w:end w:w="110" w:type="dxa"/>
            </w:tcMar>
            <w:tcBorders>
              <w:top w:val="single" w:sz="6" w:color="D9D9D9"/>
              <w:start w:val="single" w:sz="6" w:color="D9D9D9"/>
              <w:bottom w:val="single" w:sz="6" w:color="D9D9D9"/>
              <w:end w:val="single" w:sz="6" w:color="D9D9D9"/>
              <w:insideH w:val="single" w:sz="6" w:color="D9D9D9"/>
              <w:insideV w:val="single" w:sz="6" w:color="D9D9D9"/>
            </w:tcBorders>
            <w:vAlign w:val="center"/>
          </w:tcPr>
          <w:p>
            <w:pPr>
              <w:spacing w:after="0" w:line="252" w:lineRule="auto"/>
              <w:jc w:val="center"/>
            </w:pPr>
            <w:r>
              <w:rPr>
                <w:rFonts w:ascii="Aptos" w:hAnsi="Aptos" w:eastAsia="Aptos"/>
                <w:b w:val="0"/>
                <w:i w:val="0"/>
                <w:color w:val="000000"/>
                <w:sz w:val="18"/>
              </w:rPr>
              <w:t>ROE bốn quý</w:t>
            </w:r>
          </w:p>
        </w:tc>
        <w:tc>
          <w:tcPr>
            <w:tcW w:type="dxa" w:w="3672"/>
            <w:shd w:fill="F4F7FA"/>
            <w:tcMar>
              <w:top w:w="100" w:type="dxa"/>
              <w:start w:w="110" w:type="dxa"/>
              <w:bottom w:w="100" w:type="dxa"/>
              <w:end w:w="110" w:type="dxa"/>
            </w:tcMar>
            <w:tcBorders>
              <w:top w:val="single" w:sz="6" w:color="D9D9D9"/>
              <w:start w:val="single" w:sz="6" w:color="D9D9D9"/>
              <w:bottom w:val="single" w:sz="6" w:color="D9D9D9"/>
              <w:end w:val="single" w:sz="6" w:color="D9D9D9"/>
              <w:insideH w:val="single" w:sz="6" w:color="D9D9D9"/>
              <w:insideV w:val="single" w:sz="6" w:color="D9D9D9"/>
            </w:tcBorders>
            <w:vAlign w:val="center"/>
          </w:tcPr>
          <w:p>
            <w:pPr>
              <w:spacing w:after="0" w:line="252" w:lineRule="auto"/>
              <w:jc w:val="left"/>
            </w:pPr>
            <w:r>
              <w:rPr>
                <w:rFonts w:ascii="Aptos" w:hAnsi="Aptos" w:eastAsia="Aptos"/>
                <w:b w:val="0"/>
                <w:i w:val="0"/>
                <w:color w:val="000000"/>
                <w:sz w:val="18"/>
              </w:rPr>
              <w:t>LNST q đến q-3; VCSH tại q và q-4</w:t>
            </w:r>
          </w:p>
        </w:tc>
        <w:tc>
          <w:tcPr>
            <w:tcW w:type="dxa" w:w="4176"/>
            <w:shd w:fill="F4F7FA"/>
            <w:tcMar>
              <w:top w:w="100" w:type="dxa"/>
              <w:start w:w="110" w:type="dxa"/>
              <w:bottom w:w="100" w:type="dxa"/>
              <w:end w:w="110" w:type="dxa"/>
            </w:tcMar>
            <w:tcBorders>
              <w:top w:val="single" w:sz="6" w:color="D9D9D9"/>
              <w:start w:val="single" w:sz="6" w:color="D9D9D9"/>
              <w:bottom w:val="single" w:sz="6" w:color="D9D9D9"/>
              <w:end w:val="single" w:sz="6" w:color="D9D9D9"/>
              <w:insideH w:val="single" w:sz="6" w:color="D9D9D9"/>
              <w:insideV w:val="single" w:sz="6" w:color="D9D9D9"/>
            </w:tcBorders>
            <w:vAlign w:val="center"/>
          </w:tcPr>
          <w:p>
            <w:pPr>
              <w:spacing w:after="0" w:line="252" w:lineRule="auto"/>
              <w:jc w:val="left"/>
            </w:pPr>
            <w:r>
              <w:rPr>
                <w:rFonts w:ascii="Aptos" w:hAnsi="Aptos" w:eastAsia="Aptos"/>
                <w:b w:val="0"/>
                <w:i w:val="0"/>
                <w:color w:val="000000"/>
                <w:sz w:val="18"/>
              </w:rPr>
              <w:t>Tạo ROE TTM cho từng quý, kiểm tra vốn bình quân và quý có vốn bất thường.</w:t>
            </w:r>
          </w:p>
        </w:tc>
      </w:tr>
      <w:tr>
        <w:tc>
          <w:tcPr>
            <w:tcW w:type="dxa" w:w="2088"/>
            <w:tcMar>
              <w:top w:w="100" w:type="dxa"/>
              <w:start w:w="110" w:type="dxa"/>
              <w:bottom w:w="100" w:type="dxa"/>
              <w:end w:w="110" w:type="dxa"/>
            </w:tcMar>
            <w:tcBorders>
              <w:top w:val="single" w:sz="6" w:color="D9D9D9"/>
              <w:start w:val="single" w:sz="6" w:color="D9D9D9"/>
              <w:bottom w:val="single" w:sz="6" w:color="D9D9D9"/>
              <w:end w:val="single" w:sz="6" w:color="D9D9D9"/>
              <w:insideH w:val="single" w:sz="6" w:color="D9D9D9"/>
              <w:insideV w:val="single" w:sz="6" w:color="D9D9D9"/>
            </w:tcBorders>
            <w:vAlign w:val="center"/>
          </w:tcPr>
          <w:p>
            <w:pPr>
              <w:spacing w:after="0" w:line="252" w:lineRule="auto"/>
              <w:jc w:val="center"/>
            </w:pPr>
            <w:r>
              <w:rPr>
                <w:rFonts w:ascii="Aptos" w:hAnsi="Aptos" w:eastAsia="Aptos"/>
                <w:b w:val="0"/>
                <w:i w:val="0"/>
                <w:color w:val="000000"/>
                <w:sz w:val="18"/>
              </w:rPr>
              <w:t>Đệm vốn BCTC</w:t>
            </w:r>
          </w:p>
        </w:tc>
        <w:tc>
          <w:tcPr>
            <w:tcW w:type="dxa" w:w="3672"/>
            <w:tcMar>
              <w:top w:w="100" w:type="dxa"/>
              <w:start w:w="110" w:type="dxa"/>
              <w:bottom w:w="100" w:type="dxa"/>
              <w:end w:w="110" w:type="dxa"/>
            </w:tcMar>
            <w:tcBorders>
              <w:top w:val="single" w:sz="6" w:color="D9D9D9"/>
              <w:start w:val="single" w:sz="6" w:color="D9D9D9"/>
              <w:bottom w:val="single" w:sz="6" w:color="D9D9D9"/>
              <w:end w:val="single" w:sz="6" w:color="D9D9D9"/>
              <w:insideH w:val="single" w:sz="6" w:color="D9D9D9"/>
              <w:insideV w:val="single" w:sz="6" w:color="D9D9D9"/>
            </w:tcBorders>
            <w:vAlign w:val="center"/>
          </w:tcPr>
          <w:p>
            <w:pPr>
              <w:spacing w:after="0" w:line="252" w:lineRule="auto"/>
              <w:jc w:val="left"/>
            </w:pPr>
            <w:r>
              <w:rPr>
                <w:rFonts w:ascii="Aptos" w:hAnsi="Aptos" w:eastAsia="Aptos"/>
                <w:b w:val="0"/>
                <w:i w:val="0"/>
                <w:color w:val="000000"/>
                <w:sz w:val="18"/>
              </w:rPr>
              <w:t>VCSH và dự phòng tại q, q-4; trung vị q đến q-19</w:t>
            </w:r>
          </w:p>
        </w:tc>
        <w:tc>
          <w:tcPr>
            <w:tcW w:type="dxa" w:w="4176"/>
            <w:tcMar>
              <w:top w:w="100" w:type="dxa"/>
              <w:start w:w="110" w:type="dxa"/>
              <w:bottom w:w="100" w:type="dxa"/>
              <w:end w:w="110" w:type="dxa"/>
            </w:tcMar>
            <w:tcBorders>
              <w:top w:val="single" w:sz="6" w:color="D9D9D9"/>
              <w:start w:val="single" w:sz="6" w:color="D9D9D9"/>
              <w:bottom w:val="single" w:sz="6" w:color="D9D9D9"/>
              <w:end w:val="single" w:sz="6" w:color="D9D9D9"/>
              <w:insideH w:val="single" w:sz="6" w:color="D9D9D9"/>
              <w:insideV w:val="single" w:sz="6" w:color="D9D9D9"/>
            </w:tcBorders>
            <w:vAlign w:val="center"/>
          </w:tcPr>
          <w:p>
            <w:pPr>
              <w:spacing w:after="0" w:line="252" w:lineRule="auto"/>
              <w:jc w:val="left"/>
            </w:pPr>
            <w:r>
              <w:rPr>
                <w:rFonts w:ascii="Aptos" w:hAnsi="Aptos" w:eastAsia="Aptos"/>
                <w:b w:val="0"/>
                <w:i w:val="0"/>
                <w:color w:val="000000"/>
                <w:sz w:val="18"/>
              </w:rPr>
              <w:t>So sánh hiện tại với chính lịch sử 5 năm của doanh nghiệp.</w:t>
            </w:r>
          </w:p>
        </w:tc>
      </w:tr>
    </w:tbl>
    <w:p>
      <w:pPr>
        <w:spacing w:after="20"/>
      </w:pPr>
    </w:p>
    <w:p>
      <w:pPr>
        <w:pStyle w:val="Heading2"/>
        <w:keepNext/>
        <w:spacing w:before="140" w:after="100"/>
      </w:pPr>
      <w:r>
        <w:rPr>
          <w:rFonts w:ascii="Aptos" w:hAnsi="Aptos" w:eastAsia="Aptos"/>
          <w:b/>
          <w:i w:val="0"/>
          <w:color w:val="000000"/>
          <w:sz w:val="24"/>
        </w:rPr>
        <w:t>3.1 Điều kiện coverage</w:t>
      </w:r>
    </w:p>
    <w:p>
      <w:pPr>
        <w:spacing w:after="100" w:line="269" w:lineRule="auto"/>
      </w:pPr>
      <w:r>
        <w:rPr>
          <w:rFonts w:ascii="Aptos" w:hAnsi="Aptos" w:eastAsia="Aptos"/>
          <w:b w:val="0"/>
          <w:i w:val="0"/>
          <w:color w:val="000000"/>
          <w:sz w:val="21"/>
        </w:rPr>
        <w:t>Một tiêu chí chỉ được đề nghị triển khai khi đạt đồng thời các điều kiện sau:</w:t>
      </w:r>
    </w:p>
    <w:p>
      <w:pPr>
        <w:pStyle w:val="ListBullet"/>
        <w:spacing w:after="60" w:line="259" w:lineRule="auto"/>
      </w:pPr>
      <w:r>
        <w:rPr>
          <w:rFonts w:ascii="Aptos" w:hAnsi="Aptos" w:eastAsia="Aptos"/>
          <w:b w:val="0"/>
          <w:i w:val="0"/>
          <w:color w:val="000000"/>
          <w:sz w:val="21"/>
        </w:rPr>
        <w:t>100% doanh nghiệp trong universe kiểm tra có dữ liệu nguồn hoặc có công thức dẫn xuất kiểm chứng được.</w:t>
      </w:r>
    </w:p>
    <w:p>
      <w:pPr>
        <w:pStyle w:val="ListBullet"/>
        <w:spacing w:after="60" w:line="259" w:lineRule="auto"/>
      </w:pPr>
      <w:r>
        <w:rPr>
          <w:rFonts w:ascii="Aptos" w:hAnsi="Aptos" w:eastAsia="Aptos"/>
          <w:b w:val="0"/>
          <w:i w:val="0"/>
          <w:color w:val="000000"/>
          <w:sz w:val="21"/>
        </w:rPr>
        <w:t>100% kỳ bắt buộc của từng doanh nghiệp tính được, trừ trường hợp doanh nghiệp chưa niêm yết/chưa tồn tại đủ 20 quý; trường hợp này phải xác định quy tắc lịch sử tối thiểu riêng.</w:t>
      </w:r>
    </w:p>
    <w:p>
      <w:pPr>
        <w:pStyle w:val="ListBullet"/>
        <w:spacing w:after="60" w:line="259" w:lineRule="auto"/>
      </w:pPr>
      <w:r>
        <w:rPr>
          <w:rFonts w:ascii="Aptos" w:hAnsi="Aptos" w:eastAsia="Aptos"/>
          <w:b w:val="0"/>
          <w:i w:val="0"/>
          <w:color w:val="000000"/>
          <w:sz w:val="21"/>
        </w:rPr>
        <w:t>Cùng một khái niệm kinh tế được dùng xuyên suốt các kỳ; không ghép các dòng khác bản chất chỉ để đủ số liệu.</w:t>
      </w:r>
    </w:p>
    <w:p>
      <w:pPr>
        <w:pStyle w:val="ListBullet"/>
        <w:spacing w:after="60" w:line="259" w:lineRule="auto"/>
      </w:pPr>
      <w:r>
        <w:rPr>
          <w:rFonts w:ascii="Aptos" w:hAnsi="Aptos" w:eastAsia="Aptos"/>
          <w:b w:val="0"/>
          <w:i w:val="0"/>
          <w:color w:val="000000"/>
          <w:sz w:val="21"/>
        </w:rPr>
        <w:t>Kết quả tính tự động khớp mẫu tính thủ công trong sai số làm tròn cho phép.</w:t>
      </w:r>
    </w:p>
    <w:p>
      <w:pPr>
        <w:pStyle w:val="ListBullet"/>
        <w:spacing w:after="60" w:line="259" w:lineRule="auto"/>
      </w:pPr>
      <w:r>
        <w:rPr>
          <w:rFonts w:ascii="Aptos" w:hAnsi="Aptos" w:eastAsia="Aptos"/>
          <w:b w:val="0"/>
          <w:i w:val="0"/>
          <w:color w:val="000000"/>
          <w:sz w:val="21"/>
        </w:rPr>
        <w:t>Không có N/A, không có giá trị giả định và không chuyển dữ liệu thiếu thành điểm 0.</w:t>
      </w:r>
    </w:p>
    <w:p>
      <w:pPr>
        <w:pStyle w:val="Heading2"/>
        <w:keepNext/>
        <w:spacing w:before="140" w:after="100"/>
      </w:pPr>
      <w:r>
        <w:rPr>
          <w:rFonts w:ascii="Aptos" w:hAnsi="Aptos" w:eastAsia="Aptos"/>
          <w:b/>
          <w:i w:val="0"/>
          <w:color w:val="000000"/>
          <w:sz w:val="24"/>
        </w:rPr>
        <w:t>3.2 Trạng thái dữ liệu nội bộ</w:t>
      </w:r>
    </w:p>
    <w:tbl>
      <w:tblPr>
        <w:tblW w:type="auto" w:w="0"/>
        <w:jc w:val="center"/>
        <w:tblLayout w:type="fixed"/>
        <w:tblLook w:firstColumn="1" w:firstRow="1" w:lastColumn="0" w:lastRow="0" w:noHBand="0" w:noVBand="1" w:val="04A0"/>
      </w:tblPr>
      <w:tblGrid>
        <w:gridCol w:w="3408"/>
        <w:gridCol w:w="3408"/>
        <w:gridCol w:w="3408"/>
      </w:tblGrid>
      <w:tr>
        <w:trPr>
          <w:tblHeader w:val="true"/>
        </w:trPr>
        <w:tc>
          <w:tcPr>
            <w:tcW w:type="dxa" w:w="1656"/>
            <w:shd w:fill="17365D"/>
            <w:tcMar>
              <w:top w:w="100" w:type="dxa"/>
              <w:start w:w="110" w:type="dxa"/>
              <w:bottom w:w="100" w:type="dxa"/>
              <w:end w:w="110" w:type="dxa"/>
            </w:tcMar>
            <w:tcBorders>
              <w:top w:val="single" w:sz="6" w:color="D9D9D9"/>
              <w:start w:val="single" w:sz="6" w:color="D9D9D9"/>
              <w:bottom w:val="single" w:sz="6" w:color="D9D9D9"/>
              <w:end w:val="single" w:sz="6" w:color="D9D9D9"/>
              <w:insideH w:val="single" w:sz="6" w:color="D9D9D9"/>
              <w:insideV w:val="single" w:sz="6" w:color="D9D9D9"/>
            </w:tcBorders>
            <w:vAlign w:val="center"/>
          </w:tcPr>
          <w:p>
            <w:pPr>
              <w:spacing w:after="0"/>
              <w:jc w:val="center"/>
            </w:pPr>
            <w:r>
              <w:rPr>
                <w:rFonts w:ascii="Aptos" w:hAnsi="Aptos" w:eastAsia="Aptos"/>
                <w:b/>
                <w:i w:val="0"/>
                <w:color w:val="FFFFFF"/>
                <w:sz w:val="18"/>
              </w:rPr>
              <w:t>Trạng thái</w:t>
            </w:r>
          </w:p>
        </w:tc>
        <w:tc>
          <w:tcPr>
            <w:tcW w:type="dxa" w:w="6480"/>
            <w:shd w:fill="17365D"/>
            <w:tcMar>
              <w:top w:w="100" w:type="dxa"/>
              <w:start w:w="110" w:type="dxa"/>
              <w:bottom w:w="100" w:type="dxa"/>
              <w:end w:w="110" w:type="dxa"/>
            </w:tcMar>
            <w:tcBorders>
              <w:top w:val="single" w:sz="6" w:color="D9D9D9"/>
              <w:start w:val="single" w:sz="6" w:color="D9D9D9"/>
              <w:bottom w:val="single" w:sz="6" w:color="D9D9D9"/>
              <w:end w:val="single" w:sz="6" w:color="D9D9D9"/>
              <w:insideH w:val="single" w:sz="6" w:color="D9D9D9"/>
              <w:insideV w:val="single" w:sz="6" w:color="D9D9D9"/>
            </w:tcBorders>
            <w:vAlign w:val="center"/>
          </w:tcPr>
          <w:p>
            <w:pPr>
              <w:spacing w:after="0"/>
              <w:jc w:val="center"/>
            </w:pPr>
            <w:r>
              <w:rPr>
                <w:rFonts w:ascii="Aptos" w:hAnsi="Aptos" w:eastAsia="Aptos"/>
                <w:b/>
                <w:i w:val="0"/>
                <w:color w:val="FFFFFF"/>
                <w:sz w:val="18"/>
              </w:rPr>
              <w:t>Định nghĩa</w:t>
            </w:r>
          </w:p>
        </w:tc>
        <w:tc>
          <w:tcPr>
            <w:tcW w:type="dxa" w:w="1872"/>
            <w:shd w:fill="17365D"/>
            <w:tcMar>
              <w:top w:w="100" w:type="dxa"/>
              <w:start w:w="110" w:type="dxa"/>
              <w:bottom w:w="100" w:type="dxa"/>
              <w:end w:w="110" w:type="dxa"/>
            </w:tcMar>
            <w:tcBorders>
              <w:top w:val="single" w:sz="6" w:color="D9D9D9"/>
              <w:start w:val="single" w:sz="6" w:color="D9D9D9"/>
              <w:bottom w:val="single" w:sz="6" w:color="D9D9D9"/>
              <w:end w:val="single" w:sz="6" w:color="D9D9D9"/>
              <w:insideH w:val="single" w:sz="6" w:color="D9D9D9"/>
              <w:insideV w:val="single" w:sz="6" w:color="D9D9D9"/>
            </w:tcBorders>
            <w:vAlign w:val="center"/>
          </w:tcPr>
          <w:p>
            <w:pPr>
              <w:spacing w:after="0"/>
              <w:jc w:val="center"/>
            </w:pPr>
            <w:r>
              <w:rPr>
                <w:rFonts w:ascii="Aptos" w:hAnsi="Aptos" w:eastAsia="Aptos"/>
                <w:b/>
                <w:i w:val="0"/>
                <w:color w:val="FFFFFF"/>
                <w:sz w:val="18"/>
              </w:rPr>
              <w:t>Được dùng tính điểm?</w:t>
            </w:r>
          </w:p>
        </w:tc>
      </w:tr>
      <w:tr>
        <w:tc>
          <w:tcPr>
            <w:tcW w:type="dxa" w:w="1656"/>
            <w:tcMar>
              <w:top w:w="100" w:type="dxa"/>
              <w:start w:w="110" w:type="dxa"/>
              <w:bottom w:w="100" w:type="dxa"/>
              <w:end w:w="110" w:type="dxa"/>
            </w:tcMar>
            <w:tcBorders>
              <w:top w:val="single" w:sz="6" w:color="D9D9D9"/>
              <w:start w:val="single" w:sz="6" w:color="D9D9D9"/>
              <w:bottom w:val="single" w:sz="6" w:color="D9D9D9"/>
              <w:end w:val="single" w:sz="6" w:color="D9D9D9"/>
              <w:insideH w:val="single" w:sz="6" w:color="D9D9D9"/>
              <w:insideV w:val="single" w:sz="6" w:color="D9D9D9"/>
            </w:tcBorders>
            <w:vAlign w:val="center"/>
          </w:tcPr>
          <w:p>
            <w:pPr>
              <w:spacing w:after="0" w:line="252" w:lineRule="auto"/>
              <w:jc w:val="center"/>
            </w:pPr>
            <w:r>
              <w:rPr>
                <w:rFonts w:ascii="Aptos" w:hAnsi="Aptos" w:eastAsia="Aptos"/>
                <w:b w:val="0"/>
                <w:i w:val="0"/>
                <w:color w:val="000000"/>
                <w:sz w:val="18"/>
              </w:rPr>
              <w:t>DIRECT</w:t>
            </w:r>
          </w:p>
        </w:tc>
        <w:tc>
          <w:tcPr>
            <w:tcW w:type="dxa" w:w="6480"/>
            <w:tcMar>
              <w:top w:w="100" w:type="dxa"/>
              <w:start w:w="110" w:type="dxa"/>
              <w:bottom w:w="100" w:type="dxa"/>
              <w:end w:w="110" w:type="dxa"/>
            </w:tcMar>
            <w:tcBorders>
              <w:top w:val="single" w:sz="6" w:color="D9D9D9"/>
              <w:start w:val="single" w:sz="6" w:color="D9D9D9"/>
              <w:bottom w:val="single" w:sz="6" w:color="D9D9D9"/>
              <w:end w:val="single" w:sz="6" w:color="D9D9D9"/>
              <w:insideH w:val="single" w:sz="6" w:color="D9D9D9"/>
              <w:insideV w:val="single" w:sz="6" w:color="D9D9D9"/>
            </w:tcBorders>
            <w:vAlign w:val="center"/>
          </w:tcPr>
          <w:p>
            <w:pPr>
              <w:spacing w:after="0" w:line="252" w:lineRule="auto"/>
              <w:jc w:val="left"/>
            </w:pPr>
            <w:r>
              <w:rPr>
                <w:rFonts w:ascii="Aptos" w:hAnsi="Aptos" w:eastAsia="Aptos"/>
                <w:b w:val="0"/>
                <w:i w:val="0"/>
                <w:color w:val="000000"/>
                <w:sz w:val="18"/>
              </w:rPr>
              <w:t>Lấy trực tiếp từ dòng số hoặc thuyết minh BCTC.</w:t>
            </w:r>
          </w:p>
        </w:tc>
        <w:tc>
          <w:tcPr>
            <w:tcW w:type="dxa" w:w="1872"/>
            <w:tcMar>
              <w:top w:w="100" w:type="dxa"/>
              <w:start w:w="110" w:type="dxa"/>
              <w:bottom w:w="100" w:type="dxa"/>
              <w:end w:w="110" w:type="dxa"/>
            </w:tcMar>
            <w:tcBorders>
              <w:top w:val="single" w:sz="6" w:color="D9D9D9"/>
              <w:start w:val="single" w:sz="6" w:color="D9D9D9"/>
              <w:bottom w:val="single" w:sz="6" w:color="D9D9D9"/>
              <w:end w:val="single" w:sz="6" w:color="D9D9D9"/>
              <w:insideH w:val="single" w:sz="6" w:color="D9D9D9"/>
              <w:insideV w:val="single" w:sz="6" w:color="D9D9D9"/>
            </w:tcBorders>
            <w:vAlign w:val="center"/>
          </w:tcPr>
          <w:p>
            <w:pPr>
              <w:spacing w:after="0" w:line="252" w:lineRule="auto"/>
              <w:jc w:val="left"/>
            </w:pPr>
            <w:r>
              <w:rPr>
                <w:rFonts w:ascii="Aptos" w:hAnsi="Aptos" w:eastAsia="Aptos"/>
                <w:b w:val="0"/>
                <w:i w:val="0"/>
                <w:color w:val="000000"/>
                <w:sz w:val="18"/>
              </w:rPr>
              <w:t>Có</w:t>
            </w:r>
          </w:p>
        </w:tc>
      </w:tr>
      <w:tr>
        <w:tc>
          <w:tcPr>
            <w:tcW w:type="dxa" w:w="1656"/>
            <w:shd w:fill="F4F7FA"/>
            <w:tcMar>
              <w:top w:w="100" w:type="dxa"/>
              <w:start w:w="110" w:type="dxa"/>
              <w:bottom w:w="100" w:type="dxa"/>
              <w:end w:w="110" w:type="dxa"/>
            </w:tcMar>
            <w:tcBorders>
              <w:top w:val="single" w:sz="6" w:color="D9D9D9"/>
              <w:start w:val="single" w:sz="6" w:color="D9D9D9"/>
              <w:bottom w:val="single" w:sz="6" w:color="D9D9D9"/>
              <w:end w:val="single" w:sz="6" w:color="D9D9D9"/>
              <w:insideH w:val="single" w:sz="6" w:color="D9D9D9"/>
              <w:insideV w:val="single" w:sz="6" w:color="D9D9D9"/>
            </w:tcBorders>
            <w:vAlign w:val="center"/>
          </w:tcPr>
          <w:p>
            <w:pPr>
              <w:spacing w:after="0" w:line="252" w:lineRule="auto"/>
              <w:jc w:val="center"/>
            </w:pPr>
            <w:r>
              <w:rPr>
                <w:rFonts w:ascii="Aptos" w:hAnsi="Aptos" w:eastAsia="Aptos"/>
                <w:b w:val="0"/>
                <w:i w:val="0"/>
                <w:color w:val="000000"/>
                <w:sz w:val="18"/>
              </w:rPr>
              <w:t>DERIVED</w:t>
            </w:r>
          </w:p>
        </w:tc>
        <w:tc>
          <w:tcPr>
            <w:tcW w:type="dxa" w:w="6480"/>
            <w:shd w:fill="F4F7FA"/>
            <w:tcMar>
              <w:top w:w="100" w:type="dxa"/>
              <w:start w:w="110" w:type="dxa"/>
              <w:bottom w:w="100" w:type="dxa"/>
              <w:end w:w="110" w:type="dxa"/>
            </w:tcMar>
            <w:tcBorders>
              <w:top w:val="single" w:sz="6" w:color="D9D9D9"/>
              <w:start w:val="single" w:sz="6" w:color="D9D9D9"/>
              <w:bottom w:val="single" w:sz="6" w:color="D9D9D9"/>
              <w:end w:val="single" w:sz="6" w:color="D9D9D9"/>
              <w:insideH w:val="single" w:sz="6" w:color="D9D9D9"/>
              <w:insideV w:val="single" w:sz="6" w:color="D9D9D9"/>
            </w:tcBorders>
            <w:vAlign w:val="center"/>
          </w:tcPr>
          <w:p>
            <w:pPr>
              <w:spacing w:after="0" w:line="252" w:lineRule="auto"/>
              <w:jc w:val="left"/>
            </w:pPr>
            <w:r>
              <w:rPr>
                <w:rFonts w:ascii="Aptos" w:hAnsi="Aptos" w:eastAsia="Aptos"/>
                <w:b w:val="0"/>
                <w:i w:val="0"/>
                <w:color w:val="000000"/>
                <w:sz w:val="18"/>
              </w:rPr>
              <w:t>Tính từ số lũy kế hoặc các dòng BCTC bằng công thức đối chiếu được.</w:t>
            </w:r>
          </w:p>
        </w:tc>
        <w:tc>
          <w:tcPr>
            <w:tcW w:type="dxa" w:w="1872"/>
            <w:shd w:fill="F4F7FA"/>
            <w:tcMar>
              <w:top w:w="100" w:type="dxa"/>
              <w:start w:w="110" w:type="dxa"/>
              <w:bottom w:w="100" w:type="dxa"/>
              <w:end w:w="110" w:type="dxa"/>
            </w:tcMar>
            <w:tcBorders>
              <w:top w:val="single" w:sz="6" w:color="D9D9D9"/>
              <w:start w:val="single" w:sz="6" w:color="D9D9D9"/>
              <w:bottom w:val="single" w:sz="6" w:color="D9D9D9"/>
              <w:end w:val="single" w:sz="6" w:color="D9D9D9"/>
              <w:insideH w:val="single" w:sz="6" w:color="D9D9D9"/>
              <w:insideV w:val="single" w:sz="6" w:color="D9D9D9"/>
            </w:tcBorders>
            <w:vAlign w:val="center"/>
          </w:tcPr>
          <w:p>
            <w:pPr>
              <w:spacing w:after="0" w:line="252" w:lineRule="auto"/>
              <w:jc w:val="left"/>
            </w:pPr>
            <w:r>
              <w:rPr>
                <w:rFonts w:ascii="Aptos" w:hAnsi="Aptos" w:eastAsia="Aptos"/>
                <w:b w:val="0"/>
                <w:i w:val="0"/>
                <w:color w:val="000000"/>
                <w:sz w:val="18"/>
              </w:rPr>
              <w:t>Có</w:t>
            </w:r>
          </w:p>
        </w:tc>
      </w:tr>
      <w:tr>
        <w:tc>
          <w:tcPr>
            <w:tcW w:type="dxa" w:w="1656"/>
            <w:tcMar>
              <w:top w:w="100" w:type="dxa"/>
              <w:start w:w="110" w:type="dxa"/>
              <w:bottom w:w="100" w:type="dxa"/>
              <w:end w:w="110" w:type="dxa"/>
            </w:tcMar>
            <w:tcBorders>
              <w:top w:val="single" w:sz="6" w:color="D9D9D9"/>
              <w:start w:val="single" w:sz="6" w:color="D9D9D9"/>
              <w:bottom w:val="single" w:sz="6" w:color="D9D9D9"/>
              <w:end w:val="single" w:sz="6" w:color="D9D9D9"/>
              <w:insideH w:val="single" w:sz="6" w:color="D9D9D9"/>
              <w:insideV w:val="single" w:sz="6" w:color="D9D9D9"/>
            </w:tcBorders>
            <w:vAlign w:val="center"/>
          </w:tcPr>
          <w:p>
            <w:pPr>
              <w:spacing w:after="0" w:line="252" w:lineRule="auto"/>
              <w:jc w:val="center"/>
            </w:pPr>
            <w:r>
              <w:rPr>
                <w:rFonts w:ascii="Aptos" w:hAnsi="Aptos" w:eastAsia="Aptos"/>
                <w:b w:val="0"/>
                <w:i w:val="0"/>
                <w:color w:val="000000"/>
                <w:sz w:val="18"/>
              </w:rPr>
              <w:t>FAIL_DATA</w:t>
            </w:r>
          </w:p>
        </w:tc>
        <w:tc>
          <w:tcPr>
            <w:tcW w:type="dxa" w:w="6480"/>
            <w:tcMar>
              <w:top w:w="100" w:type="dxa"/>
              <w:start w:w="110" w:type="dxa"/>
              <w:bottom w:w="100" w:type="dxa"/>
              <w:end w:w="110" w:type="dxa"/>
            </w:tcMar>
            <w:tcBorders>
              <w:top w:val="single" w:sz="6" w:color="D9D9D9"/>
              <w:start w:val="single" w:sz="6" w:color="D9D9D9"/>
              <w:bottom w:val="single" w:sz="6" w:color="D9D9D9"/>
              <w:end w:val="single" w:sz="6" w:color="D9D9D9"/>
              <w:insideH w:val="single" w:sz="6" w:color="D9D9D9"/>
              <w:insideV w:val="single" w:sz="6" w:color="D9D9D9"/>
            </w:tcBorders>
            <w:vAlign w:val="center"/>
          </w:tcPr>
          <w:p>
            <w:pPr>
              <w:spacing w:after="0" w:line="252" w:lineRule="auto"/>
              <w:jc w:val="left"/>
            </w:pPr>
            <w:r>
              <w:rPr>
                <w:rFonts w:ascii="Aptos" w:hAnsi="Aptos" w:eastAsia="Aptos"/>
                <w:b w:val="0"/>
                <w:i w:val="0"/>
                <w:color w:val="000000"/>
                <w:sz w:val="18"/>
              </w:rPr>
              <w:t>Không tìm thấy, khác bản chất hoặc không thể đối chiếu.</w:t>
            </w:r>
          </w:p>
        </w:tc>
        <w:tc>
          <w:tcPr>
            <w:tcW w:type="dxa" w:w="1872"/>
            <w:tcMar>
              <w:top w:w="100" w:type="dxa"/>
              <w:start w:w="110" w:type="dxa"/>
              <w:bottom w:w="100" w:type="dxa"/>
              <w:end w:w="110" w:type="dxa"/>
            </w:tcMar>
            <w:tcBorders>
              <w:top w:val="single" w:sz="6" w:color="D9D9D9"/>
              <w:start w:val="single" w:sz="6" w:color="D9D9D9"/>
              <w:bottom w:val="single" w:sz="6" w:color="D9D9D9"/>
              <w:end w:val="single" w:sz="6" w:color="D9D9D9"/>
              <w:insideH w:val="single" w:sz="6" w:color="D9D9D9"/>
              <w:insideV w:val="single" w:sz="6" w:color="D9D9D9"/>
            </w:tcBorders>
            <w:vAlign w:val="center"/>
          </w:tcPr>
          <w:p>
            <w:pPr>
              <w:spacing w:after="0" w:line="252" w:lineRule="auto"/>
              <w:jc w:val="left"/>
            </w:pPr>
            <w:r>
              <w:rPr>
                <w:rFonts w:ascii="Aptos" w:hAnsi="Aptos" w:eastAsia="Aptos"/>
                <w:b w:val="0"/>
                <w:i w:val="0"/>
                <w:color w:val="000000"/>
                <w:sz w:val="18"/>
              </w:rPr>
              <w:t>Không</w:t>
            </w:r>
          </w:p>
        </w:tc>
      </w:tr>
      <w:tr>
        <w:tc>
          <w:tcPr>
            <w:tcW w:type="dxa" w:w="1656"/>
            <w:shd w:fill="F4F7FA"/>
            <w:tcMar>
              <w:top w:w="100" w:type="dxa"/>
              <w:start w:w="110" w:type="dxa"/>
              <w:bottom w:w="100" w:type="dxa"/>
              <w:end w:w="110" w:type="dxa"/>
            </w:tcMar>
            <w:tcBorders>
              <w:top w:val="single" w:sz="6" w:color="D9D9D9"/>
              <w:start w:val="single" w:sz="6" w:color="D9D9D9"/>
              <w:bottom w:val="single" w:sz="6" w:color="D9D9D9"/>
              <w:end w:val="single" w:sz="6" w:color="D9D9D9"/>
              <w:insideH w:val="single" w:sz="6" w:color="D9D9D9"/>
              <w:insideV w:val="single" w:sz="6" w:color="D9D9D9"/>
            </w:tcBorders>
            <w:vAlign w:val="center"/>
          </w:tcPr>
          <w:p>
            <w:pPr>
              <w:spacing w:after="0" w:line="252" w:lineRule="auto"/>
              <w:jc w:val="center"/>
            </w:pPr>
            <w:r>
              <w:rPr>
                <w:rFonts w:ascii="Aptos" w:hAnsi="Aptos" w:eastAsia="Aptos"/>
                <w:b w:val="0"/>
                <w:i w:val="0"/>
                <w:color w:val="000000"/>
                <w:sz w:val="18"/>
              </w:rPr>
              <w:t>FAIL_MAPPING</w:t>
            </w:r>
          </w:p>
        </w:tc>
        <w:tc>
          <w:tcPr>
            <w:tcW w:type="dxa" w:w="6480"/>
            <w:shd w:fill="F4F7FA"/>
            <w:tcMar>
              <w:top w:w="100" w:type="dxa"/>
              <w:start w:w="110" w:type="dxa"/>
              <w:bottom w:w="100" w:type="dxa"/>
              <w:end w:w="110" w:type="dxa"/>
            </w:tcMar>
            <w:tcBorders>
              <w:top w:val="single" w:sz="6" w:color="D9D9D9"/>
              <w:start w:val="single" w:sz="6" w:color="D9D9D9"/>
              <w:bottom w:val="single" w:sz="6" w:color="D9D9D9"/>
              <w:end w:val="single" w:sz="6" w:color="D9D9D9"/>
              <w:insideH w:val="single" w:sz="6" w:color="D9D9D9"/>
              <w:insideV w:val="single" w:sz="6" w:color="D9D9D9"/>
            </w:tcBorders>
            <w:vAlign w:val="center"/>
          </w:tcPr>
          <w:p>
            <w:pPr>
              <w:spacing w:after="0" w:line="252" w:lineRule="auto"/>
              <w:jc w:val="left"/>
            </w:pPr>
            <w:r>
              <w:rPr>
                <w:rFonts w:ascii="Aptos" w:hAnsi="Aptos" w:eastAsia="Aptos"/>
                <w:b w:val="0"/>
                <w:i w:val="0"/>
                <w:color w:val="000000"/>
                <w:sz w:val="18"/>
              </w:rPr>
              <w:t>Có số nhưng mapping không nhất quán giữa doanh nghiệp hoặc giữa các kỳ.</w:t>
            </w:r>
          </w:p>
        </w:tc>
        <w:tc>
          <w:tcPr>
            <w:tcW w:type="dxa" w:w="1872"/>
            <w:shd w:fill="F4F7FA"/>
            <w:tcMar>
              <w:top w:w="100" w:type="dxa"/>
              <w:start w:w="110" w:type="dxa"/>
              <w:bottom w:w="100" w:type="dxa"/>
              <w:end w:w="110" w:type="dxa"/>
            </w:tcMar>
            <w:tcBorders>
              <w:top w:val="single" w:sz="6" w:color="D9D9D9"/>
              <w:start w:val="single" w:sz="6" w:color="D9D9D9"/>
              <w:bottom w:val="single" w:sz="6" w:color="D9D9D9"/>
              <w:end w:val="single" w:sz="6" w:color="D9D9D9"/>
              <w:insideH w:val="single" w:sz="6" w:color="D9D9D9"/>
              <w:insideV w:val="single" w:sz="6" w:color="D9D9D9"/>
            </w:tcBorders>
            <w:vAlign w:val="center"/>
          </w:tcPr>
          <w:p>
            <w:pPr>
              <w:spacing w:after="0" w:line="252" w:lineRule="auto"/>
              <w:jc w:val="left"/>
            </w:pPr>
            <w:r>
              <w:rPr>
                <w:rFonts w:ascii="Aptos" w:hAnsi="Aptos" w:eastAsia="Aptos"/>
                <w:b w:val="0"/>
                <w:i w:val="0"/>
                <w:color w:val="000000"/>
                <w:sz w:val="18"/>
              </w:rPr>
              <w:t>Không</w:t>
            </w:r>
          </w:p>
        </w:tc>
      </w:tr>
    </w:tbl>
    <w:p>
      <w:pPr>
        <w:spacing w:after="20"/>
      </w:pPr>
    </w:p>
    <w:p>
      <w:r>
        <w:br w:type="page"/>
      </w:r>
    </w:p>
    <w:p>
      <w:pPr>
        <w:pStyle w:val="Heading1"/>
        <w:keepNext/>
        <w:spacing w:before="200" w:after="100"/>
      </w:pPr>
      <w:r>
        <w:rPr>
          <w:rFonts w:ascii="Aptos" w:hAnsi="Aptos" w:eastAsia="Aptos"/>
          <w:b/>
          <w:i w:val="0"/>
          <w:color w:val="000000"/>
          <w:sz w:val="30"/>
        </w:rPr>
        <w:t>4 Tiêu chí 1 EPS chuẩn hóa YoY 10 điểm</w:t>
      </w:r>
    </w:p>
    <w:p>
      <w:pPr>
        <w:pStyle w:val="Heading2"/>
        <w:keepNext/>
        <w:spacing w:before="140" w:after="100"/>
      </w:pPr>
      <w:r>
        <w:rPr>
          <w:rFonts w:ascii="Aptos" w:hAnsi="Aptos" w:eastAsia="Aptos"/>
          <w:b/>
          <w:i w:val="0"/>
          <w:color w:val="000000"/>
          <w:sz w:val="24"/>
        </w:rPr>
        <w:t>4.1 Mục tiêu và ý nghĩa</w:t>
      </w:r>
    </w:p>
    <w:p>
      <w:pPr>
        <w:spacing w:after="100" w:line="269" w:lineRule="auto"/>
      </w:pPr>
      <w:r>
        <w:rPr>
          <w:rFonts w:ascii="Aptos" w:hAnsi="Aptos" w:eastAsia="Aptos"/>
          <w:b w:val="0"/>
          <w:i w:val="0"/>
          <w:color w:val="000000"/>
          <w:sz w:val="21"/>
        </w:rPr>
        <w:t>Đo tốc độ thay đổi lợi nhuận trên mỗi cổ phần trong quý hiện tại so với cùng quý năm trước. Đây là tín hiệu về cường độ tăng trưởng lợi nhuận đang diễn ra, không phải phép đo độ bền của tăng trưởng; độ bền được tách sang tiêu chí 2.</w:t>
      </w:r>
    </w:p>
    <w:p>
      <w:pPr>
        <w:pStyle w:val="Heading2"/>
        <w:keepNext/>
        <w:spacing w:before="140" w:after="100"/>
      </w:pPr>
      <w:r>
        <w:rPr>
          <w:rFonts w:ascii="Aptos" w:hAnsi="Aptos" w:eastAsia="Aptos"/>
          <w:b/>
          <w:i w:val="0"/>
          <w:color w:val="000000"/>
          <w:sz w:val="24"/>
        </w:rPr>
        <w:t>4.2 Dữ liệu đầu vào</w:t>
      </w:r>
    </w:p>
    <w:tbl>
      <w:tblPr>
        <w:tblW w:type="auto" w:w="0"/>
        <w:jc w:val="center"/>
        <w:tblLayout w:type="fixed"/>
        <w:tblLook w:firstColumn="1" w:firstRow="1" w:lastColumn="0" w:lastRow="0" w:noHBand="0" w:noVBand="1" w:val="04A0"/>
      </w:tblPr>
      <w:tblGrid>
        <w:gridCol w:w="3408"/>
        <w:gridCol w:w="3408"/>
        <w:gridCol w:w="3408"/>
      </w:tblGrid>
      <w:tr>
        <w:trPr>
          <w:tblHeader w:val="true"/>
        </w:trPr>
        <w:tc>
          <w:tcPr>
            <w:tcW w:type="dxa" w:w="1944"/>
            <w:shd w:fill="17365D"/>
            <w:tcMar>
              <w:top w:w="100" w:type="dxa"/>
              <w:start w:w="110" w:type="dxa"/>
              <w:bottom w:w="100" w:type="dxa"/>
              <w:end w:w="110" w:type="dxa"/>
            </w:tcMar>
            <w:tcBorders>
              <w:top w:val="single" w:sz="6" w:color="D9D9D9"/>
              <w:start w:val="single" w:sz="6" w:color="D9D9D9"/>
              <w:bottom w:val="single" w:sz="6" w:color="D9D9D9"/>
              <w:end w:val="single" w:sz="6" w:color="D9D9D9"/>
              <w:insideH w:val="single" w:sz="6" w:color="D9D9D9"/>
              <w:insideV w:val="single" w:sz="6" w:color="D9D9D9"/>
            </w:tcBorders>
            <w:vAlign w:val="center"/>
          </w:tcPr>
          <w:p>
            <w:pPr>
              <w:spacing w:after="0"/>
              <w:jc w:val="center"/>
            </w:pPr>
            <w:r>
              <w:rPr>
                <w:rFonts w:ascii="Aptos" w:hAnsi="Aptos" w:eastAsia="Aptos"/>
                <w:b/>
                <w:i w:val="0"/>
                <w:color w:val="FFFFFF"/>
                <w:sz w:val="18"/>
              </w:rPr>
              <w:t>Trường</w:t>
            </w:r>
          </w:p>
        </w:tc>
        <w:tc>
          <w:tcPr>
            <w:tcW w:type="dxa" w:w="4608"/>
            <w:shd w:fill="17365D"/>
            <w:tcMar>
              <w:top w:w="100" w:type="dxa"/>
              <w:start w:w="110" w:type="dxa"/>
              <w:bottom w:w="100" w:type="dxa"/>
              <w:end w:w="110" w:type="dxa"/>
            </w:tcMar>
            <w:tcBorders>
              <w:top w:val="single" w:sz="6" w:color="D9D9D9"/>
              <w:start w:val="single" w:sz="6" w:color="D9D9D9"/>
              <w:bottom w:val="single" w:sz="6" w:color="D9D9D9"/>
              <w:end w:val="single" w:sz="6" w:color="D9D9D9"/>
              <w:insideH w:val="single" w:sz="6" w:color="D9D9D9"/>
              <w:insideV w:val="single" w:sz="6" w:color="D9D9D9"/>
            </w:tcBorders>
            <w:vAlign w:val="center"/>
          </w:tcPr>
          <w:p>
            <w:pPr>
              <w:spacing w:after="0"/>
              <w:jc w:val="center"/>
            </w:pPr>
            <w:r>
              <w:rPr>
                <w:rFonts w:ascii="Aptos" w:hAnsi="Aptos" w:eastAsia="Aptos"/>
                <w:b/>
                <w:i w:val="0"/>
                <w:color w:val="FFFFFF"/>
                <w:sz w:val="18"/>
              </w:rPr>
              <w:t>Định nghĩa</w:t>
            </w:r>
          </w:p>
        </w:tc>
        <w:tc>
          <w:tcPr>
            <w:tcW w:type="dxa" w:w="3528"/>
            <w:shd w:fill="17365D"/>
            <w:tcMar>
              <w:top w:w="100" w:type="dxa"/>
              <w:start w:w="110" w:type="dxa"/>
              <w:bottom w:w="100" w:type="dxa"/>
              <w:end w:w="110" w:type="dxa"/>
            </w:tcMar>
            <w:tcBorders>
              <w:top w:val="single" w:sz="6" w:color="D9D9D9"/>
              <w:start w:val="single" w:sz="6" w:color="D9D9D9"/>
              <w:bottom w:val="single" w:sz="6" w:color="D9D9D9"/>
              <w:end w:val="single" w:sz="6" w:color="D9D9D9"/>
              <w:insideH w:val="single" w:sz="6" w:color="D9D9D9"/>
              <w:insideV w:val="single" w:sz="6" w:color="D9D9D9"/>
            </w:tcBorders>
            <w:vAlign w:val="center"/>
          </w:tcPr>
          <w:p>
            <w:pPr>
              <w:spacing w:after="0"/>
              <w:jc w:val="center"/>
            </w:pPr>
            <w:r>
              <w:rPr>
                <w:rFonts w:ascii="Aptos" w:hAnsi="Aptos" w:eastAsia="Aptos"/>
                <w:b/>
                <w:i w:val="0"/>
                <w:color w:val="FFFFFF"/>
                <w:sz w:val="18"/>
              </w:rPr>
              <w:t>Nguồn</w:t>
            </w:r>
          </w:p>
        </w:tc>
      </w:tr>
      <w:tr>
        <w:tc>
          <w:tcPr>
            <w:tcW w:type="dxa" w:w="1944"/>
            <w:tcMar>
              <w:top w:w="100" w:type="dxa"/>
              <w:start w:w="110" w:type="dxa"/>
              <w:bottom w:w="100" w:type="dxa"/>
              <w:end w:w="110" w:type="dxa"/>
            </w:tcMar>
            <w:tcBorders>
              <w:top w:val="single" w:sz="6" w:color="D9D9D9"/>
              <w:start w:val="single" w:sz="6" w:color="D9D9D9"/>
              <w:bottom w:val="single" w:sz="6" w:color="D9D9D9"/>
              <w:end w:val="single" w:sz="6" w:color="D9D9D9"/>
              <w:insideH w:val="single" w:sz="6" w:color="D9D9D9"/>
              <w:insideV w:val="single" w:sz="6" w:color="D9D9D9"/>
            </w:tcBorders>
            <w:vAlign w:val="center"/>
          </w:tcPr>
          <w:p>
            <w:pPr>
              <w:spacing w:after="0" w:line="252" w:lineRule="auto"/>
              <w:jc w:val="center"/>
            </w:pPr>
            <w:r>
              <w:rPr>
                <w:rFonts w:ascii="Aptos" w:hAnsi="Aptos" w:eastAsia="Aptos"/>
                <w:b w:val="0"/>
                <w:i w:val="0"/>
                <w:color w:val="000000"/>
                <w:sz w:val="18"/>
              </w:rPr>
              <w:t>EPS_STD_q</w:t>
            </w:r>
          </w:p>
        </w:tc>
        <w:tc>
          <w:tcPr>
            <w:tcW w:type="dxa" w:w="4608"/>
            <w:tcMar>
              <w:top w:w="100" w:type="dxa"/>
              <w:start w:w="110" w:type="dxa"/>
              <w:bottom w:w="100" w:type="dxa"/>
              <w:end w:w="110" w:type="dxa"/>
            </w:tcMar>
            <w:tcBorders>
              <w:top w:val="single" w:sz="6" w:color="D9D9D9"/>
              <w:start w:val="single" w:sz="6" w:color="D9D9D9"/>
              <w:bottom w:val="single" w:sz="6" w:color="D9D9D9"/>
              <w:end w:val="single" w:sz="6" w:color="D9D9D9"/>
              <w:insideH w:val="single" w:sz="6" w:color="D9D9D9"/>
              <w:insideV w:val="single" w:sz="6" w:color="D9D9D9"/>
            </w:tcBorders>
            <w:vAlign w:val="center"/>
          </w:tcPr>
          <w:p>
            <w:pPr>
              <w:spacing w:after="0" w:line="252" w:lineRule="auto"/>
              <w:jc w:val="left"/>
            </w:pPr>
            <w:r>
              <w:rPr>
                <w:rFonts w:ascii="Aptos" w:hAnsi="Aptos" w:eastAsia="Aptos"/>
                <w:b w:val="0"/>
                <w:i w:val="0"/>
                <w:color w:val="000000"/>
                <w:sz w:val="18"/>
              </w:rPr>
              <w:t>EPS chuẩn hóa của quý đánh giá q.</w:t>
            </w:r>
          </w:p>
        </w:tc>
        <w:tc>
          <w:tcPr>
            <w:tcW w:type="dxa" w:w="3528"/>
            <w:tcMar>
              <w:top w:w="100" w:type="dxa"/>
              <w:start w:w="110" w:type="dxa"/>
              <w:bottom w:w="100" w:type="dxa"/>
              <w:end w:w="110" w:type="dxa"/>
            </w:tcMar>
            <w:tcBorders>
              <w:top w:val="single" w:sz="6" w:color="D9D9D9"/>
              <w:start w:val="single" w:sz="6" w:color="D9D9D9"/>
              <w:bottom w:val="single" w:sz="6" w:color="D9D9D9"/>
              <w:end w:val="single" w:sz="6" w:color="D9D9D9"/>
              <w:insideH w:val="single" w:sz="6" w:color="D9D9D9"/>
              <w:insideV w:val="single" w:sz="6" w:color="D9D9D9"/>
            </w:tcBorders>
            <w:vAlign w:val="center"/>
          </w:tcPr>
          <w:p>
            <w:pPr>
              <w:spacing w:after="0" w:line="252" w:lineRule="auto"/>
              <w:jc w:val="left"/>
            </w:pPr>
            <w:r>
              <w:rPr>
                <w:rFonts w:ascii="Aptos" w:hAnsi="Aptos" w:eastAsia="Aptos"/>
                <w:b w:val="0"/>
                <w:i w:val="0"/>
                <w:color w:val="000000"/>
                <w:sz w:val="18"/>
              </w:rPr>
              <w:t>Bộ EPS chuẩn hóa đã thống nhất và dữ liệu BCTC liên quan.</w:t>
            </w:r>
          </w:p>
        </w:tc>
      </w:tr>
      <w:tr>
        <w:tc>
          <w:tcPr>
            <w:tcW w:type="dxa" w:w="1944"/>
            <w:shd w:fill="F4F7FA"/>
            <w:tcMar>
              <w:top w:w="100" w:type="dxa"/>
              <w:start w:w="110" w:type="dxa"/>
              <w:bottom w:w="100" w:type="dxa"/>
              <w:end w:w="110" w:type="dxa"/>
            </w:tcMar>
            <w:tcBorders>
              <w:top w:val="single" w:sz="6" w:color="D9D9D9"/>
              <w:start w:val="single" w:sz="6" w:color="D9D9D9"/>
              <w:bottom w:val="single" w:sz="6" w:color="D9D9D9"/>
              <w:end w:val="single" w:sz="6" w:color="D9D9D9"/>
              <w:insideH w:val="single" w:sz="6" w:color="D9D9D9"/>
              <w:insideV w:val="single" w:sz="6" w:color="D9D9D9"/>
            </w:tcBorders>
            <w:vAlign w:val="center"/>
          </w:tcPr>
          <w:p>
            <w:pPr>
              <w:spacing w:after="0" w:line="252" w:lineRule="auto"/>
              <w:jc w:val="center"/>
            </w:pPr>
            <w:r>
              <w:rPr>
                <w:rFonts w:ascii="Aptos" w:hAnsi="Aptos" w:eastAsia="Aptos"/>
                <w:b w:val="0"/>
                <w:i w:val="0"/>
                <w:color w:val="000000"/>
                <w:sz w:val="18"/>
              </w:rPr>
              <w:t>EPS_STD_q_4</w:t>
            </w:r>
          </w:p>
        </w:tc>
        <w:tc>
          <w:tcPr>
            <w:tcW w:type="dxa" w:w="4608"/>
            <w:shd w:fill="F4F7FA"/>
            <w:tcMar>
              <w:top w:w="100" w:type="dxa"/>
              <w:start w:w="110" w:type="dxa"/>
              <w:bottom w:w="100" w:type="dxa"/>
              <w:end w:w="110" w:type="dxa"/>
            </w:tcMar>
            <w:tcBorders>
              <w:top w:val="single" w:sz="6" w:color="D9D9D9"/>
              <w:start w:val="single" w:sz="6" w:color="D9D9D9"/>
              <w:bottom w:val="single" w:sz="6" w:color="D9D9D9"/>
              <w:end w:val="single" w:sz="6" w:color="D9D9D9"/>
              <w:insideH w:val="single" w:sz="6" w:color="D9D9D9"/>
              <w:insideV w:val="single" w:sz="6" w:color="D9D9D9"/>
            </w:tcBorders>
            <w:vAlign w:val="center"/>
          </w:tcPr>
          <w:p>
            <w:pPr>
              <w:spacing w:after="0" w:line="252" w:lineRule="auto"/>
              <w:jc w:val="left"/>
            </w:pPr>
            <w:r>
              <w:rPr>
                <w:rFonts w:ascii="Aptos" w:hAnsi="Aptos" w:eastAsia="Aptos"/>
                <w:b w:val="0"/>
                <w:i w:val="0"/>
                <w:color w:val="000000"/>
                <w:sz w:val="18"/>
              </w:rPr>
              <w:t>EPS chuẩn hóa của cùng quý năm trước q-4.</w:t>
            </w:r>
          </w:p>
        </w:tc>
        <w:tc>
          <w:tcPr>
            <w:tcW w:type="dxa" w:w="3528"/>
            <w:shd w:fill="F4F7FA"/>
            <w:tcMar>
              <w:top w:w="100" w:type="dxa"/>
              <w:start w:w="110" w:type="dxa"/>
              <w:bottom w:w="100" w:type="dxa"/>
              <w:end w:w="110" w:type="dxa"/>
            </w:tcMar>
            <w:tcBorders>
              <w:top w:val="single" w:sz="6" w:color="D9D9D9"/>
              <w:start w:val="single" w:sz="6" w:color="D9D9D9"/>
              <w:bottom w:val="single" w:sz="6" w:color="D9D9D9"/>
              <w:end w:val="single" w:sz="6" w:color="D9D9D9"/>
              <w:insideH w:val="single" w:sz="6" w:color="D9D9D9"/>
              <w:insideV w:val="single" w:sz="6" w:color="D9D9D9"/>
            </w:tcBorders>
            <w:vAlign w:val="center"/>
          </w:tcPr>
          <w:p>
            <w:pPr>
              <w:spacing w:after="0" w:line="252" w:lineRule="auto"/>
              <w:jc w:val="left"/>
            </w:pPr>
            <w:r>
              <w:rPr>
                <w:rFonts w:ascii="Aptos" w:hAnsi="Aptos" w:eastAsia="Aptos"/>
                <w:b w:val="0"/>
                <w:i w:val="0"/>
                <w:color w:val="000000"/>
                <w:sz w:val="18"/>
              </w:rPr>
              <w:t>Cùng bộ EPS chuẩn hóa.</w:t>
            </w:r>
          </w:p>
        </w:tc>
      </w:tr>
    </w:tbl>
    <w:p>
      <w:pPr>
        <w:spacing w:after="20"/>
      </w:pPr>
    </w:p>
    <w:p>
      <w:pPr>
        <w:spacing w:after="100" w:line="269" w:lineRule="auto"/>
      </w:pPr>
      <w:r>
        <w:rPr>
          <w:rFonts w:ascii="Aptos" w:hAnsi="Aptos" w:eastAsia="Aptos"/>
          <w:b w:val="0"/>
          <w:i w:val="0"/>
          <w:color w:val="000000"/>
          <w:sz w:val="21"/>
        </w:rPr>
        <w:t>Không mở lại phương pháp chuẩn hóa EPS trong công việc này. IT phải tái sử dụng đúng hàm và dữ liệu EPS chuẩn hóa đang áp dụng cho bảng Sản xuất, gồm xử lý phát hành, chia tách và thay đổi số cổ phiếu.</w:t>
      </w:r>
    </w:p>
    <w:p>
      <w:pPr>
        <w:pStyle w:val="Heading2"/>
        <w:keepNext/>
        <w:spacing w:before="140" w:after="100"/>
      </w:pPr>
      <w:r>
        <w:rPr>
          <w:rFonts w:ascii="Aptos" w:hAnsi="Aptos" w:eastAsia="Aptos"/>
          <w:b/>
          <w:i w:val="0"/>
          <w:color w:val="000000"/>
          <w:sz w:val="24"/>
        </w:rPr>
        <w:t>4.3 Công thức</w:t>
      </w:r>
    </w:p>
    <w:p>
      <w:pPr>
        <w:spacing w:before="60" w:after="140"/>
        <w:jc w:val="center"/>
      </w:pPr>
      <w:r>
        <w:rPr>
          <w:rFonts w:ascii="Aptos" w:hAnsi="Aptos" w:eastAsia="Aptos"/>
          <w:b/>
          <w:i w:val="0"/>
          <w:color w:val="17365D"/>
          <w:sz w:val="21"/>
        </w:rPr>
        <w:t xml:space="preserve">EPS YoY: </w:t>
      </w:r>
      <w:r>
        <w:rPr>
          <w:rFonts w:ascii="Aptos" w:hAnsi="Aptos" w:eastAsia="Aptos"/>
          <w:b w:val="0"/>
          <w:i w:val="0"/>
          <w:color w:val="000000"/>
          <w:sz w:val="21"/>
        </w:rPr>
        <w:t>(EPS_STD_q - EPS_STD_q-4) / |EPS_STD_q-4| x 100%</w:t>
      </w:r>
    </w:p>
    <w:p>
      <w:pPr>
        <w:spacing w:after="100" w:line="269" w:lineRule="auto"/>
      </w:pPr>
      <w:r>
        <w:rPr>
          <w:rFonts w:ascii="Aptos" w:hAnsi="Aptos" w:eastAsia="Aptos"/>
          <w:b w:val="0"/>
          <w:i w:val="0"/>
          <w:color w:val="000000"/>
          <w:sz w:val="21"/>
        </w:rPr>
        <w:t>Trường hợp EPS cùng kỳ bằng 0, EPS chuyển từ âm sang dương hoặc cả hai kỳ đều âm phải dùng đúng logic ngoại lệ của bảng Sản xuất. Không tự tạo công thức phần trăm mới vì có thể sinh tỷ lệ vô nghĩa.</w:t>
      </w:r>
    </w:p>
    <w:p>
      <w:pPr>
        <w:pStyle w:val="Heading2"/>
        <w:keepNext/>
        <w:spacing w:before="140" w:after="100"/>
      </w:pPr>
      <w:r>
        <w:rPr>
          <w:rFonts w:ascii="Aptos" w:hAnsi="Aptos" w:eastAsia="Aptos"/>
          <w:b/>
          <w:i w:val="0"/>
          <w:color w:val="000000"/>
          <w:sz w:val="24"/>
        </w:rPr>
        <w:t>4.4 Chấm điểm và kiểm thử</w:t>
      </w:r>
    </w:p>
    <w:p>
      <w:pPr>
        <w:pStyle w:val="ListBullet"/>
        <w:spacing w:after="60" w:line="259" w:lineRule="auto"/>
      </w:pPr>
      <w:r>
        <w:rPr>
          <w:rFonts w:ascii="Aptos" w:hAnsi="Aptos" w:eastAsia="Aptos"/>
          <w:b w:val="0"/>
          <w:i w:val="0"/>
          <w:color w:val="000000"/>
          <w:sz w:val="21"/>
        </w:rPr>
        <w:t>Điểm tối đa 10; sử dụng cùng bộ ngưỡng tăng trưởng EPS của bảng Sản xuất và quy đổi về thang 10.</w:t>
      </w:r>
    </w:p>
    <w:p>
      <w:pPr>
        <w:pStyle w:val="ListBullet"/>
        <w:spacing w:after="60" w:line="259" w:lineRule="auto"/>
      </w:pPr>
      <w:r>
        <w:rPr>
          <w:rFonts w:ascii="Aptos" w:hAnsi="Aptos" w:eastAsia="Aptos"/>
          <w:b w:val="0"/>
          <w:i w:val="0"/>
          <w:color w:val="000000"/>
          <w:sz w:val="21"/>
        </w:rPr>
        <w:t>IT gọi lại cùng scoring function/configuration; không sao chép thủ công các ngưỡng sang một hàm mới.</w:t>
      </w:r>
    </w:p>
    <w:p>
      <w:pPr>
        <w:pStyle w:val="ListBullet"/>
        <w:spacing w:after="60" w:line="259" w:lineRule="auto"/>
      </w:pPr>
      <w:r>
        <w:rPr>
          <w:rFonts w:ascii="Aptos" w:hAnsi="Aptos" w:eastAsia="Aptos"/>
          <w:b w:val="0"/>
          <w:i w:val="0"/>
          <w:color w:val="000000"/>
          <w:sz w:val="21"/>
        </w:rPr>
        <w:t>Bắt buộc có unit test cho bốn trường hợp: dương sang dương, âm sang dương, âm sang âm nhưng giảm lỗ, dương sang âm.</w:t>
      </w:r>
    </w:p>
    <w:p>
      <w:pPr>
        <w:pStyle w:val="ListBullet"/>
        <w:spacing w:after="60" w:line="259" w:lineRule="auto"/>
      </w:pPr>
      <w:r>
        <w:rPr>
          <w:rFonts w:ascii="Aptos" w:hAnsi="Aptos" w:eastAsia="Aptos"/>
          <w:b w:val="0"/>
          <w:i w:val="0"/>
          <w:color w:val="000000"/>
          <w:sz w:val="21"/>
        </w:rPr>
        <w:t>Lưu đồng thời EPS hai kỳ, EPS YoY, nhánh ngoại lệ đã áp dụng và điểm kết quả.</w:t>
      </w:r>
    </w:p>
    <w:p>
      <w:pPr>
        <w:pStyle w:val="Heading2"/>
        <w:keepNext/>
        <w:spacing w:before="140" w:after="100"/>
      </w:pPr>
      <w:r>
        <w:rPr>
          <w:rFonts w:ascii="Aptos" w:hAnsi="Aptos" w:eastAsia="Aptos"/>
          <w:b/>
          <w:i w:val="0"/>
          <w:color w:val="000000"/>
          <w:sz w:val="24"/>
        </w:rPr>
        <w:t>4.5 Kiểm soát trùng lặp</w:t>
      </w:r>
    </w:p>
    <w:p>
      <w:pPr>
        <w:spacing w:after="100" w:line="269" w:lineRule="auto"/>
      </w:pPr>
      <w:r>
        <w:rPr>
          <w:rFonts w:ascii="Aptos" w:hAnsi="Aptos" w:eastAsia="Aptos"/>
          <w:b w:val="0"/>
          <w:i w:val="0"/>
          <w:color w:val="000000"/>
          <w:sz w:val="21"/>
        </w:rPr>
        <w:t>Không chấm thêm LNST YoY trong nhóm 50 điểm vì EPS và LNST cùng phản ánh lợi nhuận. LNST có thể hiển thị để giải thích, nhưng không cộng điểm lần thứ hai.</w:t>
      </w:r>
    </w:p>
    <w:p>
      <w:r>
        <w:br w:type="page"/>
      </w:r>
    </w:p>
    <w:p>
      <w:pPr>
        <w:pStyle w:val="Heading1"/>
        <w:keepNext/>
        <w:spacing w:before="200" w:after="100"/>
      </w:pPr>
      <w:r>
        <w:rPr>
          <w:rFonts w:ascii="Aptos" w:hAnsi="Aptos" w:eastAsia="Aptos"/>
          <w:b/>
          <w:i w:val="0"/>
          <w:color w:val="000000"/>
          <w:sz w:val="30"/>
        </w:rPr>
        <w:t>5 Tiêu chí 2 Số quý EPS tăng trưởng 10 điểm</w:t>
      </w:r>
    </w:p>
    <w:p>
      <w:pPr>
        <w:pStyle w:val="Heading2"/>
        <w:keepNext/>
        <w:spacing w:before="140" w:after="100"/>
      </w:pPr>
      <w:r>
        <w:rPr>
          <w:rFonts w:ascii="Aptos" w:hAnsi="Aptos" w:eastAsia="Aptos"/>
          <w:b/>
          <w:i w:val="0"/>
          <w:color w:val="000000"/>
          <w:sz w:val="24"/>
        </w:rPr>
        <w:t>5.1 Mục tiêu và ý nghĩa</w:t>
      </w:r>
    </w:p>
    <w:p>
      <w:pPr>
        <w:spacing w:after="100" w:line="269" w:lineRule="auto"/>
      </w:pPr>
      <w:r>
        <w:rPr>
          <w:rFonts w:ascii="Aptos" w:hAnsi="Aptos" w:eastAsia="Aptos"/>
          <w:b w:val="0"/>
          <w:i w:val="0"/>
          <w:color w:val="000000"/>
          <w:sz w:val="21"/>
        </w:rPr>
        <w:t>Đo tính liên tục của tăng trưởng EPS. Tiêu chí này không quan tâm mức tăng cao bao nhiêu mà chỉ kiểm tra tăng trưởng có xuất hiện trong một, hai hay cả ba quý gần nhất. Nhờ đó hệ thống phân biệt một quý đột biến với một chuỗi cải thiện đã hình thành.</w:t>
      </w:r>
    </w:p>
    <w:p>
      <w:pPr>
        <w:pStyle w:val="Heading2"/>
        <w:keepNext/>
        <w:spacing w:before="140" w:after="100"/>
      </w:pPr>
      <w:r>
        <w:rPr>
          <w:rFonts w:ascii="Aptos" w:hAnsi="Aptos" w:eastAsia="Aptos"/>
          <w:b/>
          <w:i w:val="0"/>
          <w:color w:val="000000"/>
          <w:sz w:val="24"/>
        </w:rPr>
        <w:t>5.2 Công thức từng quý</w:t>
      </w:r>
    </w:p>
    <w:p>
      <w:pPr>
        <w:spacing w:before="60" w:after="140"/>
        <w:jc w:val="center"/>
      </w:pPr>
      <w:r>
        <w:rPr>
          <w:rFonts w:ascii="Aptos" w:hAnsi="Aptos" w:eastAsia="Aptos"/>
          <w:b/>
          <w:i w:val="0"/>
          <w:color w:val="17365D"/>
          <w:sz w:val="21"/>
        </w:rPr>
        <w:t xml:space="preserve">GrowthFlag_t: </w:t>
      </w:r>
      <w:r>
        <w:rPr>
          <w:rFonts w:ascii="Aptos" w:hAnsi="Aptos" w:eastAsia="Aptos"/>
          <w:b w:val="0"/>
          <w:i w:val="0"/>
          <w:color w:val="000000"/>
          <w:sz w:val="21"/>
        </w:rPr>
        <w:t>1 nếu EPS_STD_t &gt; EPS_STD_t-4; ngược lại bằng 0</w:t>
      </w:r>
    </w:p>
    <w:p>
      <w:pPr>
        <w:spacing w:before="60" w:after="140"/>
        <w:jc w:val="center"/>
      </w:pPr>
      <w:r>
        <w:rPr>
          <w:rFonts w:ascii="Aptos" w:hAnsi="Aptos" w:eastAsia="Aptos"/>
          <w:b/>
          <w:i w:val="0"/>
          <w:color w:val="17365D"/>
          <w:sz w:val="21"/>
        </w:rPr>
        <w:t xml:space="preserve">GrowthQuarterCount: </w:t>
      </w:r>
      <w:r>
        <w:rPr>
          <w:rFonts w:ascii="Aptos" w:hAnsi="Aptos" w:eastAsia="Aptos"/>
          <w:b w:val="0"/>
          <w:i w:val="0"/>
          <w:color w:val="000000"/>
          <w:sz w:val="21"/>
        </w:rPr>
        <w:t>GrowthFlag_q + GrowthFlag_q-1 + GrowthFlag_q-2</w:t>
      </w:r>
    </w:p>
    <w:p>
      <w:pPr>
        <w:spacing w:after="100" w:line="269" w:lineRule="auto"/>
      </w:pPr>
      <w:r>
        <w:rPr>
          <w:rFonts w:ascii="Aptos" w:hAnsi="Aptos" w:eastAsia="Aptos"/>
          <w:b w:val="0"/>
          <w:i w:val="0"/>
          <w:color w:val="000000"/>
          <w:sz w:val="21"/>
        </w:rPr>
        <w:t>So sánh số tuyệt đối của EPS chuẩn hóa nên vẫn hoạt động khi EPS âm. Ví dụ EPS từ -2.000 lên -500 đồng/cổ phiếu được ghi nhận là cải thiện, nhưng doanh nghiệp vẫn đang lỗ; trạng thái lỗ phải tiếp tục hiển thị để người dùng không hiểu nhầm.</w:t>
      </w:r>
    </w:p>
    <w:p>
      <w:pPr>
        <w:pStyle w:val="Heading2"/>
        <w:keepNext/>
        <w:spacing w:before="140" w:after="100"/>
      </w:pPr>
      <w:r>
        <w:rPr>
          <w:rFonts w:ascii="Aptos" w:hAnsi="Aptos" w:eastAsia="Aptos"/>
          <w:b/>
          <w:i w:val="0"/>
          <w:color w:val="000000"/>
          <w:sz w:val="24"/>
        </w:rPr>
        <w:t>5.3 Thang điểm đã thống nhất</w:t>
      </w:r>
    </w:p>
    <w:tbl>
      <w:tblPr>
        <w:tblW w:type="auto" w:w="0"/>
        <w:jc w:val="center"/>
        <w:tblLayout w:type="fixed"/>
        <w:tblLook w:firstColumn="1" w:firstRow="1" w:lastColumn="0" w:lastRow="0" w:noHBand="0" w:noVBand="1" w:val="04A0"/>
      </w:tblPr>
      <w:tblGrid>
        <w:gridCol w:w="3408"/>
        <w:gridCol w:w="3408"/>
        <w:gridCol w:w="3408"/>
      </w:tblGrid>
      <w:tr>
        <w:trPr>
          <w:tblHeader w:val="true"/>
        </w:trPr>
        <w:tc>
          <w:tcPr>
            <w:tcW w:type="dxa" w:w="3240"/>
            <w:shd w:fill="17365D"/>
            <w:tcMar>
              <w:top w:w="100" w:type="dxa"/>
              <w:start w:w="110" w:type="dxa"/>
              <w:bottom w:w="100" w:type="dxa"/>
              <w:end w:w="110" w:type="dxa"/>
            </w:tcMar>
            <w:tcBorders>
              <w:top w:val="single" w:sz="6" w:color="D9D9D9"/>
              <w:start w:val="single" w:sz="6" w:color="D9D9D9"/>
              <w:bottom w:val="single" w:sz="6" w:color="D9D9D9"/>
              <w:end w:val="single" w:sz="6" w:color="D9D9D9"/>
              <w:insideH w:val="single" w:sz="6" w:color="D9D9D9"/>
              <w:insideV w:val="single" w:sz="6" w:color="D9D9D9"/>
            </w:tcBorders>
            <w:vAlign w:val="center"/>
          </w:tcPr>
          <w:p>
            <w:pPr>
              <w:spacing w:after="0"/>
              <w:jc w:val="center"/>
            </w:pPr>
            <w:r>
              <w:rPr>
                <w:rFonts w:ascii="Aptos" w:hAnsi="Aptos" w:eastAsia="Aptos"/>
                <w:b/>
                <w:i w:val="0"/>
                <w:color w:val="FFFFFF"/>
                <w:sz w:val="18"/>
              </w:rPr>
              <w:t>Số quý EPS tăng YoY trong 3 quý</w:t>
            </w:r>
          </w:p>
        </w:tc>
        <w:tc>
          <w:tcPr>
            <w:tcW w:type="dxa" w:w="1080"/>
            <w:shd w:fill="17365D"/>
            <w:tcMar>
              <w:top w:w="100" w:type="dxa"/>
              <w:start w:w="110" w:type="dxa"/>
              <w:bottom w:w="100" w:type="dxa"/>
              <w:end w:w="110" w:type="dxa"/>
            </w:tcMar>
            <w:tcBorders>
              <w:top w:val="single" w:sz="6" w:color="D9D9D9"/>
              <w:start w:val="single" w:sz="6" w:color="D9D9D9"/>
              <w:bottom w:val="single" w:sz="6" w:color="D9D9D9"/>
              <w:end w:val="single" w:sz="6" w:color="D9D9D9"/>
              <w:insideH w:val="single" w:sz="6" w:color="D9D9D9"/>
              <w:insideV w:val="single" w:sz="6" w:color="D9D9D9"/>
            </w:tcBorders>
            <w:vAlign w:val="center"/>
          </w:tcPr>
          <w:p>
            <w:pPr>
              <w:spacing w:after="0"/>
              <w:jc w:val="center"/>
            </w:pPr>
            <w:r>
              <w:rPr>
                <w:rFonts w:ascii="Aptos" w:hAnsi="Aptos" w:eastAsia="Aptos"/>
                <w:b/>
                <w:i w:val="0"/>
                <w:color w:val="FFFFFF"/>
                <w:sz w:val="18"/>
              </w:rPr>
              <w:t>Điểm</w:t>
            </w:r>
          </w:p>
        </w:tc>
        <w:tc>
          <w:tcPr>
            <w:tcW w:type="dxa" w:w="5616"/>
            <w:shd w:fill="17365D"/>
            <w:tcMar>
              <w:top w:w="100" w:type="dxa"/>
              <w:start w:w="110" w:type="dxa"/>
              <w:bottom w:w="100" w:type="dxa"/>
              <w:end w:w="110" w:type="dxa"/>
            </w:tcMar>
            <w:tcBorders>
              <w:top w:val="single" w:sz="6" w:color="D9D9D9"/>
              <w:start w:val="single" w:sz="6" w:color="D9D9D9"/>
              <w:bottom w:val="single" w:sz="6" w:color="D9D9D9"/>
              <w:end w:val="single" w:sz="6" w:color="D9D9D9"/>
              <w:insideH w:val="single" w:sz="6" w:color="D9D9D9"/>
              <w:insideV w:val="single" w:sz="6" w:color="D9D9D9"/>
            </w:tcBorders>
            <w:vAlign w:val="center"/>
          </w:tcPr>
          <w:p>
            <w:pPr>
              <w:spacing w:after="0"/>
              <w:jc w:val="center"/>
            </w:pPr>
            <w:r>
              <w:rPr>
                <w:rFonts w:ascii="Aptos" w:hAnsi="Aptos" w:eastAsia="Aptos"/>
                <w:b/>
                <w:i w:val="0"/>
                <w:color w:val="FFFFFF"/>
                <w:sz w:val="18"/>
              </w:rPr>
              <w:t>Cách hiểu</w:t>
            </w:r>
          </w:p>
        </w:tc>
      </w:tr>
      <w:tr>
        <w:tc>
          <w:tcPr>
            <w:tcW w:type="dxa" w:w="3240"/>
            <w:tcMar>
              <w:top w:w="100" w:type="dxa"/>
              <w:start w:w="110" w:type="dxa"/>
              <w:bottom w:w="100" w:type="dxa"/>
              <w:end w:w="110" w:type="dxa"/>
            </w:tcMar>
            <w:tcBorders>
              <w:top w:val="single" w:sz="6" w:color="D9D9D9"/>
              <w:start w:val="single" w:sz="6" w:color="D9D9D9"/>
              <w:bottom w:val="single" w:sz="6" w:color="D9D9D9"/>
              <w:end w:val="single" w:sz="6" w:color="D9D9D9"/>
              <w:insideH w:val="single" w:sz="6" w:color="D9D9D9"/>
              <w:insideV w:val="single" w:sz="6" w:color="D9D9D9"/>
            </w:tcBorders>
            <w:vAlign w:val="center"/>
          </w:tcPr>
          <w:p>
            <w:pPr>
              <w:spacing w:after="0" w:line="252" w:lineRule="auto"/>
              <w:jc w:val="center"/>
            </w:pPr>
            <w:r>
              <w:rPr>
                <w:rFonts w:ascii="Aptos" w:hAnsi="Aptos" w:eastAsia="Aptos"/>
                <w:b w:val="0"/>
                <w:i w:val="0"/>
                <w:color w:val="000000"/>
                <w:sz w:val="18"/>
              </w:rPr>
              <w:t>3/3</w:t>
            </w:r>
          </w:p>
        </w:tc>
        <w:tc>
          <w:tcPr>
            <w:tcW w:type="dxa" w:w="1080"/>
            <w:tcMar>
              <w:top w:w="100" w:type="dxa"/>
              <w:start w:w="110" w:type="dxa"/>
              <w:bottom w:w="100" w:type="dxa"/>
              <w:end w:w="110" w:type="dxa"/>
            </w:tcMar>
            <w:tcBorders>
              <w:top w:val="single" w:sz="6" w:color="D9D9D9"/>
              <w:start w:val="single" w:sz="6" w:color="D9D9D9"/>
              <w:bottom w:val="single" w:sz="6" w:color="D9D9D9"/>
              <w:end w:val="single" w:sz="6" w:color="D9D9D9"/>
              <w:insideH w:val="single" w:sz="6" w:color="D9D9D9"/>
              <w:insideV w:val="single" w:sz="6" w:color="D9D9D9"/>
            </w:tcBorders>
            <w:vAlign w:val="center"/>
          </w:tcPr>
          <w:p>
            <w:pPr>
              <w:spacing w:after="0" w:line="252" w:lineRule="auto"/>
              <w:jc w:val="center"/>
            </w:pPr>
            <w:r>
              <w:rPr>
                <w:rFonts w:ascii="Aptos" w:hAnsi="Aptos" w:eastAsia="Aptos"/>
                <w:b w:val="0"/>
                <w:i w:val="0"/>
                <w:color w:val="000000"/>
                <w:sz w:val="18"/>
              </w:rPr>
              <w:t>10</w:t>
            </w:r>
          </w:p>
        </w:tc>
        <w:tc>
          <w:tcPr>
            <w:tcW w:type="dxa" w:w="5616"/>
            <w:tcMar>
              <w:top w:w="100" w:type="dxa"/>
              <w:start w:w="110" w:type="dxa"/>
              <w:bottom w:w="100" w:type="dxa"/>
              <w:end w:w="110" w:type="dxa"/>
            </w:tcMar>
            <w:tcBorders>
              <w:top w:val="single" w:sz="6" w:color="D9D9D9"/>
              <w:start w:val="single" w:sz="6" w:color="D9D9D9"/>
              <w:bottom w:val="single" w:sz="6" w:color="D9D9D9"/>
              <w:end w:val="single" w:sz="6" w:color="D9D9D9"/>
              <w:insideH w:val="single" w:sz="6" w:color="D9D9D9"/>
              <w:insideV w:val="single" w:sz="6" w:color="D9D9D9"/>
            </w:tcBorders>
            <w:vAlign w:val="center"/>
          </w:tcPr>
          <w:p>
            <w:pPr>
              <w:spacing w:after="0" w:line="252" w:lineRule="auto"/>
              <w:jc w:val="left"/>
            </w:pPr>
            <w:r>
              <w:rPr>
                <w:rFonts w:ascii="Aptos" w:hAnsi="Aptos" w:eastAsia="Aptos"/>
                <w:b w:val="0"/>
                <w:i w:val="0"/>
                <w:color w:val="000000"/>
                <w:sz w:val="18"/>
              </w:rPr>
              <w:t>Tăng trưởng liên tục và đã có độ bền cao nhất trong cửa sổ quan sát.</w:t>
            </w:r>
          </w:p>
        </w:tc>
      </w:tr>
      <w:tr>
        <w:tc>
          <w:tcPr>
            <w:tcW w:type="dxa" w:w="3240"/>
            <w:shd w:fill="F4F7FA"/>
            <w:tcMar>
              <w:top w:w="100" w:type="dxa"/>
              <w:start w:w="110" w:type="dxa"/>
              <w:bottom w:w="100" w:type="dxa"/>
              <w:end w:w="110" w:type="dxa"/>
            </w:tcMar>
            <w:tcBorders>
              <w:top w:val="single" w:sz="6" w:color="D9D9D9"/>
              <w:start w:val="single" w:sz="6" w:color="D9D9D9"/>
              <w:bottom w:val="single" w:sz="6" w:color="D9D9D9"/>
              <w:end w:val="single" w:sz="6" w:color="D9D9D9"/>
              <w:insideH w:val="single" w:sz="6" w:color="D9D9D9"/>
              <w:insideV w:val="single" w:sz="6" w:color="D9D9D9"/>
            </w:tcBorders>
            <w:vAlign w:val="center"/>
          </w:tcPr>
          <w:p>
            <w:pPr>
              <w:spacing w:after="0" w:line="252" w:lineRule="auto"/>
              <w:jc w:val="center"/>
            </w:pPr>
            <w:r>
              <w:rPr>
                <w:rFonts w:ascii="Aptos" w:hAnsi="Aptos" w:eastAsia="Aptos"/>
                <w:b w:val="0"/>
                <w:i w:val="0"/>
                <w:color w:val="000000"/>
                <w:sz w:val="18"/>
              </w:rPr>
              <w:t>2/3</w:t>
            </w:r>
          </w:p>
        </w:tc>
        <w:tc>
          <w:tcPr>
            <w:tcW w:type="dxa" w:w="1080"/>
            <w:shd w:fill="F4F7FA"/>
            <w:tcMar>
              <w:top w:w="100" w:type="dxa"/>
              <w:start w:w="110" w:type="dxa"/>
              <w:bottom w:w="100" w:type="dxa"/>
              <w:end w:w="110" w:type="dxa"/>
            </w:tcMar>
            <w:tcBorders>
              <w:top w:val="single" w:sz="6" w:color="D9D9D9"/>
              <w:start w:val="single" w:sz="6" w:color="D9D9D9"/>
              <w:bottom w:val="single" w:sz="6" w:color="D9D9D9"/>
              <w:end w:val="single" w:sz="6" w:color="D9D9D9"/>
              <w:insideH w:val="single" w:sz="6" w:color="D9D9D9"/>
              <w:insideV w:val="single" w:sz="6" w:color="D9D9D9"/>
            </w:tcBorders>
            <w:vAlign w:val="center"/>
          </w:tcPr>
          <w:p>
            <w:pPr>
              <w:spacing w:after="0" w:line="252" w:lineRule="auto"/>
              <w:jc w:val="center"/>
            </w:pPr>
            <w:r>
              <w:rPr>
                <w:rFonts w:ascii="Aptos" w:hAnsi="Aptos" w:eastAsia="Aptos"/>
                <w:b w:val="0"/>
                <w:i w:val="0"/>
                <w:color w:val="000000"/>
                <w:sz w:val="18"/>
              </w:rPr>
              <w:t>7</w:t>
            </w:r>
          </w:p>
        </w:tc>
        <w:tc>
          <w:tcPr>
            <w:tcW w:type="dxa" w:w="5616"/>
            <w:shd w:fill="F4F7FA"/>
            <w:tcMar>
              <w:top w:w="100" w:type="dxa"/>
              <w:start w:w="110" w:type="dxa"/>
              <w:bottom w:w="100" w:type="dxa"/>
              <w:end w:w="110" w:type="dxa"/>
            </w:tcMar>
            <w:tcBorders>
              <w:top w:val="single" w:sz="6" w:color="D9D9D9"/>
              <w:start w:val="single" w:sz="6" w:color="D9D9D9"/>
              <w:bottom w:val="single" w:sz="6" w:color="D9D9D9"/>
              <w:end w:val="single" w:sz="6" w:color="D9D9D9"/>
              <w:insideH w:val="single" w:sz="6" w:color="D9D9D9"/>
              <w:insideV w:val="single" w:sz="6" w:color="D9D9D9"/>
            </w:tcBorders>
            <w:vAlign w:val="center"/>
          </w:tcPr>
          <w:p>
            <w:pPr>
              <w:spacing w:after="0" w:line="252" w:lineRule="auto"/>
              <w:jc w:val="left"/>
            </w:pPr>
            <w:r>
              <w:rPr>
                <w:rFonts w:ascii="Aptos" w:hAnsi="Aptos" w:eastAsia="Aptos"/>
                <w:b w:val="0"/>
                <w:i w:val="0"/>
                <w:color w:val="000000"/>
                <w:sz w:val="18"/>
              </w:rPr>
              <w:t>Xu hướng tăng trưởng tương đối rõ nhưng chưa liên tục hoàn toàn.</w:t>
            </w:r>
          </w:p>
        </w:tc>
      </w:tr>
      <w:tr>
        <w:tc>
          <w:tcPr>
            <w:tcW w:type="dxa" w:w="3240"/>
            <w:tcMar>
              <w:top w:w="100" w:type="dxa"/>
              <w:start w:w="110" w:type="dxa"/>
              <w:bottom w:w="100" w:type="dxa"/>
              <w:end w:w="110" w:type="dxa"/>
            </w:tcMar>
            <w:tcBorders>
              <w:top w:val="single" w:sz="6" w:color="D9D9D9"/>
              <w:start w:val="single" w:sz="6" w:color="D9D9D9"/>
              <w:bottom w:val="single" w:sz="6" w:color="D9D9D9"/>
              <w:end w:val="single" w:sz="6" w:color="D9D9D9"/>
              <w:insideH w:val="single" w:sz="6" w:color="D9D9D9"/>
              <w:insideV w:val="single" w:sz="6" w:color="D9D9D9"/>
            </w:tcBorders>
            <w:vAlign w:val="center"/>
          </w:tcPr>
          <w:p>
            <w:pPr>
              <w:spacing w:after="0" w:line="252" w:lineRule="auto"/>
              <w:jc w:val="center"/>
            </w:pPr>
            <w:r>
              <w:rPr>
                <w:rFonts w:ascii="Aptos" w:hAnsi="Aptos" w:eastAsia="Aptos"/>
                <w:b w:val="0"/>
                <w:i w:val="0"/>
                <w:color w:val="000000"/>
                <w:sz w:val="18"/>
              </w:rPr>
              <w:t>1/3</w:t>
            </w:r>
          </w:p>
        </w:tc>
        <w:tc>
          <w:tcPr>
            <w:tcW w:type="dxa" w:w="1080"/>
            <w:tcMar>
              <w:top w:w="100" w:type="dxa"/>
              <w:start w:w="110" w:type="dxa"/>
              <w:bottom w:w="100" w:type="dxa"/>
              <w:end w:w="110" w:type="dxa"/>
            </w:tcMar>
            <w:tcBorders>
              <w:top w:val="single" w:sz="6" w:color="D9D9D9"/>
              <w:start w:val="single" w:sz="6" w:color="D9D9D9"/>
              <w:bottom w:val="single" w:sz="6" w:color="D9D9D9"/>
              <w:end w:val="single" w:sz="6" w:color="D9D9D9"/>
              <w:insideH w:val="single" w:sz="6" w:color="D9D9D9"/>
              <w:insideV w:val="single" w:sz="6" w:color="D9D9D9"/>
            </w:tcBorders>
            <w:vAlign w:val="center"/>
          </w:tcPr>
          <w:p>
            <w:pPr>
              <w:spacing w:after="0" w:line="252" w:lineRule="auto"/>
              <w:jc w:val="center"/>
            </w:pPr>
            <w:r>
              <w:rPr>
                <w:rFonts w:ascii="Aptos" w:hAnsi="Aptos" w:eastAsia="Aptos"/>
                <w:b w:val="0"/>
                <w:i w:val="0"/>
                <w:color w:val="000000"/>
                <w:sz w:val="18"/>
              </w:rPr>
              <w:t>3</w:t>
            </w:r>
          </w:p>
        </w:tc>
        <w:tc>
          <w:tcPr>
            <w:tcW w:type="dxa" w:w="5616"/>
            <w:tcMar>
              <w:top w:w="100" w:type="dxa"/>
              <w:start w:w="110" w:type="dxa"/>
              <w:bottom w:w="100" w:type="dxa"/>
              <w:end w:w="110" w:type="dxa"/>
            </w:tcMar>
            <w:tcBorders>
              <w:top w:val="single" w:sz="6" w:color="D9D9D9"/>
              <w:start w:val="single" w:sz="6" w:color="D9D9D9"/>
              <w:bottom w:val="single" w:sz="6" w:color="D9D9D9"/>
              <w:end w:val="single" w:sz="6" w:color="D9D9D9"/>
              <w:insideH w:val="single" w:sz="6" w:color="D9D9D9"/>
              <w:insideV w:val="single" w:sz="6" w:color="D9D9D9"/>
            </w:tcBorders>
            <w:vAlign w:val="center"/>
          </w:tcPr>
          <w:p>
            <w:pPr>
              <w:spacing w:after="0" w:line="252" w:lineRule="auto"/>
              <w:jc w:val="left"/>
            </w:pPr>
            <w:r>
              <w:rPr>
                <w:rFonts w:ascii="Aptos" w:hAnsi="Aptos" w:eastAsia="Aptos"/>
                <w:b w:val="0"/>
                <w:i w:val="0"/>
                <w:color w:val="000000"/>
                <w:sz w:val="18"/>
              </w:rPr>
              <w:t>Mới xuất hiện tín hiệu ban đầu; chưa đủ xác nhận xu hướng.</w:t>
            </w:r>
          </w:p>
        </w:tc>
      </w:tr>
      <w:tr>
        <w:tc>
          <w:tcPr>
            <w:tcW w:type="dxa" w:w="3240"/>
            <w:shd w:fill="F4F7FA"/>
            <w:tcMar>
              <w:top w:w="100" w:type="dxa"/>
              <w:start w:w="110" w:type="dxa"/>
              <w:bottom w:w="100" w:type="dxa"/>
              <w:end w:w="110" w:type="dxa"/>
            </w:tcMar>
            <w:tcBorders>
              <w:top w:val="single" w:sz="6" w:color="D9D9D9"/>
              <w:start w:val="single" w:sz="6" w:color="D9D9D9"/>
              <w:bottom w:val="single" w:sz="6" w:color="D9D9D9"/>
              <w:end w:val="single" w:sz="6" w:color="D9D9D9"/>
              <w:insideH w:val="single" w:sz="6" w:color="D9D9D9"/>
              <w:insideV w:val="single" w:sz="6" w:color="D9D9D9"/>
            </w:tcBorders>
            <w:vAlign w:val="center"/>
          </w:tcPr>
          <w:p>
            <w:pPr>
              <w:spacing w:after="0" w:line="252" w:lineRule="auto"/>
              <w:jc w:val="center"/>
            </w:pPr>
            <w:r>
              <w:rPr>
                <w:rFonts w:ascii="Aptos" w:hAnsi="Aptos" w:eastAsia="Aptos"/>
                <w:b w:val="0"/>
                <w:i w:val="0"/>
                <w:color w:val="000000"/>
                <w:sz w:val="18"/>
              </w:rPr>
              <w:t>0/3</w:t>
            </w:r>
          </w:p>
        </w:tc>
        <w:tc>
          <w:tcPr>
            <w:tcW w:type="dxa" w:w="1080"/>
            <w:shd w:fill="F4F7FA"/>
            <w:tcMar>
              <w:top w:w="100" w:type="dxa"/>
              <w:start w:w="110" w:type="dxa"/>
              <w:bottom w:w="100" w:type="dxa"/>
              <w:end w:w="110" w:type="dxa"/>
            </w:tcMar>
            <w:tcBorders>
              <w:top w:val="single" w:sz="6" w:color="D9D9D9"/>
              <w:start w:val="single" w:sz="6" w:color="D9D9D9"/>
              <w:bottom w:val="single" w:sz="6" w:color="D9D9D9"/>
              <w:end w:val="single" w:sz="6" w:color="D9D9D9"/>
              <w:insideH w:val="single" w:sz="6" w:color="D9D9D9"/>
              <w:insideV w:val="single" w:sz="6" w:color="D9D9D9"/>
            </w:tcBorders>
            <w:vAlign w:val="center"/>
          </w:tcPr>
          <w:p>
            <w:pPr>
              <w:spacing w:after="0" w:line="252" w:lineRule="auto"/>
              <w:jc w:val="center"/>
            </w:pPr>
            <w:r>
              <w:rPr>
                <w:rFonts w:ascii="Aptos" w:hAnsi="Aptos" w:eastAsia="Aptos"/>
                <w:b w:val="0"/>
                <w:i w:val="0"/>
                <w:color w:val="000000"/>
                <w:sz w:val="18"/>
              </w:rPr>
              <w:t>0</w:t>
            </w:r>
          </w:p>
        </w:tc>
        <w:tc>
          <w:tcPr>
            <w:tcW w:type="dxa" w:w="5616"/>
            <w:shd w:fill="F4F7FA"/>
            <w:tcMar>
              <w:top w:w="100" w:type="dxa"/>
              <w:start w:w="110" w:type="dxa"/>
              <w:bottom w:w="100" w:type="dxa"/>
              <w:end w:w="110" w:type="dxa"/>
            </w:tcMar>
            <w:tcBorders>
              <w:top w:val="single" w:sz="6" w:color="D9D9D9"/>
              <w:start w:val="single" w:sz="6" w:color="D9D9D9"/>
              <w:bottom w:val="single" w:sz="6" w:color="D9D9D9"/>
              <w:end w:val="single" w:sz="6" w:color="D9D9D9"/>
              <w:insideH w:val="single" w:sz="6" w:color="D9D9D9"/>
              <w:insideV w:val="single" w:sz="6" w:color="D9D9D9"/>
            </w:tcBorders>
            <w:vAlign w:val="center"/>
          </w:tcPr>
          <w:p>
            <w:pPr>
              <w:spacing w:after="0" w:line="252" w:lineRule="auto"/>
              <w:jc w:val="left"/>
            </w:pPr>
            <w:r>
              <w:rPr>
                <w:rFonts w:ascii="Aptos" w:hAnsi="Aptos" w:eastAsia="Aptos"/>
                <w:b w:val="0"/>
                <w:i w:val="0"/>
                <w:color w:val="000000"/>
                <w:sz w:val="18"/>
              </w:rPr>
              <w:t>Chưa có quý nào tăng trưởng so với cùng kỳ.</w:t>
            </w:r>
          </w:p>
        </w:tc>
      </w:tr>
    </w:tbl>
    <w:p>
      <w:pPr>
        <w:spacing w:after="20"/>
      </w:pPr>
    </w:p>
    <w:p>
      <w:pPr>
        <w:spacing w:after="100" w:line="269" w:lineRule="auto"/>
      </w:pPr>
      <w:r>
        <w:rPr>
          <w:rFonts w:ascii="Aptos" w:hAnsi="Aptos" w:eastAsia="Aptos"/>
          <w:b w:val="0"/>
          <w:i w:val="0"/>
          <w:color w:val="000000"/>
          <w:sz w:val="21"/>
        </w:rPr>
        <w:t>Điểm 1/3 quý được giữ ở mức 3 thay vì 4 hoặc 5 nhằm tránh việc chỉ một quý tăng trưởng đã nhận quá nhiều điểm. Đây là một trong hai điều chỉnh đã thống nhất trước khi chốt bộ tiêu chí.</w:t>
      </w:r>
    </w:p>
    <w:p>
      <w:pPr>
        <w:pStyle w:val="Heading2"/>
        <w:keepNext/>
        <w:spacing w:before="140" w:after="100"/>
      </w:pPr>
      <w:r>
        <w:rPr>
          <w:rFonts w:ascii="Aptos" w:hAnsi="Aptos" w:eastAsia="Aptos"/>
          <w:b/>
          <w:i w:val="0"/>
          <w:color w:val="000000"/>
          <w:sz w:val="24"/>
        </w:rPr>
        <w:t>5.4 Kiểm thử bắt buộc</w:t>
      </w:r>
    </w:p>
    <w:p>
      <w:pPr>
        <w:pStyle w:val="ListBullet"/>
        <w:spacing w:after="60" w:line="259" w:lineRule="auto"/>
      </w:pPr>
      <w:r>
        <w:rPr>
          <w:rFonts w:ascii="Aptos" w:hAnsi="Aptos" w:eastAsia="Aptos"/>
          <w:b w:val="0"/>
          <w:i w:val="0"/>
          <w:color w:val="000000"/>
          <w:sz w:val="21"/>
        </w:rPr>
        <w:t>Đối chiếu đúng quý: q so với q-4, q-1 so với q-5, q-2 so với q-6.</w:t>
      </w:r>
    </w:p>
    <w:p>
      <w:pPr>
        <w:pStyle w:val="ListBullet"/>
        <w:spacing w:after="60" w:line="259" w:lineRule="auto"/>
      </w:pPr>
      <w:r>
        <w:rPr>
          <w:rFonts w:ascii="Aptos" w:hAnsi="Aptos" w:eastAsia="Aptos"/>
          <w:b w:val="0"/>
          <w:i w:val="0"/>
          <w:color w:val="000000"/>
          <w:sz w:val="21"/>
        </w:rPr>
        <w:t>Không so sánh quý liền trước theo QoQ vì ngành bảo hiểm có thể có mùa vụ.</w:t>
      </w:r>
    </w:p>
    <w:p>
      <w:pPr>
        <w:pStyle w:val="ListBullet"/>
        <w:spacing w:after="60" w:line="259" w:lineRule="auto"/>
      </w:pPr>
      <w:r>
        <w:rPr>
          <w:rFonts w:ascii="Aptos" w:hAnsi="Aptos" w:eastAsia="Aptos"/>
          <w:b w:val="0"/>
          <w:i w:val="0"/>
          <w:color w:val="000000"/>
          <w:sz w:val="21"/>
        </w:rPr>
        <w:t>Kiểm tra chuỗi có quý lỗ, quý chuyển lãi và quý EPS bằng 0.</w:t>
      </w:r>
    </w:p>
    <w:p>
      <w:pPr>
        <w:pStyle w:val="ListBullet"/>
        <w:spacing w:after="60" w:line="259" w:lineRule="auto"/>
      </w:pPr>
      <w:r>
        <w:rPr>
          <w:rFonts w:ascii="Aptos" w:hAnsi="Aptos" w:eastAsia="Aptos"/>
          <w:b w:val="0"/>
          <w:i w:val="0"/>
          <w:color w:val="000000"/>
          <w:sz w:val="21"/>
        </w:rPr>
        <w:t>Không cộng thêm điểm gia tốc EPS trong nhóm 50 điểm để tránh chấm lặp cùng tín hiệu.</w:t>
      </w:r>
    </w:p>
    <w:p>
      <w:r>
        <w:br w:type="page"/>
      </w:r>
    </w:p>
    <w:p>
      <w:pPr>
        <w:pStyle w:val="Heading1"/>
        <w:keepNext/>
        <w:spacing w:before="200" w:after="100"/>
      </w:pPr>
      <w:r>
        <w:rPr>
          <w:rFonts w:ascii="Aptos" w:hAnsi="Aptos" w:eastAsia="Aptos"/>
          <w:b/>
          <w:i w:val="0"/>
          <w:color w:val="000000"/>
          <w:sz w:val="30"/>
        </w:rPr>
        <w:t>6 Tiêu chí 3 Doanh thu bảo hiểm thuần YoY 10 điểm</w:t>
      </w:r>
    </w:p>
    <w:p>
      <w:pPr>
        <w:pStyle w:val="Heading2"/>
        <w:keepNext/>
        <w:spacing w:before="140" w:after="100"/>
      </w:pPr>
      <w:r>
        <w:rPr>
          <w:rFonts w:ascii="Aptos" w:hAnsi="Aptos" w:eastAsia="Aptos"/>
          <w:b/>
          <w:i w:val="0"/>
          <w:color w:val="000000"/>
          <w:sz w:val="24"/>
        </w:rPr>
        <w:t>6.1 Mục tiêu và ý nghĩa</w:t>
      </w:r>
    </w:p>
    <w:p>
      <w:pPr>
        <w:spacing w:after="100" w:line="269" w:lineRule="auto"/>
      </w:pPr>
      <w:r>
        <w:rPr>
          <w:rFonts w:ascii="Aptos" w:hAnsi="Aptos" w:eastAsia="Aptos"/>
          <w:b w:val="0"/>
          <w:i w:val="0"/>
          <w:color w:val="000000"/>
          <w:sz w:val="21"/>
        </w:rPr>
        <w:t>Đo mức mở rộng quy mô nghiệp vụ bảo hiểm cốt lõi. Chỉ tiêu này bổ sung cho EPS: EPS có thể tăng nhờ đầu tư, hoàn nhập hoặc biến động dự phòng, trong khi doanh thu bảo hiểm thuần cho biết hoạt động bảo hiểm có thực sự mở rộng hay không.</w:t>
      </w:r>
    </w:p>
    <w:p>
      <w:pPr>
        <w:pStyle w:val="Heading2"/>
        <w:keepNext/>
        <w:spacing w:before="140" w:after="100"/>
      </w:pPr>
      <w:r>
        <w:rPr>
          <w:rFonts w:ascii="Aptos" w:hAnsi="Aptos" w:eastAsia="Aptos"/>
          <w:b/>
          <w:i w:val="0"/>
          <w:color w:val="000000"/>
          <w:sz w:val="24"/>
        </w:rPr>
        <w:t>6.2 Định nghĩa dữ liệu bắt buộc</w:t>
      </w:r>
    </w:p>
    <w:p>
      <w:pPr>
        <w:spacing w:after="100" w:line="269" w:lineRule="auto"/>
      </w:pPr>
      <w:r>
        <w:rPr>
          <w:rFonts w:ascii="Aptos" w:hAnsi="Aptos" w:eastAsia="Aptos"/>
          <w:b w:val="0"/>
          <w:i w:val="0"/>
          <w:color w:val="000000"/>
          <w:sz w:val="21"/>
        </w:rPr>
        <w:t>Sử dụng dòng Doanh thu thuần hoạt động kinh doanh bảo hiểm hoặc dòng có bản chất tương đương trong BCTC. Không thay bằng phí bảo hiểm gốc, tổng phí nhận bảo hiểm, tổng doanh thu tập đoàn hoặc doanh thu tài chính.</w:t>
      </w:r>
    </w:p>
    <w:tbl>
      <w:tblPr>
        <w:tblW w:type="auto" w:w="0"/>
        <w:jc w:val="center"/>
        <w:tblLayout w:type="fixed"/>
        <w:tblLook w:firstColumn="1" w:firstRow="1" w:lastColumn="0" w:lastRow="0" w:noHBand="0" w:noVBand="1" w:val="04A0"/>
      </w:tblPr>
      <w:tblGrid>
        <w:gridCol w:w="3408"/>
        <w:gridCol w:w="3408"/>
        <w:gridCol w:w="3408"/>
      </w:tblGrid>
      <w:tr>
        <w:trPr>
          <w:tblHeader w:val="true"/>
        </w:trPr>
        <w:tc>
          <w:tcPr>
            <w:tcW w:type="dxa" w:w="2232"/>
            <w:shd w:fill="17365D"/>
            <w:tcMar>
              <w:top w:w="100" w:type="dxa"/>
              <w:start w:w="110" w:type="dxa"/>
              <w:bottom w:w="100" w:type="dxa"/>
              <w:end w:w="110" w:type="dxa"/>
            </w:tcMar>
            <w:tcBorders>
              <w:top w:val="single" w:sz="6" w:color="D9D9D9"/>
              <w:start w:val="single" w:sz="6" w:color="D9D9D9"/>
              <w:bottom w:val="single" w:sz="6" w:color="D9D9D9"/>
              <w:end w:val="single" w:sz="6" w:color="D9D9D9"/>
              <w:insideH w:val="single" w:sz="6" w:color="D9D9D9"/>
              <w:insideV w:val="single" w:sz="6" w:color="D9D9D9"/>
            </w:tcBorders>
            <w:vAlign w:val="center"/>
          </w:tcPr>
          <w:p>
            <w:pPr>
              <w:spacing w:after="0"/>
              <w:jc w:val="center"/>
            </w:pPr>
            <w:r>
              <w:rPr>
                <w:rFonts w:ascii="Aptos" w:hAnsi="Aptos" w:eastAsia="Aptos"/>
                <w:b/>
                <w:i w:val="0"/>
                <w:color w:val="FFFFFF"/>
                <w:sz w:val="18"/>
              </w:rPr>
              <w:t>Trường</w:t>
            </w:r>
          </w:p>
        </w:tc>
        <w:tc>
          <w:tcPr>
            <w:tcW w:type="dxa" w:w="4536"/>
            <w:shd w:fill="17365D"/>
            <w:tcMar>
              <w:top w:w="100" w:type="dxa"/>
              <w:start w:w="110" w:type="dxa"/>
              <w:bottom w:w="100" w:type="dxa"/>
              <w:end w:w="110" w:type="dxa"/>
            </w:tcMar>
            <w:tcBorders>
              <w:top w:val="single" w:sz="6" w:color="D9D9D9"/>
              <w:start w:val="single" w:sz="6" w:color="D9D9D9"/>
              <w:bottom w:val="single" w:sz="6" w:color="D9D9D9"/>
              <w:end w:val="single" w:sz="6" w:color="D9D9D9"/>
              <w:insideH w:val="single" w:sz="6" w:color="D9D9D9"/>
              <w:insideV w:val="single" w:sz="6" w:color="D9D9D9"/>
            </w:tcBorders>
            <w:vAlign w:val="center"/>
          </w:tcPr>
          <w:p>
            <w:pPr>
              <w:spacing w:after="0"/>
              <w:jc w:val="center"/>
            </w:pPr>
            <w:r>
              <w:rPr>
                <w:rFonts w:ascii="Aptos" w:hAnsi="Aptos" w:eastAsia="Aptos"/>
                <w:b/>
                <w:i w:val="0"/>
                <w:color w:val="FFFFFF"/>
                <w:sz w:val="18"/>
              </w:rPr>
              <w:t>Định nghĩa</w:t>
            </w:r>
          </w:p>
        </w:tc>
        <w:tc>
          <w:tcPr>
            <w:tcW w:type="dxa" w:w="3168"/>
            <w:shd w:fill="17365D"/>
            <w:tcMar>
              <w:top w:w="100" w:type="dxa"/>
              <w:start w:w="110" w:type="dxa"/>
              <w:bottom w:w="100" w:type="dxa"/>
              <w:end w:w="110" w:type="dxa"/>
            </w:tcMar>
            <w:tcBorders>
              <w:top w:val="single" w:sz="6" w:color="D9D9D9"/>
              <w:start w:val="single" w:sz="6" w:color="D9D9D9"/>
              <w:bottom w:val="single" w:sz="6" w:color="D9D9D9"/>
              <w:end w:val="single" w:sz="6" w:color="D9D9D9"/>
              <w:insideH w:val="single" w:sz="6" w:color="D9D9D9"/>
              <w:insideV w:val="single" w:sz="6" w:color="D9D9D9"/>
            </w:tcBorders>
            <w:vAlign w:val="center"/>
          </w:tcPr>
          <w:p>
            <w:pPr>
              <w:spacing w:after="0"/>
              <w:jc w:val="center"/>
            </w:pPr>
            <w:r>
              <w:rPr>
                <w:rFonts w:ascii="Aptos" w:hAnsi="Aptos" w:eastAsia="Aptos"/>
                <w:b/>
                <w:i w:val="0"/>
                <w:color w:val="FFFFFF"/>
                <w:sz w:val="18"/>
              </w:rPr>
              <w:t>Kiểm soát</w:t>
            </w:r>
          </w:p>
        </w:tc>
      </w:tr>
      <w:tr>
        <w:tc>
          <w:tcPr>
            <w:tcW w:type="dxa" w:w="2232"/>
            <w:tcMar>
              <w:top w:w="100" w:type="dxa"/>
              <w:start w:w="110" w:type="dxa"/>
              <w:bottom w:w="100" w:type="dxa"/>
              <w:end w:w="110" w:type="dxa"/>
            </w:tcMar>
            <w:tcBorders>
              <w:top w:val="single" w:sz="6" w:color="D9D9D9"/>
              <w:start w:val="single" w:sz="6" w:color="D9D9D9"/>
              <w:bottom w:val="single" w:sz="6" w:color="D9D9D9"/>
              <w:end w:val="single" w:sz="6" w:color="D9D9D9"/>
              <w:insideH w:val="single" w:sz="6" w:color="D9D9D9"/>
              <w:insideV w:val="single" w:sz="6" w:color="D9D9D9"/>
            </w:tcBorders>
            <w:vAlign w:val="center"/>
          </w:tcPr>
          <w:p>
            <w:pPr>
              <w:spacing w:after="0" w:line="252" w:lineRule="auto"/>
              <w:jc w:val="center"/>
            </w:pPr>
            <w:r>
              <w:rPr>
                <w:rFonts w:ascii="Aptos" w:hAnsi="Aptos" w:eastAsia="Aptos"/>
                <w:b w:val="0"/>
                <w:i w:val="0"/>
                <w:color w:val="000000"/>
                <w:sz w:val="18"/>
              </w:rPr>
              <w:t>INS_REV_NET_q</w:t>
            </w:r>
          </w:p>
        </w:tc>
        <w:tc>
          <w:tcPr>
            <w:tcW w:type="dxa" w:w="4536"/>
            <w:tcMar>
              <w:top w:w="100" w:type="dxa"/>
              <w:start w:w="110" w:type="dxa"/>
              <w:bottom w:w="100" w:type="dxa"/>
              <w:end w:w="110" w:type="dxa"/>
            </w:tcMar>
            <w:tcBorders>
              <w:top w:val="single" w:sz="6" w:color="D9D9D9"/>
              <w:start w:val="single" w:sz="6" w:color="D9D9D9"/>
              <w:bottom w:val="single" w:sz="6" w:color="D9D9D9"/>
              <w:end w:val="single" w:sz="6" w:color="D9D9D9"/>
              <w:insideH w:val="single" w:sz="6" w:color="D9D9D9"/>
              <w:insideV w:val="single" w:sz="6" w:color="D9D9D9"/>
            </w:tcBorders>
            <w:vAlign w:val="center"/>
          </w:tcPr>
          <w:p>
            <w:pPr>
              <w:spacing w:after="0" w:line="252" w:lineRule="auto"/>
              <w:jc w:val="left"/>
            </w:pPr>
            <w:r>
              <w:rPr>
                <w:rFonts w:ascii="Aptos" w:hAnsi="Aptos" w:eastAsia="Aptos"/>
                <w:b w:val="0"/>
                <w:i w:val="0"/>
                <w:color w:val="000000"/>
                <w:sz w:val="18"/>
              </w:rPr>
              <w:t>Doanh thu bảo hiểm thuần của riêng quý q.</w:t>
            </w:r>
          </w:p>
        </w:tc>
        <w:tc>
          <w:tcPr>
            <w:tcW w:type="dxa" w:w="3168"/>
            <w:tcMar>
              <w:top w:w="100" w:type="dxa"/>
              <w:start w:w="110" w:type="dxa"/>
              <w:bottom w:w="100" w:type="dxa"/>
              <w:end w:w="110" w:type="dxa"/>
            </w:tcMar>
            <w:tcBorders>
              <w:top w:val="single" w:sz="6" w:color="D9D9D9"/>
              <w:start w:val="single" w:sz="6" w:color="D9D9D9"/>
              <w:bottom w:val="single" w:sz="6" w:color="D9D9D9"/>
              <w:end w:val="single" w:sz="6" w:color="D9D9D9"/>
              <w:insideH w:val="single" w:sz="6" w:color="D9D9D9"/>
              <w:insideV w:val="single" w:sz="6" w:color="D9D9D9"/>
            </w:tcBorders>
            <w:vAlign w:val="center"/>
          </w:tcPr>
          <w:p>
            <w:pPr>
              <w:spacing w:after="0" w:line="252" w:lineRule="auto"/>
              <w:jc w:val="left"/>
            </w:pPr>
            <w:r>
              <w:rPr>
                <w:rFonts w:ascii="Aptos" w:hAnsi="Aptos" w:eastAsia="Aptos"/>
                <w:b w:val="0"/>
                <w:i w:val="0"/>
                <w:color w:val="000000"/>
                <w:sz w:val="18"/>
              </w:rPr>
              <w:t>Nếu BCTC công bố lũy kế, phải tách quý bằng phép trừ.</w:t>
            </w:r>
          </w:p>
        </w:tc>
      </w:tr>
      <w:tr>
        <w:tc>
          <w:tcPr>
            <w:tcW w:type="dxa" w:w="2232"/>
            <w:shd w:fill="F4F7FA"/>
            <w:tcMar>
              <w:top w:w="100" w:type="dxa"/>
              <w:start w:w="110" w:type="dxa"/>
              <w:bottom w:w="100" w:type="dxa"/>
              <w:end w:w="110" w:type="dxa"/>
            </w:tcMar>
            <w:tcBorders>
              <w:top w:val="single" w:sz="6" w:color="D9D9D9"/>
              <w:start w:val="single" w:sz="6" w:color="D9D9D9"/>
              <w:bottom w:val="single" w:sz="6" w:color="D9D9D9"/>
              <w:end w:val="single" w:sz="6" w:color="D9D9D9"/>
              <w:insideH w:val="single" w:sz="6" w:color="D9D9D9"/>
              <w:insideV w:val="single" w:sz="6" w:color="D9D9D9"/>
            </w:tcBorders>
            <w:vAlign w:val="center"/>
          </w:tcPr>
          <w:p>
            <w:pPr>
              <w:spacing w:after="0" w:line="252" w:lineRule="auto"/>
              <w:jc w:val="center"/>
            </w:pPr>
            <w:r>
              <w:rPr>
                <w:rFonts w:ascii="Aptos" w:hAnsi="Aptos" w:eastAsia="Aptos"/>
                <w:b w:val="0"/>
                <w:i w:val="0"/>
                <w:color w:val="000000"/>
                <w:sz w:val="18"/>
              </w:rPr>
              <w:t>INS_REV_NET_q_4</w:t>
            </w:r>
          </w:p>
        </w:tc>
        <w:tc>
          <w:tcPr>
            <w:tcW w:type="dxa" w:w="4536"/>
            <w:shd w:fill="F4F7FA"/>
            <w:tcMar>
              <w:top w:w="100" w:type="dxa"/>
              <w:start w:w="110" w:type="dxa"/>
              <w:bottom w:w="100" w:type="dxa"/>
              <w:end w:w="110" w:type="dxa"/>
            </w:tcMar>
            <w:tcBorders>
              <w:top w:val="single" w:sz="6" w:color="D9D9D9"/>
              <w:start w:val="single" w:sz="6" w:color="D9D9D9"/>
              <w:bottom w:val="single" w:sz="6" w:color="D9D9D9"/>
              <w:end w:val="single" w:sz="6" w:color="D9D9D9"/>
              <w:insideH w:val="single" w:sz="6" w:color="D9D9D9"/>
              <w:insideV w:val="single" w:sz="6" w:color="D9D9D9"/>
            </w:tcBorders>
            <w:vAlign w:val="center"/>
          </w:tcPr>
          <w:p>
            <w:pPr>
              <w:spacing w:after="0" w:line="252" w:lineRule="auto"/>
              <w:jc w:val="left"/>
            </w:pPr>
            <w:r>
              <w:rPr>
                <w:rFonts w:ascii="Aptos" w:hAnsi="Aptos" w:eastAsia="Aptos"/>
                <w:b w:val="0"/>
                <w:i w:val="0"/>
                <w:color w:val="000000"/>
                <w:sz w:val="18"/>
              </w:rPr>
              <w:t>Doanh thu bảo hiểm thuần của cùng quý năm trước.</w:t>
            </w:r>
          </w:p>
        </w:tc>
        <w:tc>
          <w:tcPr>
            <w:tcW w:type="dxa" w:w="3168"/>
            <w:shd w:fill="F4F7FA"/>
            <w:tcMar>
              <w:top w:w="100" w:type="dxa"/>
              <w:start w:w="110" w:type="dxa"/>
              <w:bottom w:w="100" w:type="dxa"/>
              <w:end w:w="110" w:type="dxa"/>
            </w:tcMar>
            <w:tcBorders>
              <w:top w:val="single" w:sz="6" w:color="D9D9D9"/>
              <w:start w:val="single" w:sz="6" w:color="D9D9D9"/>
              <w:bottom w:val="single" w:sz="6" w:color="D9D9D9"/>
              <w:end w:val="single" w:sz="6" w:color="D9D9D9"/>
              <w:insideH w:val="single" w:sz="6" w:color="D9D9D9"/>
              <w:insideV w:val="single" w:sz="6" w:color="D9D9D9"/>
            </w:tcBorders>
            <w:vAlign w:val="center"/>
          </w:tcPr>
          <w:p>
            <w:pPr>
              <w:spacing w:after="0" w:line="252" w:lineRule="auto"/>
              <w:jc w:val="left"/>
            </w:pPr>
            <w:r>
              <w:rPr>
                <w:rFonts w:ascii="Aptos" w:hAnsi="Aptos" w:eastAsia="Aptos"/>
                <w:b w:val="0"/>
                <w:i w:val="0"/>
                <w:color w:val="000000"/>
                <w:sz w:val="18"/>
              </w:rPr>
              <w:t>Dùng số so sánh đã trình bày lại nếu có.</w:t>
            </w:r>
          </w:p>
        </w:tc>
      </w:tr>
      <w:tr>
        <w:tc>
          <w:tcPr>
            <w:tcW w:type="dxa" w:w="2232"/>
            <w:tcMar>
              <w:top w:w="100" w:type="dxa"/>
              <w:start w:w="110" w:type="dxa"/>
              <w:bottom w:w="100" w:type="dxa"/>
              <w:end w:w="110" w:type="dxa"/>
            </w:tcMar>
            <w:tcBorders>
              <w:top w:val="single" w:sz="6" w:color="D9D9D9"/>
              <w:start w:val="single" w:sz="6" w:color="D9D9D9"/>
              <w:bottom w:val="single" w:sz="6" w:color="D9D9D9"/>
              <w:end w:val="single" w:sz="6" w:color="D9D9D9"/>
              <w:insideH w:val="single" w:sz="6" w:color="D9D9D9"/>
              <w:insideV w:val="single" w:sz="6" w:color="D9D9D9"/>
            </w:tcBorders>
            <w:vAlign w:val="center"/>
          </w:tcPr>
          <w:p>
            <w:pPr>
              <w:spacing w:after="0" w:line="252" w:lineRule="auto"/>
              <w:jc w:val="center"/>
            </w:pPr>
            <w:r>
              <w:rPr>
                <w:rFonts w:ascii="Aptos" w:hAnsi="Aptos" w:eastAsia="Aptos"/>
                <w:b w:val="0"/>
                <w:i w:val="0"/>
                <w:color w:val="000000"/>
                <w:sz w:val="18"/>
              </w:rPr>
              <w:t>REV_GROWTH_YOY</w:t>
            </w:r>
          </w:p>
        </w:tc>
        <w:tc>
          <w:tcPr>
            <w:tcW w:type="dxa" w:w="4536"/>
            <w:tcMar>
              <w:top w:w="100" w:type="dxa"/>
              <w:start w:w="110" w:type="dxa"/>
              <w:bottom w:w="100" w:type="dxa"/>
              <w:end w:w="110" w:type="dxa"/>
            </w:tcMar>
            <w:tcBorders>
              <w:top w:val="single" w:sz="6" w:color="D9D9D9"/>
              <w:start w:val="single" w:sz="6" w:color="D9D9D9"/>
              <w:bottom w:val="single" w:sz="6" w:color="D9D9D9"/>
              <w:end w:val="single" w:sz="6" w:color="D9D9D9"/>
              <w:insideH w:val="single" w:sz="6" w:color="D9D9D9"/>
              <w:insideV w:val="single" w:sz="6" w:color="D9D9D9"/>
            </w:tcBorders>
            <w:vAlign w:val="center"/>
          </w:tcPr>
          <w:p>
            <w:pPr>
              <w:spacing w:after="0" w:line="252" w:lineRule="auto"/>
              <w:jc w:val="left"/>
            </w:pPr>
            <w:r>
              <w:rPr>
                <w:rFonts w:ascii="Aptos" w:hAnsi="Aptos" w:eastAsia="Aptos"/>
                <w:b w:val="0"/>
                <w:i w:val="0"/>
                <w:color w:val="000000"/>
                <w:sz w:val="18"/>
              </w:rPr>
              <w:t>Tốc độ tăng doanh thu bảo hiểm thuần YoY.</w:t>
            </w:r>
          </w:p>
        </w:tc>
        <w:tc>
          <w:tcPr>
            <w:tcW w:type="dxa" w:w="3168"/>
            <w:tcMar>
              <w:top w:w="100" w:type="dxa"/>
              <w:start w:w="110" w:type="dxa"/>
              <w:bottom w:w="100" w:type="dxa"/>
              <w:end w:w="110" w:type="dxa"/>
            </w:tcMar>
            <w:tcBorders>
              <w:top w:val="single" w:sz="6" w:color="D9D9D9"/>
              <w:start w:val="single" w:sz="6" w:color="D9D9D9"/>
              <w:bottom w:val="single" w:sz="6" w:color="D9D9D9"/>
              <w:end w:val="single" w:sz="6" w:color="D9D9D9"/>
              <w:insideH w:val="single" w:sz="6" w:color="D9D9D9"/>
              <w:insideV w:val="single" w:sz="6" w:color="D9D9D9"/>
            </w:tcBorders>
            <w:vAlign w:val="center"/>
          </w:tcPr>
          <w:p>
            <w:pPr>
              <w:spacing w:after="0" w:line="252" w:lineRule="auto"/>
              <w:jc w:val="left"/>
            </w:pPr>
            <w:r>
              <w:rPr>
                <w:rFonts w:ascii="Aptos" w:hAnsi="Aptos" w:eastAsia="Aptos"/>
                <w:b w:val="0"/>
                <w:i w:val="0"/>
                <w:color w:val="000000"/>
                <w:sz w:val="18"/>
              </w:rPr>
              <w:t>Lưu giá trị chưa làm tròn và giá trị hiển thị.</w:t>
            </w:r>
          </w:p>
        </w:tc>
      </w:tr>
    </w:tbl>
    <w:p>
      <w:pPr>
        <w:spacing w:after="20"/>
      </w:pPr>
    </w:p>
    <w:p>
      <w:pPr>
        <w:pStyle w:val="Heading2"/>
        <w:keepNext/>
        <w:spacing w:before="140" w:after="100"/>
      </w:pPr>
      <w:r>
        <w:rPr>
          <w:rFonts w:ascii="Aptos" w:hAnsi="Aptos" w:eastAsia="Aptos"/>
          <w:b/>
          <w:i w:val="0"/>
          <w:color w:val="000000"/>
          <w:sz w:val="24"/>
        </w:rPr>
        <w:t>6.3 Công thức</w:t>
      </w:r>
    </w:p>
    <w:p>
      <w:pPr>
        <w:spacing w:before="60" w:after="140"/>
        <w:jc w:val="center"/>
      </w:pPr>
      <w:r>
        <w:rPr>
          <w:rFonts w:ascii="Aptos" w:hAnsi="Aptos" w:eastAsia="Aptos"/>
          <w:b/>
          <w:i w:val="0"/>
          <w:color w:val="17365D"/>
          <w:sz w:val="21"/>
        </w:rPr>
        <w:t xml:space="preserve">Doanh thu BH thuần YoY: </w:t>
      </w:r>
      <w:r>
        <w:rPr>
          <w:rFonts w:ascii="Aptos" w:hAnsi="Aptos" w:eastAsia="Aptos"/>
          <w:b w:val="0"/>
          <w:i w:val="0"/>
          <w:color w:val="000000"/>
          <w:sz w:val="21"/>
        </w:rPr>
        <w:t>(INS_REV_NET_q - INS_REV_NET_q-4) / |INS_REV_NET_q-4| x 100%</w:t>
      </w:r>
    </w:p>
    <w:p>
      <w:pPr>
        <w:spacing w:after="100" w:line="269" w:lineRule="auto"/>
      </w:pPr>
      <w:r>
        <w:rPr>
          <w:rFonts w:ascii="Aptos" w:hAnsi="Aptos" w:eastAsia="Aptos"/>
          <w:b w:val="0"/>
          <w:i w:val="0"/>
          <w:color w:val="000000"/>
          <w:sz w:val="21"/>
        </w:rPr>
        <w:t>Điểm cơ sở tối đa 10, dùng cùng thang tăng trưởng doanh thu của bảng Sản xuất. Tuy nhiên bảo hiểm khác sản xuất ở chỗ tăng trưởng phí quá nhanh có thể làm tăng áp lực vốn và nghĩa vụ bảo hiểm.</w:t>
      </w:r>
    </w:p>
    <w:p>
      <w:pPr>
        <w:pStyle w:val="Heading2"/>
        <w:keepNext/>
        <w:spacing w:before="140" w:after="100"/>
      </w:pPr>
      <w:r>
        <w:rPr>
          <w:rFonts w:ascii="Aptos" w:hAnsi="Aptos" w:eastAsia="Aptos"/>
          <w:b/>
          <w:i w:val="0"/>
          <w:color w:val="000000"/>
          <w:sz w:val="24"/>
        </w:rPr>
        <w:t>6.4 Quy tắc kiểm soát tăng trưởng quá nhanh</w:t>
      </w:r>
    </w:p>
    <w:p>
      <w:pPr>
        <w:spacing w:before="60" w:after="140"/>
        <w:jc w:val="center"/>
      </w:pPr>
      <w:r>
        <w:rPr>
          <w:rFonts w:ascii="Aptos" w:hAnsi="Aptos" w:eastAsia="Aptos"/>
          <w:b/>
          <w:i w:val="0"/>
          <w:color w:val="17365D"/>
          <w:sz w:val="21"/>
        </w:rPr>
        <w:t xml:space="preserve">Khoảng cách tăng trưởng vốn: </w:t>
      </w:r>
      <w:r>
        <w:rPr>
          <w:rFonts w:ascii="Aptos" w:hAnsi="Aptos" w:eastAsia="Aptos"/>
          <w:b w:val="0"/>
          <w:i w:val="0"/>
          <w:color w:val="000000"/>
          <w:sz w:val="21"/>
        </w:rPr>
        <w:t>REV_GROWTH_YOY - EQUITY_GROWTH_YOY</w:t>
      </w:r>
    </w:p>
    <w:p>
      <w:pPr>
        <w:spacing w:after="100" w:line="269" w:lineRule="auto"/>
      </w:pPr>
      <w:r>
        <w:rPr>
          <w:rFonts w:ascii="Aptos" w:hAnsi="Aptos" w:eastAsia="Aptos"/>
          <w:b w:val="0"/>
          <w:i w:val="0"/>
          <w:color w:val="000000"/>
          <w:sz w:val="21"/>
        </w:rPr>
        <w:t>IT phải tính trường phụ này trong hai quý liên tiếp. Ngưỡng thử nghiệm ban đầu: nếu doanh thu bảo hiểm thuần tăng nhanh hơn VCSH trên 20 điểm phần trăm trong hai quý liên tiếp, điểm doanh thu bị giới hạn tối đa 5/10. Ngưỡng 20 điểm phần trăm là giả thuyết cần kiểm tra bằng phân phối dữ liệu thật; chưa hard-code vào production trước khi nhóm nghiệp vụ duyệt kết quả kiểm tra.</w:t>
      </w:r>
    </w:p>
    <w:p>
      <w:pPr>
        <w:pStyle w:val="Heading2"/>
        <w:keepNext/>
        <w:spacing w:before="140" w:after="100"/>
      </w:pPr>
      <w:r>
        <w:rPr>
          <w:rFonts w:ascii="Aptos" w:hAnsi="Aptos" w:eastAsia="Aptos"/>
          <w:b/>
          <w:i w:val="0"/>
          <w:color w:val="000000"/>
          <w:sz w:val="24"/>
        </w:rPr>
        <w:t>6.5 Yêu cầu mapping</w:t>
      </w:r>
    </w:p>
    <w:p>
      <w:pPr>
        <w:pStyle w:val="ListBullet"/>
        <w:spacing w:after="60" w:line="259" w:lineRule="auto"/>
      </w:pPr>
      <w:r>
        <w:rPr>
          <w:rFonts w:ascii="Aptos" w:hAnsi="Aptos" w:eastAsia="Aptos"/>
          <w:b w:val="0"/>
          <w:i w:val="0"/>
          <w:color w:val="000000"/>
          <w:sz w:val="21"/>
        </w:rPr>
        <w:t>Lập bảng mapping nhãn dòng gốc của từng doanh nghiệp sang INS_REV_NET.</w:t>
      </w:r>
    </w:p>
    <w:p>
      <w:pPr>
        <w:pStyle w:val="ListBullet"/>
        <w:spacing w:after="60" w:line="259" w:lineRule="auto"/>
      </w:pPr>
      <w:r>
        <w:rPr>
          <w:rFonts w:ascii="Aptos" w:hAnsi="Aptos" w:eastAsia="Aptos"/>
          <w:b w:val="0"/>
          <w:i w:val="0"/>
          <w:color w:val="000000"/>
          <w:sz w:val="21"/>
        </w:rPr>
        <w:t>Xác nhận cùng bản chất kinh tế qua toàn bộ 20 quý.</w:t>
      </w:r>
    </w:p>
    <w:p>
      <w:pPr>
        <w:pStyle w:val="ListBullet"/>
        <w:spacing w:after="60" w:line="259" w:lineRule="auto"/>
      </w:pPr>
      <w:r>
        <w:rPr>
          <w:rFonts w:ascii="Aptos" w:hAnsi="Aptos" w:eastAsia="Aptos"/>
          <w:b w:val="0"/>
          <w:i w:val="0"/>
          <w:color w:val="000000"/>
          <w:sz w:val="21"/>
        </w:rPr>
        <w:t>Báo riêng trường hợp thay đổi biểu mẫu hoặc chính sách kế toán làm chuỗi mất tính so sánh.</w:t>
      </w:r>
    </w:p>
    <w:p>
      <w:pPr>
        <w:pStyle w:val="ListBullet"/>
        <w:spacing w:after="60" w:line="259" w:lineRule="auto"/>
      </w:pPr>
      <w:r>
        <w:rPr>
          <w:rFonts w:ascii="Aptos" w:hAnsi="Aptos" w:eastAsia="Aptos"/>
          <w:b w:val="0"/>
          <w:i w:val="0"/>
          <w:color w:val="000000"/>
          <w:sz w:val="21"/>
        </w:rPr>
        <w:t>Nếu không xác định được dòng tương đương, ghi FAIL_MAPPING; không dùng dòng gần giống.</w:t>
      </w:r>
    </w:p>
    <w:p>
      <w:r>
        <w:br w:type="page"/>
      </w:r>
    </w:p>
    <w:p>
      <w:pPr>
        <w:pStyle w:val="Heading1"/>
        <w:keepNext/>
        <w:spacing w:before="200" w:after="100"/>
      </w:pPr>
      <w:r>
        <w:rPr>
          <w:rFonts w:ascii="Aptos" w:hAnsi="Aptos" w:eastAsia="Aptos"/>
          <w:b/>
          <w:i w:val="0"/>
          <w:color w:val="000000"/>
          <w:sz w:val="30"/>
        </w:rPr>
        <w:t>7 Tiêu chí 4 ROE bốn quý gần nhất 10 điểm</w:t>
      </w:r>
    </w:p>
    <w:p>
      <w:pPr>
        <w:pStyle w:val="Heading2"/>
        <w:keepNext/>
        <w:spacing w:before="140" w:after="100"/>
      </w:pPr>
      <w:r>
        <w:rPr>
          <w:rFonts w:ascii="Aptos" w:hAnsi="Aptos" w:eastAsia="Aptos"/>
          <w:b/>
          <w:i w:val="0"/>
          <w:color w:val="000000"/>
          <w:sz w:val="24"/>
        </w:rPr>
        <w:t>7.1 Mục tiêu và ý nghĩa</w:t>
      </w:r>
    </w:p>
    <w:p>
      <w:pPr>
        <w:spacing w:after="100" w:line="269" w:lineRule="auto"/>
      </w:pPr>
      <w:r>
        <w:rPr>
          <w:rFonts w:ascii="Aptos" w:hAnsi="Aptos" w:eastAsia="Aptos"/>
          <w:b w:val="0"/>
          <w:i w:val="0"/>
          <w:color w:val="000000"/>
          <w:sz w:val="21"/>
        </w:rPr>
        <w:t>Đo hiệu quả tạo lợi nhuận trên vốn của cổ đông. ROE giúp hạn chế trường hợp lợi nhuận tăng chủ yếu do doanh nghiệp liên tục tăng vốn nhưng hiệu quả trên mỗi đồng vốn thấp.</w:t>
      </w:r>
    </w:p>
    <w:p>
      <w:pPr>
        <w:pStyle w:val="Heading2"/>
        <w:keepNext/>
        <w:spacing w:before="140" w:after="100"/>
      </w:pPr>
      <w:r>
        <w:rPr>
          <w:rFonts w:ascii="Aptos" w:hAnsi="Aptos" w:eastAsia="Aptos"/>
          <w:b/>
          <w:i w:val="0"/>
          <w:color w:val="000000"/>
          <w:sz w:val="24"/>
        </w:rPr>
        <w:t>7.2 Dữ liệu đầu vào</w:t>
      </w:r>
    </w:p>
    <w:tbl>
      <w:tblPr>
        <w:tblW w:type="auto" w:w="0"/>
        <w:jc w:val="center"/>
        <w:tblLayout w:type="fixed"/>
        <w:tblLook w:firstColumn="1" w:firstRow="1" w:lastColumn="0" w:lastRow="0" w:noHBand="0" w:noVBand="1" w:val="04A0"/>
      </w:tblPr>
      <w:tblGrid>
        <w:gridCol w:w="5112"/>
        <w:gridCol w:w="5112"/>
      </w:tblGrid>
      <w:tr>
        <w:trPr>
          <w:tblHeader w:val="true"/>
        </w:trPr>
        <w:tc>
          <w:tcPr>
            <w:tcW w:type="dxa" w:w="2448"/>
            <w:shd w:fill="17365D"/>
            <w:tcMar>
              <w:top w:w="100" w:type="dxa"/>
              <w:start w:w="110" w:type="dxa"/>
              <w:bottom w:w="100" w:type="dxa"/>
              <w:end w:w="110" w:type="dxa"/>
            </w:tcMar>
            <w:tcBorders>
              <w:top w:val="single" w:sz="6" w:color="D9D9D9"/>
              <w:start w:val="single" w:sz="6" w:color="D9D9D9"/>
              <w:bottom w:val="single" w:sz="6" w:color="D9D9D9"/>
              <w:end w:val="single" w:sz="6" w:color="D9D9D9"/>
              <w:insideH w:val="single" w:sz="6" w:color="D9D9D9"/>
              <w:insideV w:val="single" w:sz="6" w:color="D9D9D9"/>
            </w:tcBorders>
            <w:vAlign w:val="center"/>
          </w:tcPr>
          <w:p>
            <w:pPr>
              <w:spacing w:after="0"/>
              <w:jc w:val="center"/>
            </w:pPr>
            <w:r>
              <w:rPr>
                <w:rFonts w:ascii="Aptos" w:hAnsi="Aptos" w:eastAsia="Aptos"/>
                <w:b/>
                <w:i w:val="0"/>
                <w:color w:val="FFFFFF"/>
                <w:sz w:val="18"/>
              </w:rPr>
              <w:t>Trường</w:t>
            </w:r>
          </w:p>
        </w:tc>
        <w:tc>
          <w:tcPr>
            <w:tcW w:type="dxa" w:w="7488"/>
            <w:shd w:fill="17365D"/>
            <w:tcMar>
              <w:top w:w="100" w:type="dxa"/>
              <w:start w:w="110" w:type="dxa"/>
              <w:bottom w:w="100" w:type="dxa"/>
              <w:end w:w="110" w:type="dxa"/>
            </w:tcMar>
            <w:tcBorders>
              <w:top w:val="single" w:sz="6" w:color="D9D9D9"/>
              <w:start w:val="single" w:sz="6" w:color="D9D9D9"/>
              <w:bottom w:val="single" w:sz="6" w:color="D9D9D9"/>
              <w:end w:val="single" w:sz="6" w:color="D9D9D9"/>
              <w:insideH w:val="single" w:sz="6" w:color="D9D9D9"/>
              <w:insideV w:val="single" w:sz="6" w:color="D9D9D9"/>
            </w:tcBorders>
            <w:vAlign w:val="center"/>
          </w:tcPr>
          <w:p>
            <w:pPr>
              <w:spacing w:after="0"/>
              <w:jc w:val="center"/>
            </w:pPr>
            <w:r>
              <w:rPr>
                <w:rFonts w:ascii="Aptos" w:hAnsi="Aptos" w:eastAsia="Aptos"/>
                <w:b/>
                <w:i w:val="0"/>
                <w:color w:val="FFFFFF"/>
                <w:sz w:val="18"/>
              </w:rPr>
              <w:t>Định nghĩa</w:t>
            </w:r>
          </w:p>
        </w:tc>
      </w:tr>
      <w:tr>
        <w:tc>
          <w:tcPr>
            <w:tcW w:type="dxa" w:w="2448"/>
            <w:tcMar>
              <w:top w:w="100" w:type="dxa"/>
              <w:start w:w="110" w:type="dxa"/>
              <w:bottom w:w="100" w:type="dxa"/>
              <w:end w:w="110" w:type="dxa"/>
            </w:tcMar>
            <w:tcBorders>
              <w:top w:val="single" w:sz="6" w:color="D9D9D9"/>
              <w:start w:val="single" w:sz="6" w:color="D9D9D9"/>
              <w:bottom w:val="single" w:sz="6" w:color="D9D9D9"/>
              <w:end w:val="single" w:sz="6" w:color="D9D9D9"/>
              <w:insideH w:val="single" w:sz="6" w:color="D9D9D9"/>
              <w:insideV w:val="single" w:sz="6" w:color="D9D9D9"/>
            </w:tcBorders>
            <w:vAlign w:val="center"/>
          </w:tcPr>
          <w:p>
            <w:pPr>
              <w:spacing w:after="0" w:line="252" w:lineRule="auto"/>
              <w:jc w:val="center"/>
            </w:pPr>
            <w:r>
              <w:rPr>
                <w:rFonts w:ascii="Aptos" w:hAnsi="Aptos" w:eastAsia="Aptos"/>
                <w:b w:val="0"/>
                <w:i w:val="0"/>
                <w:color w:val="000000"/>
                <w:sz w:val="18"/>
              </w:rPr>
              <w:t>NP_PARENT_TTM</w:t>
            </w:r>
          </w:p>
        </w:tc>
        <w:tc>
          <w:tcPr>
            <w:tcW w:type="dxa" w:w="7488"/>
            <w:tcMar>
              <w:top w:w="100" w:type="dxa"/>
              <w:start w:w="110" w:type="dxa"/>
              <w:bottom w:w="100" w:type="dxa"/>
              <w:end w:w="110" w:type="dxa"/>
            </w:tcMar>
            <w:tcBorders>
              <w:top w:val="single" w:sz="6" w:color="D9D9D9"/>
              <w:start w:val="single" w:sz="6" w:color="D9D9D9"/>
              <w:bottom w:val="single" w:sz="6" w:color="D9D9D9"/>
              <w:end w:val="single" w:sz="6" w:color="D9D9D9"/>
              <w:insideH w:val="single" w:sz="6" w:color="D9D9D9"/>
              <w:insideV w:val="single" w:sz="6" w:color="D9D9D9"/>
            </w:tcBorders>
            <w:vAlign w:val="center"/>
          </w:tcPr>
          <w:p>
            <w:pPr>
              <w:spacing w:after="0" w:line="252" w:lineRule="auto"/>
              <w:jc w:val="left"/>
            </w:pPr>
            <w:r>
              <w:rPr>
                <w:rFonts w:ascii="Aptos" w:hAnsi="Aptos" w:eastAsia="Aptos"/>
                <w:b w:val="0"/>
                <w:i w:val="0"/>
                <w:color w:val="000000"/>
                <w:sz w:val="18"/>
              </w:rPr>
              <w:t>Tổng LNST thuộc cổ đông công ty mẹ của bốn quý q, q-1, q-2, q-3.</w:t>
            </w:r>
          </w:p>
        </w:tc>
      </w:tr>
      <w:tr>
        <w:tc>
          <w:tcPr>
            <w:tcW w:type="dxa" w:w="2448"/>
            <w:shd w:fill="F4F7FA"/>
            <w:tcMar>
              <w:top w:w="100" w:type="dxa"/>
              <w:start w:w="110" w:type="dxa"/>
              <w:bottom w:w="100" w:type="dxa"/>
              <w:end w:w="110" w:type="dxa"/>
            </w:tcMar>
            <w:tcBorders>
              <w:top w:val="single" w:sz="6" w:color="D9D9D9"/>
              <w:start w:val="single" w:sz="6" w:color="D9D9D9"/>
              <w:bottom w:val="single" w:sz="6" w:color="D9D9D9"/>
              <w:end w:val="single" w:sz="6" w:color="D9D9D9"/>
              <w:insideH w:val="single" w:sz="6" w:color="D9D9D9"/>
              <w:insideV w:val="single" w:sz="6" w:color="D9D9D9"/>
            </w:tcBorders>
            <w:vAlign w:val="center"/>
          </w:tcPr>
          <w:p>
            <w:pPr>
              <w:spacing w:after="0" w:line="252" w:lineRule="auto"/>
              <w:jc w:val="center"/>
            </w:pPr>
            <w:r>
              <w:rPr>
                <w:rFonts w:ascii="Aptos" w:hAnsi="Aptos" w:eastAsia="Aptos"/>
                <w:b w:val="0"/>
                <w:i w:val="0"/>
                <w:color w:val="000000"/>
                <w:sz w:val="18"/>
              </w:rPr>
              <w:t>PARENT_EQUITY_q</w:t>
            </w:r>
          </w:p>
        </w:tc>
        <w:tc>
          <w:tcPr>
            <w:tcW w:type="dxa" w:w="7488"/>
            <w:shd w:fill="F4F7FA"/>
            <w:tcMar>
              <w:top w:w="100" w:type="dxa"/>
              <w:start w:w="110" w:type="dxa"/>
              <w:bottom w:w="100" w:type="dxa"/>
              <w:end w:w="110" w:type="dxa"/>
            </w:tcMar>
            <w:tcBorders>
              <w:top w:val="single" w:sz="6" w:color="D9D9D9"/>
              <w:start w:val="single" w:sz="6" w:color="D9D9D9"/>
              <w:bottom w:val="single" w:sz="6" w:color="D9D9D9"/>
              <w:end w:val="single" w:sz="6" w:color="D9D9D9"/>
              <w:insideH w:val="single" w:sz="6" w:color="D9D9D9"/>
              <w:insideV w:val="single" w:sz="6" w:color="D9D9D9"/>
            </w:tcBorders>
            <w:vAlign w:val="center"/>
          </w:tcPr>
          <w:p>
            <w:pPr>
              <w:spacing w:after="0" w:line="252" w:lineRule="auto"/>
              <w:jc w:val="left"/>
            </w:pPr>
            <w:r>
              <w:rPr>
                <w:rFonts w:ascii="Aptos" w:hAnsi="Aptos" w:eastAsia="Aptos"/>
                <w:b w:val="0"/>
                <w:i w:val="0"/>
                <w:color w:val="000000"/>
                <w:sz w:val="18"/>
              </w:rPr>
              <w:t>VCSH thuộc cổ đông công ty mẹ cuối quý q.</w:t>
            </w:r>
          </w:p>
        </w:tc>
      </w:tr>
      <w:tr>
        <w:tc>
          <w:tcPr>
            <w:tcW w:type="dxa" w:w="2448"/>
            <w:tcMar>
              <w:top w:w="100" w:type="dxa"/>
              <w:start w:w="110" w:type="dxa"/>
              <w:bottom w:w="100" w:type="dxa"/>
              <w:end w:w="110" w:type="dxa"/>
            </w:tcMar>
            <w:tcBorders>
              <w:top w:val="single" w:sz="6" w:color="D9D9D9"/>
              <w:start w:val="single" w:sz="6" w:color="D9D9D9"/>
              <w:bottom w:val="single" w:sz="6" w:color="D9D9D9"/>
              <w:end w:val="single" w:sz="6" w:color="D9D9D9"/>
              <w:insideH w:val="single" w:sz="6" w:color="D9D9D9"/>
              <w:insideV w:val="single" w:sz="6" w:color="D9D9D9"/>
            </w:tcBorders>
            <w:vAlign w:val="center"/>
          </w:tcPr>
          <w:p>
            <w:pPr>
              <w:spacing w:after="0" w:line="252" w:lineRule="auto"/>
              <w:jc w:val="center"/>
            </w:pPr>
            <w:r>
              <w:rPr>
                <w:rFonts w:ascii="Aptos" w:hAnsi="Aptos" w:eastAsia="Aptos"/>
                <w:b w:val="0"/>
                <w:i w:val="0"/>
                <w:color w:val="000000"/>
                <w:sz w:val="18"/>
              </w:rPr>
              <w:t>PARENT_EQUITY_q_4</w:t>
            </w:r>
          </w:p>
        </w:tc>
        <w:tc>
          <w:tcPr>
            <w:tcW w:type="dxa" w:w="7488"/>
            <w:tcMar>
              <w:top w:w="100" w:type="dxa"/>
              <w:start w:w="110" w:type="dxa"/>
              <w:bottom w:w="100" w:type="dxa"/>
              <w:end w:w="110" w:type="dxa"/>
            </w:tcMar>
            <w:tcBorders>
              <w:top w:val="single" w:sz="6" w:color="D9D9D9"/>
              <w:start w:val="single" w:sz="6" w:color="D9D9D9"/>
              <w:bottom w:val="single" w:sz="6" w:color="D9D9D9"/>
              <w:end w:val="single" w:sz="6" w:color="D9D9D9"/>
              <w:insideH w:val="single" w:sz="6" w:color="D9D9D9"/>
              <w:insideV w:val="single" w:sz="6" w:color="D9D9D9"/>
            </w:tcBorders>
            <w:vAlign w:val="center"/>
          </w:tcPr>
          <w:p>
            <w:pPr>
              <w:spacing w:after="0" w:line="252" w:lineRule="auto"/>
              <w:jc w:val="left"/>
            </w:pPr>
            <w:r>
              <w:rPr>
                <w:rFonts w:ascii="Aptos" w:hAnsi="Aptos" w:eastAsia="Aptos"/>
                <w:b w:val="0"/>
                <w:i w:val="0"/>
                <w:color w:val="000000"/>
                <w:sz w:val="18"/>
              </w:rPr>
              <w:t>VCSH thuộc cổ đông công ty mẹ cuối cùng kỳ năm trước.</w:t>
            </w:r>
          </w:p>
        </w:tc>
      </w:tr>
      <w:tr>
        <w:tc>
          <w:tcPr>
            <w:tcW w:type="dxa" w:w="2448"/>
            <w:shd w:fill="F4F7FA"/>
            <w:tcMar>
              <w:top w:w="100" w:type="dxa"/>
              <w:start w:w="110" w:type="dxa"/>
              <w:bottom w:w="100" w:type="dxa"/>
              <w:end w:w="110" w:type="dxa"/>
            </w:tcMar>
            <w:tcBorders>
              <w:top w:val="single" w:sz="6" w:color="D9D9D9"/>
              <w:start w:val="single" w:sz="6" w:color="D9D9D9"/>
              <w:bottom w:val="single" w:sz="6" w:color="D9D9D9"/>
              <w:end w:val="single" w:sz="6" w:color="D9D9D9"/>
              <w:insideH w:val="single" w:sz="6" w:color="D9D9D9"/>
              <w:insideV w:val="single" w:sz="6" w:color="D9D9D9"/>
            </w:tcBorders>
            <w:vAlign w:val="center"/>
          </w:tcPr>
          <w:p>
            <w:pPr>
              <w:spacing w:after="0" w:line="252" w:lineRule="auto"/>
              <w:jc w:val="center"/>
            </w:pPr>
            <w:r>
              <w:rPr>
                <w:rFonts w:ascii="Aptos" w:hAnsi="Aptos" w:eastAsia="Aptos"/>
                <w:b w:val="0"/>
                <w:i w:val="0"/>
                <w:color w:val="000000"/>
                <w:sz w:val="18"/>
              </w:rPr>
              <w:t>AVG_PARENT_EQUITY</w:t>
            </w:r>
          </w:p>
        </w:tc>
        <w:tc>
          <w:tcPr>
            <w:tcW w:type="dxa" w:w="7488"/>
            <w:shd w:fill="F4F7FA"/>
            <w:tcMar>
              <w:top w:w="100" w:type="dxa"/>
              <w:start w:w="110" w:type="dxa"/>
              <w:bottom w:w="100" w:type="dxa"/>
              <w:end w:w="110" w:type="dxa"/>
            </w:tcMar>
            <w:tcBorders>
              <w:top w:val="single" w:sz="6" w:color="D9D9D9"/>
              <w:start w:val="single" w:sz="6" w:color="D9D9D9"/>
              <w:bottom w:val="single" w:sz="6" w:color="D9D9D9"/>
              <w:end w:val="single" w:sz="6" w:color="D9D9D9"/>
              <w:insideH w:val="single" w:sz="6" w:color="D9D9D9"/>
              <w:insideV w:val="single" w:sz="6" w:color="D9D9D9"/>
            </w:tcBorders>
            <w:vAlign w:val="center"/>
          </w:tcPr>
          <w:p>
            <w:pPr>
              <w:spacing w:after="0" w:line="252" w:lineRule="auto"/>
              <w:jc w:val="left"/>
            </w:pPr>
            <w:r>
              <w:rPr>
                <w:rFonts w:ascii="Aptos" w:hAnsi="Aptos" w:eastAsia="Aptos"/>
                <w:b w:val="0"/>
                <w:i w:val="0"/>
                <w:color w:val="000000"/>
                <w:sz w:val="18"/>
              </w:rPr>
              <w:t>Bình quân PARENT_EQUITY_q và PARENT_EQUITY_q-4.</w:t>
            </w:r>
          </w:p>
        </w:tc>
      </w:tr>
    </w:tbl>
    <w:p>
      <w:pPr>
        <w:spacing w:after="20"/>
      </w:pPr>
    </w:p>
    <w:p>
      <w:pPr>
        <w:pStyle w:val="Heading2"/>
        <w:keepNext/>
        <w:spacing w:before="140" w:after="100"/>
      </w:pPr>
      <w:r>
        <w:rPr>
          <w:rFonts w:ascii="Aptos" w:hAnsi="Aptos" w:eastAsia="Aptos"/>
          <w:b/>
          <w:i w:val="0"/>
          <w:color w:val="000000"/>
          <w:sz w:val="24"/>
        </w:rPr>
        <w:t>7.3 Công thức</w:t>
      </w:r>
    </w:p>
    <w:p>
      <w:pPr>
        <w:spacing w:before="60" w:after="140"/>
        <w:jc w:val="center"/>
      </w:pPr>
      <w:r>
        <w:rPr>
          <w:rFonts w:ascii="Aptos" w:hAnsi="Aptos" w:eastAsia="Aptos"/>
          <w:b/>
          <w:i w:val="0"/>
          <w:color w:val="17365D"/>
          <w:sz w:val="21"/>
        </w:rPr>
        <w:t xml:space="preserve">VCSH bình quân: </w:t>
      </w:r>
      <w:r>
        <w:rPr>
          <w:rFonts w:ascii="Aptos" w:hAnsi="Aptos" w:eastAsia="Aptos"/>
          <w:b w:val="0"/>
          <w:i w:val="0"/>
          <w:color w:val="000000"/>
          <w:sz w:val="21"/>
        </w:rPr>
        <w:t>(PARENT_EQUITY_q + PARENT_EQUITY_q-4) / 2</w:t>
      </w:r>
    </w:p>
    <w:p>
      <w:pPr>
        <w:spacing w:before="60" w:after="140"/>
        <w:jc w:val="center"/>
      </w:pPr>
      <w:r>
        <w:rPr>
          <w:rFonts w:ascii="Aptos" w:hAnsi="Aptos" w:eastAsia="Aptos"/>
          <w:b/>
          <w:i w:val="0"/>
          <w:color w:val="17365D"/>
          <w:sz w:val="21"/>
        </w:rPr>
        <w:t xml:space="preserve">ROE TTM: </w:t>
      </w:r>
      <w:r>
        <w:rPr>
          <w:rFonts w:ascii="Aptos" w:hAnsi="Aptos" w:eastAsia="Aptos"/>
          <w:b w:val="0"/>
          <w:i w:val="0"/>
          <w:color w:val="000000"/>
          <w:sz w:val="21"/>
        </w:rPr>
        <w:t>NP_PARENT_TTM / AVG_PARENT_EQUITY x 100%</w:t>
      </w:r>
    </w:p>
    <w:p>
      <w:pPr>
        <w:spacing w:after="100" w:line="269" w:lineRule="auto"/>
      </w:pPr>
      <w:r>
        <w:rPr>
          <w:rFonts w:ascii="Aptos" w:hAnsi="Aptos" w:eastAsia="Aptos"/>
          <w:b w:val="0"/>
          <w:i w:val="0"/>
          <w:color w:val="000000"/>
          <w:sz w:val="21"/>
        </w:rPr>
        <w:t>Đối với doanh nghiệp không có lợi ích cổ đông không kiểm soát, có thể dùng LNST và tổng VCSH vì hai phạm vi trùng nhau. Với tập đoàn/holding có lợi ích không kiểm soát, bắt buộc dùng lợi nhuận và vốn cùng phạm vi thuộc cổ đông công ty mẹ.</w:t>
      </w:r>
    </w:p>
    <w:p>
      <w:pPr>
        <w:pStyle w:val="Heading2"/>
        <w:keepNext/>
        <w:spacing w:before="140" w:after="100"/>
      </w:pPr>
      <w:r>
        <w:rPr>
          <w:rFonts w:ascii="Aptos" w:hAnsi="Aptos" w:eastAsia="Aptos"/>
          <w:b/>
          <w:i w:val="0"/>
          <w:color w:val="000000"/>
          <w:sz w:val="24"/>
        </w:rPr>
        <w:t>7.4 Chấm điểm và ngoại lệ</w:t>
      </w:r>
    </w:p>
    <w:p>
      <w:pPr>
        <w:pStyle w:val="ListBullet"/>
        <w:spacing w:after="60" w:line="259" w:lineRule="auto"/>
      </w:pPr>
      <w:r>
        <w:rPr>
          <w:rFonts w:ascii="Aptos" w:hAnsi="Aptos" w:eastAsia="Aptos"/>
          <w:b w:val="0"/>
          <w:i w:val="0"/>
          <w:color w:val="000000"/>
          <w:sz w:val="21"/>
        </w:rPr>
        <w:t>Điểm tối đa 10; sử dụng đúng thang ROE của bảng Sản xuất.</w:t>
      </w:r>
    </w:p>
    <w:p>
      <w:pPr>
        <w:pStyle w:val="ListBullet"/>
        <w:spacing w:after="60" w:line="259" w:lineRule="auto"/>
      </w:pPr>
      <w:r>
        <w:rPr>
          <w:rFonts w:ascii="Aptos" w:hAnsi="Aptos" w:eastAsia="Aptos"/>
          <w:b w:val="0"/>
          <w:i w:val="0"/>
          <w:color w:val="000000"/>
          <w:sz w:val="21"/>
        </w:rPr>
        <w:t>Nếu AVG_PARENT_EQUITY nhỏ hơn hoặc bằng 0, ROE không có ý nghĩa: ROE_SCORE = 0 và kích hoạt cờ vốn nghiêm trọng; không để N/A.</w:t>
      </w:r>
    </w:p>
    <w:p>
      <w:pPr>
        <w:pStyle w:val="ListBullet"/>
        <w:spacing w:after="60" w:line="259" w:lineRule="auto"/>
      </w:pPr>
      <w:r>
        <w:rPr>
          <w:rFonts w:ascii="Aptos" w:hAnsi="Aptos" w:eastAsia="Aptos"/>
          <w:b w:val="0"/>
          <w:i w:val="0"/>
          <w:color w:val="000000"/>
          <w:sz w:val="21"/>
        </w:rPr>
        <w:t>Nếu LNST TTM âm trong khi vốn dương, ROE âm và chấm theo nhánh ROE yếu của bảng Sản xuất.</w:t>
      </w:r>
    </w:p>
    <w:p>
      <w:pPr>
        <w:pStyle w:val="ListBullet"/>
        <w:spacing w:after="60" w:line="259" w:lineRule="auto"/>
      </w:pPr>
      <w:r>
        <w:rPr>
          <w:rFonts w:ascii="Aptos" w:hAnsi="Aptos" w:eastAsia="Aptos"/>
          <w:b w:val="0"/>
          <w:i w:val="0"/>
          <w:color w:val="000000"/>
          <w:sz w:val="21"/>
        </w:rPr>
        <w:t>Không chấm thêm tăng trưởng ROE trong nhóm này vì sẽ làm trùng với EPS và ROE hiện tại.</w:t>
      </w:r>
    </w:p>
    <w:p>
      <w:r>
        <w:br w:type="page"/>
      </w:r>
    </w:p>
    <w:p>
      <w:pPr>
        <w:pStyle w:val="Heading1"/>
        <w:keepNext/>
        <w:spacing w:before="200" w:after="100"/>
      </w:pPr>
      <w:r>
        <w:rPr>
          <w:rFonts w:ascii="Aptos" w:hAnsi="Aptos" w:eastAsia="Aptos"/>
          <w:b/>
          <w:i w:val="0"/>
          <w:color w:val="000000"/>
          <w:sz w:val="30"/>
        </w:rPr>
        <w:t>8 Tiêu chí 5 Đệm vốn BCTC 10 điểm</w:t>
      </w:r>
    </w:p>
    <w:p>
      <w:pPr>
        <w:pStyle w:val="Heading2"/>
        <w:keepNext/>
        <w:spacing w:before="140" w:after="100"/>
      </w:pPr>
      <w:r>
        <w:rPr>
          <w:rFonts w:ascii="Aptos" w:hAnsi="Aptos" w:eastAsia="Aptos"/>
          <w:b/>
          <w:i w:val="0"/>
          <w:color w:val="000000"/>
          <w:sz w:val="24"/>
        </w:rPr>
        <w:t>8.1 Mục tiêu và giới hạn</w:t>
      </w:r>
    </w:p>
    <w:p>
      <w:pPr>
        <w:spacing w:after="100" w:line="269" w:lineRule="auto"/>
      </w:pPr>
      <w:r>
        <w:rPr>
          <w:rFonts w:ascii="Aptos" w:hAnsi="Aptos" w:eastAsia="Aptos"/>
          <w:b w:val="0"/>
          <w:i w:val="0"/>
          <w:color w:val="000000"/>
          <w:sz w:val="21"/>
        </w:rPr>
        <w:t>Đánh giá xu hướng nền vốn kế toán so với quy mô dự phòng nghiệp vụ bảo hiểm. Đây là chỉ báo sàng lọc hoàn toàn từ BCTC, không phải tỷ lệ biên khả năng thanh toán theo quy định và không được hiển thị như một chứng nhận doanh nghiệp an toàn.</w:t>
      </w:r>
    </w:p>
    <w:p>
      <w:pPr>
        <w:pStyle w:val="Heading2"/>
        <w:keepNext/>
        <w:spacing w:before="140" w:after="100"/>
      </w:pPr>
      <w:r>
        <w:rPr>
          <w:rFonts w:ascii="Aptos" w:hAnsi="Aptos" w:eastAsia="Aptos"/>
          <w:b/>
          <w:i w:val="0"/>
          <w:color w:val="000000"/>
          <w:sz w:val="24"/>
        </w:rPr>
        <w:t>8.2 Phạm vi số liệu</w:t>
      </w:r>
    </w:p>
    <w:tbl>
      <w:tblPr>
        <w:tblW w:type="auto" w:w="0"/>
        <w:jc w:val="center"/>
        <w:tblLayout w:type="fixed"/>
        <w:tblLook w:firstColumn="1" w:firstRow="1" w:lastColumn="0" w:lastRow="0" w:noHBand="0" w:noVBand="1" w:val="04A0"/>
      </w:tblPr>
      <w:tblGrid>
        <w:gridCol w:w="3408"/>
        <w:gridCol w:w="3408"/>
        <w:gridCol w:w="3408"/>
      </w:tblGrid>
      <w:tr>
        <w:trPr>
          <w:tblHeader w:val="true"/>
        </w:trPr>
        <w:tc>
          <w:tcPr>
            <w:tcW w:type="dxa" w:w="2160"/>
            <w:shd w:fill="17365D"/>
            <w:tcMar>
              <w:top w:w="100" w:type="dxa"/>
              <w:start w:w="110" w:type="dxa"/>
              <w:bottom w:w="100" w:type="dxa"/>
              <w:end w:w="110" w:type="dxa"/>
            </w:tcMar>
            <w:tcBorders>
              <w:top w:val="single" w:sz="6" w:color="D9D9D9"/>
              <w:start w:val="single" w:sz="6" w:color="D9D9D9"/>
              <w:bottom w:val="single" w:sz="6" w:color="D9D9D9"/>
              <w:end w:val="single" w:sz="6" w:color="D9D9D9"/>
              <w:insideH w:val="single" w:sz="6" w:color="D9D9D9"/>
              <w:insideV w:val="single" w:sz="6" w:color="D9D9D9"/>
            </w:tcBorders>
            <w:vAlign w:val="center"/>
          </w:tcPr>
          <w:p>
            <w:pPr>
              <w:spacing w:after="0"/>
              <w:jc w:val="center"/>
            </w:pPr>
            <w:r>
              <w:rPr>
                <w:rFonts w:ascii="Aptos" w:hAnsi="Aptos" w:eastAsia="Aptos"/>
                <w:b/>
                <w:i w:val="0"/>
                <w:color w:val="FFFFFF"/>
                <w:sz w:val="18"/>
              </w:rPr>
              <w:t>Trường</w:t>
            </w:r>
          </w:p>
        </w:tc>
        <w:tc>
          <w:tcPr>
            <w:tcW w:type="dxa" w:w="4464"/>
            <w:shd w:fill="17365D"/>
            <w:tcMar>
              <w:top w:w="100" w:type="dxa"/>
              <w:start w:w="110" w:type="dxa"/>
              <w:bottom w:w="100" w:type="dxa"/>
              <w:end w:w="110" w:type="dxa"/>
            </w:tcMar>
            <w:tcBorders>
              <w:top w:val="single" w:sz="6" w:color="D9D9D9"/>
              <w:start w:val="single" w:sz="6" w:color="D9D9D9"/>
              <w:bottom w:val="single" w:sz="6" w:color="D9D9D9"/>
              <w:end w:val="single" w:sz="6" w:color="D9D9D9"/>
              <w:insideH w:val="single" w:sz="6" w:color="D9D9D9"/>
              <w:insideV w:val="single" w:sz="6" w:color="D9D9D9"/>
            </w:tcBorders>
            <w:vAlign w:val="center"/>
          </w:tcPr>
          <w:p>
            <w:pPr>
              <w:spacing w:after="0"/>
              <w:jc w:val="center"/>
            </w:pPr>
            <w:r>
              <w:rPr>
                <w:rFonts w:ascii="Aptos" w:hAnsi="Aptos" w:eastAsia="Aptos"/>
                <w:b/>
                <w:i w:val="0"/>
                <w:color w:val="FFFFFF"/>
                <w:sz w:val="18"/>
              </w:rPr>
              <w:t>Định nghĩa</w:t>
            </w:r>
          </w:p>
        </w:tc>
        <w:tc>
          <w:tcPr>
            <w:tcW w:type="dxa" w:w="3312"/>
            <w:shd w:fill="17365D"/>
            <w:tcMar>
              <w:top w:w="100" w:type="dxa"/>
              <w:start w:w="110" w:type="dxa"/>
              <w:bottom w:w="100" w:type="dxa"/>
              <w:end w:w="110" w:type="dxa"/>
            </w:tcMar>
            <w:tcBorders>
              <w:top w:val="single" w:sz="6" w:color="D9D9D9"/>
              <w:start w:val="single" w:sz="6" w:color="D9D9D9"/>
              <w:bottom w:val="single" w:sz="6" w:color="D9D9D9"/>
              <w:end w:val="single" w:sz="6" w:color="D9D9D9"/>
              <w:insideH w:val="single" w:sz="6" w:color="D9D9D9"/>
              <w:insideV w:val="single" w:sz="6" w:color="D9D9D9"/>
            </w:tcBorders>
            <w:vAlign w:val="center"/>
          </w:tcPr>
          <w:p>
            <w:pPr>
              <w:spacing w:after="0"/>
              <w:jc w:val="center"/>
            </w:pPr>
            <w:r>
              <w:rPr>
                <w:rFonts w:ascii="Aptos" w:hAnsi="Aptos" w:eastAsia="Aptos"/>
                <w:b/>
                <w:i w:val="0"/>
                <w:color w:val="FFFFFF"/>
                <w:sz w:val="18"/>
              </w:rPr>
              <w:t>Phạm vi</w:t>
            </w:r>
          </w:p>
        </w:tc>
      </w:tr>
      <w:tr>
        <w:tc>
          <w:tcPr>
            <w:tcW w:type="dxa" w:w="2160"/>
            <w:tcMar>
              <w:top w:w="100" w:type="dxa"/>
              <w:start w:w="110" w:type="dxa"/>
              <w:bottom w:w="100" w:type="dxa"/>
              <w:end w:w="110" w:type="dxa"/>
            </w:tcMar>
            <w:tcBorders>
              <w:top w:val="single" w:sz="6" w:color="D9D9D9"/>
              <w:start w:val="single" w:sz="6" w:color="D9D9D9"/>
              <w:bottom w:val="single" w:sz="6" w:color="D9D9D9"/>
              <w:end w:val="single" w:sz="6" w:color="D9D9D9"/>
              <w:insideH w:val="single" w:sz="6" w:color="D9D9D9"/>
              <w:insideV w:val="single" w:sz="6" w:color="D9D9D9"/>
            </w:tcBorders>
            <w:vAlign w:val="center"/>
          </w:tcPr>
          <w:p>
            <w:pPr>
              <w:spacing w:after="0" w:line="252" w:lineRule="auto"/>
              <w:jc w:val="center"/>
            </w:pPr>
            <w:r>
              <w:rPr>
                <w:rFonts w:ascii="Aptos" w:hAnsi="Aptos" w:eastAsia="Aptos"/>
                <w:b w:val="0"/>
                <w:i w:val="0"/>
                <w:color w:val="000000"/>
                <w:sz w:val="18"/>
              </w:rPr>
              <w:t>TOTAL_EQUITY</w:t>
            </w:r>
          </w:p>
        </w:tc>
        <w:tc>
          <w:tcPr>
            <w:tcW w:type="dxa" w:w="4464"/>
            <w:tcMar>
              <w:top w:w="100" w:type="dxa"/>
              <w:start w:w="110" w:type="dxa"/>
              <w:bottom w:w="100" w:type="dxa"/>
              <w:end w:w="110" w:type="dxa"/>
            </w:tcMar>
            <w:tcBorders>
              <w:top w:val="single" w:sz="6" w:color="D9D9D9"/>
              <w:start w:val="single" w:sz="6" w:color="D9D9D9"/>
              <w:bottom w:val="single" w:sz="6" w:color="D9D9D9"/>
              <w:end w:val="single" w:sz="6" w:color="D9D9D9"/>
              <w:insideH w:val="single" w:sz="6" w:color="D9D9D9"/>
              <w:insideV w:val="single" w:sz="6" w:color="D9D9D9"/>
            </w:tcBorders>
            <w:vAlign w:val="center"/>
          </w:tcPr>
          <w:p>
            <w:pPr>
              <w:spacing w:after="0" w:line="252" w:lineRule="auto"/>
              <w:jc w:val="left"/>
            </w:pPr>
            <w:r>
              <w:rPr>
                <w:rFonts w:ascii="Aptos" w:hAnsi="Aptos" w:eastAsia="Aptos"/>
                <w:b w:val="0"/>
                <w:i w:val="0"/>
                <w:color w:val="000000"/>
                <w:sz w:val="18"/>
              </w:rPr>
              <w:t>Tổng vốn chủ sở hữu, gồm lợi ích cổ đông không kiểm soát nếu BCTC hợp nhất có trình bày.</w:t>
            </w:r>
          </w:p>
        </w:tc>
        <w:tc>
          <w:tcPr>
            <w:tcW w:type="dxa" w:w="3312"/>
            <w:tcMar>
              <w:top w:w="100" w:type="dxa"/>
              <w:start w:w="110" w:type="dxa"/>
              <w:bottom w:w="100" w:type="dxa"/>
              <w:end w:w="110" w:type="dxa"/>
            </w:tcMar>
            <w:tcBorders>
              <w:top w:val="single" w:sz="6" w:color="D9D9D9"/>
              <w:start w:val="single" w:sz="6" w:color="D9D9D9"/>
              <w:bottom w:val="single" w:sz="6" w:color="D9D9D9"/>
              <w:end w:val="single" w:sz="6" w:color="D9D9D9"/>
              <w:insideH w:val="single" w:sz="6" w:color="D9D9D9"/>
              <w:insideV w:val="single" w:sz="6" w:color="D9D9D9"/>
            </w:tcBorders>
            <w:vAlign w:val="center"/>
          </w:tcPr>
          <w:p>
            <w:pPr>
              <w:spacing w:after="0" w:line="252" w:lineRule="auto"/>
              <w:jc w:val="left"/>
            </w:pPr>
            <w:r>
              <w:rPr>
                <w:rFonts w:ascii="Aptos" w:hAnsi="Aptos" w:eastAsia="Aptos"/>
                <w:b w:val="0"/>
                <w:i w:val="0"/>
                <w:color w:val="000000"/>
                <w:sz w:val="18"/>
              </w:rPr>
              <w:t>Cùng phạm vi với toàn bộ nghĩa vụ bảo hiểm hợp nhất.</w:t>
            </w:r>
          </w:p>
        </w:tc>
      </w:tr>
      <w:tr>
        <w:tc>
          <w:tcPr>
            <w:tcW w:type="dxa" w:w="2160"/>
            <w:shd w:fill="F4F7FA"/>
            <w:tcMar>
              <w:top w:w="100" w:type="dxa"/>
              <w:start w:w="110" w:type="dxa"/>
              <w:bottom w:w="100" w:type="dxa"/>
              <w:end w:w="110" w:type="dxa"/>
            </w:tcMar>
            <w:tcBorders>
              <w:top w:val="single" w:sz="6" w:color="D9D9D9"/>
              <w:start w:val="single" w:sz="6" w:color="D9D9D9"/>
              <w:bottom w:val="single" w:sz="6" w:color="D9D9D9"/>
              <w:end w:val="single" w:sz="6" w:color="D9D9D9"/>
              <w:insideH w:val="single" w:sz="6" w:color="D9D9D9"/>
              <w:insideV w:val="single" w:sz="6" w:color="D9D9D9"/>
            </w:tcBorders>
            <w:vAlign w:val="center"/>
          </w:tcPr>
          <w:p>
            <w:pPr>
              <w:spacing w:after="0" w:line="252" w:lineRule="auto"/>
              <w:jc w:val="center"/>
            </w:pPr>
            <w:r>
              <w:rPr>
                <w:rFonts w:ascii="Aptos" w:hAnsi="Aptos" w:eastAsia="Aptos"/>
                <w:b w:val="0"/>
                <w:i w:val="0"/>
                <w:color w:val="000000"/>
                <w:sz w:val="18"/>
              </w:rPr>
              <w:t>TECH_RESERVE_GROSS</w:t>
            </w:r>
          </w:p>
        </w:tc>
        <w:tc>
          <w:tcPr>
            <w:tcW w:type="dxa" w:w="4464"/>
            <w:shd w:fill="F4F7FA"/>
            <w:tcMar>
              <w:top w:w="100" w:type="dxa"/>
              <w:start w:w="110" w:type="dxa"/>
              <w:bottom w:w="100" w:type="dxa"/>
              <w:end w:w="110" w:type="dxa"/>
            </w:tcMar>
            <w:tcBorders>
              <w:top w:val="single" w:sz="6" w:color="D9D9D9"/>
              <w:start w:val="single" w:sz="6" w:color="D9D9D9"/>
              <w:bottom w:val="single" w:sz="6" w:color="D9D9D9"/>
              <w:end w:val="single" w:sz="6" w:color="D9D9D9"/>
              <w:insideH w:val="single" w:sz="6" w:color="D9D9D9"/>
              <w:insideV w:val="single" w:sz="6" w:color="D9D9D9"/>
            </w:tcBorders>
            <w:vAlign w:val="center"/>
          </w:tcPr>
          <w:p>
            <w:pPr>
              <w:spacing w:after="0" w:line="252" w:lineRule="auto"/>
              <w:jc w:val="left"/>
            </w:pPr>
            <w:r>
              <w:rPr>
                <w:rFonts w:ascii="Aptos" w:hAnsi="Aptos" w:eastAsia="Aptos"/>
                <w:b w:val="0"/>
                <w:i w:val="0"/>
                <w:color w:val="000000"/>
                <w:sz w:val="18"/>
              </w:rPr>
              <w:t>Tổng dự phòng nghiệp vụ bảo hiểm ghi nhận trên bảng cân đối và thuyết minh.</w:t>
            </w:r>
          </w:p>
        </w:tc>
        <w:tc>
          <w:tcPr>
            <w:tcW w:type="dxa" w:w="3312"/>
            <w:shd w:fill="F4F7FA"/>
            <w:tcMar>
              <w:top w:w="100" w:type="dxa"/>
              <w:start w:w="110" w:type="dxa"/>
              <w:bottom w:w="100" w:type="dxa"/>
              <w:end w:w="110" w:type="dxa"/>
            </w:tcMar>
            <w:tcBorders>
              <w:top w:val="single" w:sz="6" w:color="D9D9D9"/>
              <w:start w:val="single" w:sz="6" w:color="D9D9D9"/>
              <w:bottom w:val="single" w:sz="6" w:color="D9D9D9"/>
              <w:end w:val="single" w:sz="6" w:color="D9D9D9"/>
              <w:insideH w:val="single" w:sz="6" w:color="D9D9D9"/>
              <w:insideV w:val="single" w:sz="6" w:color="D9D9D9"/>
            </w:tcBorders>
            <w:vAlign w:val="center"/>
          </w:tcPr>
          <w:p>
            <w:pPr>
              <w:spacing w:after="0" w:line="252" w:lineRule="auto"/>
              <w:jc w:val="left"/>
            </w:pPr>
            <w:r>
              <w:rPr>
                <w:rFonts w:ascii="Aptos" w:hAnsi="Aptos" w:eastAsia="Aptos"/>
                <w:b w:val="0"/>
                <w:i w:val="0"/>
                <w:color w:val="000000"/>
                <w:sz w:val="18"/>
              </w:rPr>
              <w:t>Dùng nhất quán gross reserve qua 20 quý.</w:t>
            </w:r>
          </w:p>
        </w:tc>
      </w:tr>
      <w:tr>
        <w:tc>
          <w:tcPr>
            <w:tcW w:type="dxa" w:w="2160"/>
            <w:tcMar>
              <w:top w:w="100" w:type="dxa"/>
              <w:start w:w="110" w:type="dxa"/>
              <w:bottom w:w="100" w:type="dxa"/>
              <w:end w:w="110" w:type="dxa"/>
            </w:tcMar>
            <w:tcBorders>
              <w:top w:val="single" w:sz="6" w:color="D9D9D9"/>
              <w:start w:val="single" w:sz="6" w:color="D9D9D9"/>
              <w:bottom w:val="single" w:sz="6" w:color="D9D9D9"/>
              <w:end w:val="single" w:sz="6" w:color="D9D9D9"/>
              <w:insideH w:val="single" w:sz="6" w:color="D9D9D9"/>
              <w:insideV w:val="single" w:sz="6" w:color="D9D9D9"/>
            </w:tcBorders>
            <w:vAlign w:val="center"/>
          </w:tcPr>
          <w:p>
            <w:pPr>
              <w:spacing w:after="0" w:line="252" w:lineRule="auto"/>
              <w:jc w:val="center"/>
            </w:pPr>
            <w:r>
              <w:rPr>
                <w:rFonts w:ascii="Aptos" w:hAnsi="Aptos" w:eastAsia="Aptos"/>
                <w:b w:val="0"/>
                <w:i w:val="0"/>
                <w:color w:val="000000"/>
                <w:sz w:val="18"/>
              </w:rPr>
              <w:t>CAPITAL_BUFFER</w:t>
            </w:r>
          </w:p>
        </w:tc>
        <w:tc>
          <w:tcPr>
            <w:tcW w:type="dxa" w:w="4464"/>
            <w:tcMar>
              <w:top w:w="100" w:type="dxa"/>
              <w:start w:w="110" w:type="dxa"/>
              <w:bottom w:w="100" w:type="dxa"/>
              <w:end w:w="110" w:type="dxa"/>
            </w:tcMar>
            <w:tcBorders>
              <w:top w:val="single" w:sz="6" w:color="D9D9D9"/>
              <w:start w:val="single" w:sz="6" w:color="D9D9D9"/>
              <w:bottom w:val="single" w:sz="6" w:color="D9D9D9"/>
              <w:end w:val="single" w:sz="6" w:color="D9D9D9"/>
              <w:insideH w:val="single" w:sz="6" w:color="D9D9D9"/>
              <w:insideV w:val="single" w:sz="6" w:color="D9D9D9"/>
            </w:tcBorders>
            <w:vAlign w:val="center"/>
          </w:tcPr>
          <w:p>
            <w:pPr>
              <w:spacing w:after="0" w:line="252" w:lineRule="auto"/>
              <w:jc w:val="left"/>
            </w:pPr>
            <w:r>
              <w:rPr>
                <w:rFonts w:ascii="Aptos" w:hAnsi="Aptos" w:eastAsia="Aptos"/>
                <w:b w:val="0"/>
                <w:i w:val="0"/>
                <w:color w:val="000000"/>
                <w:sz w:val="18"/>
              </w:rPr>
              <w:t>TOTAL_EQUITY / TECH_RESERVE_GROSS.</w:t>
            </w:r>
          </w:p>
        </w:tc>
        <w:tc>
          <w:tcPr>
            <w:tcW w:type="dxa" w:w="3312"/>
            <w:tcMar>
              <w:top w:w="100" w:type="dxa"/>
              <w:start w:w="110" w:type="dxa"/>
              <w:bottom w:w="100" w:type="dxa"/>
              <w:end w:w="110" w:type="dxa"/>
            </w:tcMar>
            <w:tcBorders>
              <w:top w:val="single" w:sz="6" w:color="D9D9D9"/>
              <w:start w:val="single" w:sz="6" w:color="D9D9D9"/>
              <w:bottom w:val="single" w:sz="6" w:color="D9D9D9"/>
              <w:end w:val="single" w:sz="6" w:color="D9D9D9"/>
              <w:insideH w:val="single" w:sz="6" w:color="D9D9D9"/>
              <w:insideV w:val="single" w:sz="6" w:color="D9D9D9"/>
            </w:tcBorders>
            <w:vAlign w:val="center"/>
          </w:tcPr>
          <w:p>
            <w:pPr>
              <w:spacing w:after="0" w:line="252" w:lineRule="auto"/>
              <w:jc w:val="left"/>
            </w:pPr>
            <w:r>
              <w:rPr>
                <w:rFonts w:ascii="Aptos" w:hAnsi="Aptos" w:eastAsia="Aptos"/>
                <w:b w:val="0"/>
                <w:i w:val="0"/>
                <w:color w:val="000000"/>
                <w:sz w:val="18"/>
              </w:rPr>
              <w:t>Chỉ so với lịch sử của chính doanh nghiệp.</w:t>
            </w:r>
          </w:p>
        </w:tc>
      </w:tr>
    </w:tbl>
    <w:p>
      <w:pPr>
        <w:spacing w:after="20"/>
      </w:pPr>
    </w:p>
    <w:p>
      <w:pPr>
        <w:spacing w:after="100" w:line="269" w:lineRule="auto"/>
      </w:pPr>
      <w:r>
        <w:rPr>
          <w:rFonts w:ascii="Aptos" w:hAnsi="Aptos" w:eastAsia="Aptos"/>
          <w:b w:val="0"/>
          <w:i w:val="0"/>
          <w:color w:val="000000"/>
          <w:sz w:val="21"/>
        </w:rPr>
        <w:t>Không dùng VCSH thuộc cổ đông công ty mẹ làm tử số khi mẫu số là toàn bộ dự phòng hợp nhất, vì hai phạm vi không khớp. Không tự khấu trừ tài sản tái bảo hiểm nếu không thể thực hiện đồng nhất cho toàn bộ doanh nghiệp và toàn bộ kỳ.</w:t>
      </w:r>
    </w:p>
    <w:p>
      <w:pPr>
        <w:pStyle w:val="Heading2"/>
        <w:keepNext/>
        <w:spacing w:before="140" w:after="100"/>
      </w:pPr>
      <w:r>
        <w:rPr>
          <w:rFonts w:ascii="Aptos" w:hAnsi="Aptos" w:eastAsia="Aptos"/>
          <w:b/>
          <w:i w:val="0"/>
          <w:color w:val="000000"/>
          <w:sz w:val="24"/>
        </w:rPr>
        <w:t>8.3 Công thức</w:t>
      </w:r>
    </w:p>
    <w:p>
      <w:pPr>
        <w:spacing w:before="60" w:after="140"/>
        <w:jc w:val="center"/>
      </w:pPr>
      <w:r>
        <w:rPr>
          <w:rFonts w:ascii="Aptos" w:hAnsi="Aptos" w:eastAsia="Aptos"/>
          <w:b/>
          <w:i w:val="0"/>
          <w:color w:val="17365D"/>
          <w:sz w:val="21"/>
        </w:rPr>
        <w:t xml:space="preserve">Đệm vốn BCTC quý q: </w:t>
      </w:r>
      <w:r>
        <w:rPr>
          <w:rFonts w:ascii="Aptos" w:hAnsi="Aptos" w:eastAsia="Aptos"/>
          <w:b w:val="0"/>
          <w:i w:val="0"/>
          <w:color w:val="000000"/>
          <w:sz w:val="21"/>
        </w:rPr>
        <w:t>CAPITAL_BUFFER_q = TOTAL_EQUITY_q / TECH_RESERVE_GROSS_q</w:t>
      </w:r>
    </w:p>
    <w:p>
      <w:pPr>
        <w:spacing w:before="60" w:after="140"/>
        <w:jc w:val="center"/>
      </w:pPr>
      <w:r>
        <w:rPr>
          <w:rFonts w:ascii="Aptos" w:hAnsi="Aptos" w:eastAsia="Aptos"/>
          <w:b/>
          <w:i w:val="0"/>
          <w:color w:val="17365D"/>
          <w:sz w:val="21"/>
        </w:rPr>
        <w:t xml:space="preserve">Vị thế lịch sử: </w:t>
      </w:r>
      <w:r>
        <w:rPr>
          <w:rFonts w:ascii="Aptos" w:hAnsi="Aptos" w:eastAsia="Aptos"/>
          <w:b w:val="0"/>
          <w:i w:val="0"/>
          <w:color w:val="000000"/>
          <w:sz w:val="21"/>
        </w:rPr>
        <w:t>LEVEL_GAP = CAPITAL_BUFFER_q / Median(CAPITAL_BUFFER_q đến q-19) - 1</w:t>
      </w:r>
    </w:p>
    <w:p>
      <w:pPr>
        <w:spacing w:before="60" w:after="140"/>
        <w:jc w:val="center"/>
      </w:pPr>
      <w:r>
        <w:rPr>
          <w:rFonts w:ascii="Aptos" w:hAnsi="Aptos" w:eastAsia="Aptos"/>
          <w:b/>
          <w:i w:val="0"/>
          <w:color w:val="17365D"/>
          <w:sz w:val="21"/>
        </w:rPr>
        <w:t xml:space="preserve">Xu hướng cùng kỳ: </w:t>
      </w:r>
      <w:r>
        <w:rPr>
          <w:rFonts w:ascii="Aptos" w:hAnsi="Aptos" w:eastAsia="Aptos"/>
          <w:b w:val="0"/>
          <w:i w:val="0"/>
          <w:color w:val="000000"/>
          <w:sz w:val="21"/>
        </w:rPr>
        <w:t>BUFFER_TREND = CAPITAL_BUFFER_q / CAPITAL_BUFFER_q-4 - 1</w:t>
      </w:r>
    </w:p>
    <w:p>
      <w:pPr>
        <w:pStyle w:val="Heading2"/>
        <w:keepNext/>
        <w:spacing w:before="140" w:after="100"/>
      </w:pPr>
      <w:r>
        <w:rPr>
          <w:rFonts w:ascii="Aptos" w:hAnsi="Aptos" w:eastAsia="Aptos"/>
          <w:b/>
          <w:i w:val="0"/>
          <w:color w:val="000000"/>
          <w:sz w:val="24"/>
        </w:rPr>
        <w:t>8.4 Cấu trúc điểm kiểm tra</w:t>
      </w:r>
    </w:p>
    <w:p>
      <w:pPr>
        <w:spacing w:after="100" w:line="269" w:lineRule="auto"/>
      </w:pPr>
      <w:r>
        <w:rPr>
          <w:rFonts w:ascii="Aptos" w:hAnsi="Aptos" w:eastAsia="Aptos"/>
          <w:b w:val="0"/>
          <w:i w:val="0"/>
          <w:color w:val="000000"/>
          <w:sz w:val="21"/>
        </w:rPr>
        <w:t>Tổng 10 điểm gồm hai phần: mức hiện tại so với trung vị 20 quý của chính doanh nghiệp 5 điểm và xu hướng so với cùng kỳ 5 điểm. Không so trực tiếp tỷ lệ tuyệt đối giữa Phi nhân thọ, Tái bảo hiểm và Holding/Hỗn hợp vì cấu trúc dự phòng khác nhau.</w:t>
      </w:r>
    </w:p>
    <w:tbl>
      <w:tblPr>
        <w:tblW w:type="auto" w:w="0"/>
        <w:jc w:val="center"/>
        <w:tblLayout w:type="fixed"/>
        <w:tblLook w:firstColumn="1" w:firstRow="1" w:lastColumn="0" w:lastRow="0" w:noHBand="0" w:noVBand="1" w:val="04A0"/>
      </w:tblPr>
      <w:tblGrid>
        <w:gridCol w:w="3408"/>
        <w:gridCol w:w="3408"/>
        <w:gridCol w:w="3408"/>
      </w:tblGrid>
      <w:tr>
        <w:trPr>
          <w:tblHeader w:val="true"/>
        </w:trPr>
        <w:tc>
          <w:tcPr>
            <w:tcW w:type="dxa" w:w="3456"/>
            <w:shd w:fill="17365D"/>
            <w:tcMar>
              <w:top w:w="100" w:type="dxa"/>
              <w:start w:w="110" w:type="dxa"/>
              <w:bottom w:w="100" w:type="dxa"/>
              <w:end w:w="110" w:type="dxa"/>
            </w:tcMar>
            <w:tcBorders>
              <w:top w:val="single" w:sz="6" w:color="D9D9D9"/>
              <w:start w:val="single" w:sz="6" w:color="D9D9D9"/>
              <w:bottom w:val="single" w:sz="6" w:color="D9D9D9"/>
              <w:end w:val="single" w:sz="6" w:color="D9D9D9"/>
              <w:insideH w:val="single" w:sz="6" w:color="D9D9D9"/>
              <w:insideV w:val="single" w:sz="6" w:color="D9D9D9"/>
            </w:tcBorders>
            <w:vAlign w:val="center"/>
          </w:tcPr>
          <w:p>
            <w:pPr>
              <w:spacing w:after="0"/>
              <w:jc w:val="center"/>
            </w:pPr>
            <w:r>
              <w:rPr>
                <w:rFonts w:ascii="Aptos" w:hAnsi="Aptos" w:eastAsia="Aptos"/>
                <w:b/>
                <w:i w:val="0"/>
                <w:color w:val="FFFFFF"/>
                <w:sz w:val="18"/>
              </w:rPr>
              <w:t>Thành phần</w:t>
            </w:r>
          </w:p>
        </w:tc>
        <w:tc>
          <w:tcPr>
            <w:tcW w:type="dxa" w:w="1440"/>
            <w:shd w:fill="17365D"/>
            <w:tcMar>
              <w:top w:w="100" w:type="dxa"/>
              <w:start w:w="110" w:type="dxa"/>
              <w:bottom w:w="100" w:type="dxa"/>
              <w:end w:w="110" w:type="dxa"/>
            </w:tcMar>
            <w:tcBorders>
              <w:top w:val="single" w:sz="6" w:color="D9D9D9"/>
              <w:start w:val="single" w:sz="6" w:color="D9D9D9"/>
              <w:bottom w:val="single" w:sz="6" w:color="D9D9D9"/>
              <w:end w:val="single" w:sz="6" w:color="D9D9D9"/>
              <w:insideH w:val="single" w:sz="6" w:color="D9D9D9"/>
              <w:insideV w:val="single" w:sz="6" w:color="D9D9D9"/>
            </w:tcBorders>
            <w:vAlign w:val="center"/>
          </w:tcPr>
          <w:p>
            <w:pPr>
              <w:spacing w:after="0"/>
              <w:jc w:val="center"/>
            </w:pPr>
            <w:r>
              <w:rPr>
                <w:rFonts w:ascii="Aptos" w:hAnsi="Aptos" w:eastAsia="Aptos"/>
                <w:b/>
                <w:i w:val="0"/>
                <w:color w:val="FFFFFF"/>
                <w:sz w:val="18"/>
              </w:rPr>
              <w:t>Điểm tối đa</w:t>
            </w:r>
          </w:p>
        </w:tc>
        <w:tc>
          <w:tcPr>
            <w:tcW w:type="dxa" w:w="5040"/>
            <w:shd w:fill="17365D"/>
            <w:tcMar>
              <w:top w:w="100" w:type="dxa"/>
              <w:start w:w="110" w:type="dxa"/>
              <w:bottom w:w="100" w:type="dxa"/>
              <w:end w:w="110" w:type="dxa"/>
            </w:tcMar>
            <w:tcBorders>
              <w:top w:val="single" w:sz="6" w:color="D9D9D9"/>
              <w:start w:val="single" w:sz="6" w:color="D9D9D9"/>
              <w:bottom w:val="single" w:sz="6" w:color="D9D9D9"/>
              <w:end w:val="single" w:sz="6" w:color="D9D9D9"/>
              <w:insideH w:val="single" w:sz="6" w:color="D9D9D9"/>
              <w:insideV w:val="single" w:sz="6" w:color="D9D9D9"/>
            </w:tcBorders>
            <w:vAlign w:val="center"/>
          </w:tcPr>
          <w:p>
            <w:pPr>
              <w:spacing w:after="0"/>
              <w:jc w:val="center"/>
            </w:pPr>
            <w:r>
              <w:rPr>
                <w:rFonts w:ascii="Aptos" w:hAnsi="Aptos" w:eastAsia="Aptos"/>
                <w:b/>
                <w:i w:val="0"/>
                <w:color w:val="FFFFFF"/>
                <w:sz w:val="18"/>
              </w:rPr>
              <w:t>Ý nghĩa</w:t>
            </w:r>
          </w:p>
        </w:tc>
      </w:tr>
      <w:tr>
        <w:tc>
          <w:tcPr>
            <w:tcW w:type="dxa" w:w="3456"/>
            <w:tcMar>
              <w:top w:w="100" w:type="dxa"/>
              <w:start w:w="110" w:type="dxa"/>
              <w:bottom w:w="100" w:type="dxa"/>
              <w:end w:w="110" w:type="dxa"/>
            </w:tcMar>
            <w:tcBorders>
              <w:top w:val="single" w:sz="6" w:color="D9D9D9"/>
              <w:start w:val="single" w:sz="6" w:color="D9D9D9"/>
              <w:bottom w:val="single" w:sz="6" w:color="D9D9D9"/>
              <w:end w:val="single" w:sz="6" w:color="D9D9D9"/>
              <w:insideH w:val="single" w:sz="6" w:color="D9D9D9"/>
              <w:insideV w:val="single" w:sz="6" w:color="D9D9D9"/>
            </w:tcBorders>
            <w:vAlign w:val="center"/>
          </w:tcPr>
          <w:p>
            <w:pPr>
              <w:spacing w:after="0" w:line="252" w:lineRule="auto"/>
              <w:jc w:val="center"/>
            </w:pPr>
            <w:r>
              <w:rPr>
                <w:rFonts w:ascii="Aptos" w:hAnsi="Aptos" w:eastAsia="Aptos"/>
                <w:b w:val="0"/>
                <w:i w:val="0"/>
                <w:color w:val="000000"/>
                <w:sz w:val="18"/>
              </w:rPr>
              <w:t>Vị thế so với trung vị 20 quý</w:t>
            </w:r>
          </w:p>
        </w:tc>
        <w:tc>
          <w:tcPr>
            <w:tcW w:type="dxa" w:w="1440"/>
            <w:tcMar>
              <w:top w:w="100" w:type="dxa"/>
              <w:start w:w="110" w:type="dxa"/>
              <w:bottom w:w="100" w:type="dxa"/>
              <w:end w:w="110" w:type="dxa"/>
            </w:tcMar>
            <w:tcBorders>
              <w:top w:val="single" w:sz="6" w:color="D9D9D9"/>
              <w:start w:val="single" w:sz="6" w:color="D9D9D9"/>
              <w:bottom w:val="single" w:sz="6" w:color="D9D9D9"/>
              <w:end w:val="single" w:sz="6" w:color="D9D9D9"/>
              <w:insideH w:val="single" w:sz="6" w:color="D9D9D9"/>
              <w:insideV w:val="single" w:sz="6" w:color="D9D9D9"/>
            </w:tcBorders>
            <w:vAlign w:val="center"/>
          </w:tcPr>
          <w:p>
            <w:pPr>
              <w:spacing w:after="0" w:line="252" w:lineRule="auto"/>
              <w:jc w:val="left"/>
            </w:pPr>
            <w:r>
              <w:rPr>
                <w:rFonts w:ascii="Aptos" w:hAnsi="Aptos" w:eastAsia="Aptos"/>
                <w:b w:val="0"/>
                <w:i w:val="0"/>
                <w:color w:val="000000"/>
                <w:sz w:val="18"/>
              </w:rPr>
              <w:t>5</w:t>
            </w:r>
          </w:p>
        </w:tc>
        <w:tc>
          <w:tcPr>
            <w:tcW w:type="dxa" w:w="5040"/>
            <w:tcMar>
              <w:top w:w="100" w:type="dxa"/>
              <w:start w:w="110" w:type="dxa"/>
              <w:bottom w:w="100" w:type="dxa"/>
              <w:end w:w="110" w:type="dxa"/>
            </w:tcMar>
            <w:tcBorders>
              <w:top w:val="single" w:sz="6" w:color="D9D9D9"/>
              <w:start w:val="single" w:sz="6" w:color="D9D9D9"/>
              <w:bottom w:val="single" w:sz="6" w:color="D9D9D9"/>
              <w:end w:val="single" w:sz="6" w:color="D9D9D9"/>
              <w:insideH w:val="single" w:sz="6" w:color="D9D9D9"/>
              <w:insideV w:val="single" w:sz="6" w:color="D9D9D9"/>
            </w:tcBorders>
            <w:vAlign w:val="center"/>
          </w:tcPr>
          <w:p>
            <w:pPr>
              <w:spacing w:after="0" w:line="252" w:lineRule="auto"/>
              <w:jc w:val="left"/>
            </w:pPr>
            <w:r>
              <w:rPr>
                <w:rFonts w:ascii="Aptos" w:hAnsi="Aptos" w:eastAsia="Aptos"/>
                <w:b w:val="0"/>
                <w:i w:val="0"/>
                <w:color w:val="000000"/>
                <w:sz w:val="18"/>
              </w:rPr>
              <w:t>Đệm vốn hiện tại đang cao hay thấp hơn nền lịch sử của chính doanh nghiệp.</w:t>
            </w:r>
          </w:p>
        </w:tc>
      </w:tr>
      <w:tr>
        <w:tc>
          <w:tcPr>
            <w:tcW w:type="dxa" w:w="3456"/>
            <w:shd w:fill="F4F7FA"/>
            <w:tcMar>
              <w:top w:w="100" w:type="dxa"/>
              <w:start w:w="110" w:type="dxa"/>
              <w:bottom w:w="100" w:type="dxa"/>
              <w:end w:w="110" w:type="dxa"/>
            </w:tcMar>
            <w:tcBorders>
              <w:top w:val="single" w:sz="6" w:color="D9D9D9"/>
              <w:start w:val="single" w:sz="6" w:color="D9D9D9"/>
              <w:bottom w:val="single" w:sz="6" w:color="D9D9D9"/>
              <w:end w:val="single" w:sz="6" w:color="D9D9D9"/>
              <w:insideH w:val="single" w:sz="6" w:color="D9D9D9"/>
              <w:insideV w:val="single" w:sz="6" w:color="D9D9D9"/>
            </w:tcBorders>
            <w:vAlign w:val="center"/>
          </w:tcPr>
          <w:p>
            <w:pPr>
              <w:spacing w:after="0" w:line="252" w:lineRule="auto"/>
              <w:jc w:val="center"/>
            </w:pPr>
            <w:r>
              <w:rPr>
                <w:rFonts w:ascii="Aptos" w:hAnsi="Aptos" w:eastAsia="Aptos"/>
                <w:b w:val="0"/>
                <w:i w:val="0"/>
                <w:color w:val="000000"/>
                <w:sz w:val="18"/>
              </w:rPr>
              <w:t>Xu hướng so với cùng kỳ</w:t>
            </w:r>
          </w:p>
        </w:tc>
        <w:tc>
          <w:tcPr>
            <w:tcW w:type="dxa" w:w="1440"/>
            <w:shd w:fill="F4F7FA"/>
            <w:tcMar>
              <w:top w:w="100" w:type="dxa"/>
              <w:start w:w="110" w:type="dxa"/>
              <w:bottom w:w="100" w:type="dxa"/>
              <w:end w:w="110" w:type="dxa"/>
            </w:tcMar>
            <w:tcBorders>
              <w:top w:val="single" w:sz="6" w:color="D9D9D9"/>
              <w:start w:val="single" w:sz="6" w:color="D9D9D9"/>
              <w:bottom w:val="single" w:sz="6" w:color="D9D9D9"/>
              <w:end w:val="single" w:sz="6" w:color="D9D9D9"/>
              <w:insideH w:val="single" w:sz="6" w:color="D9D9D9"/>
              <w:insideV w:val="single" w:sz="6" w:color="D9D9D9"/>
            </w:tcBorders>
            <w:vAlign w:val="center"/>
          </w:tcPr>
          <w:p>
            <w:pPr>
              <w:spacing w:after="0" w:line="252" w:lineRule="auto"/>
              <w:jc w:val="left"/>
            </w:pPr>
            <w:r>
              <w:rPr>
                <w:rFonts w:ascii="Aptos" w:hAnsi="Aptos" w:eastAsia="Aptos"/>
                <w:b w:val="0"/>
                <w:i w:val="0"/>
                <w:color w:val="000000"/>
                <w:sz w:val="18"/>
              </w:rPr>
              <w:t>5</w:t>
            </w:r>
          </w:p>
        </w:tc>
        <w:tc>
          <w:tcPr>
            <w:tcW w:type="dxa" w:w="5040"/>
            <w:shd w:fill="F4F7FA"/>
            <w:tcMar>
              <w:top w:w="100" w:type="dxa"/>
              <w:start w:w="110" w:type="dxa"/>
              <w:bottom w:w="100" w:type="dxa"/>
              <w:end w:w="110" w:type="dxa"/>
            </w:tcMar>
            <w:tcBorders>
              <w:top w:val="single" w:sz="6" w:color="D9D9D9"/>
              <w:start w:val="single" w:sz="6" w:color="D9D9D9"/>
              <w:bottom w:val="single" w:sz="6" w:color="D9D9D9"/>
              <w:end w:val="single" w:sz="6" w:color="D9D9D9"/>
              <w:insideH w:val="single" w:sz="6" w:color="D9D9D9"/>
              <w:insideV w:val="single" w:sz="6" w:color="D9D9D9"/>
            </w:tcBorders>
            <w:vAlign w:val="center"/>
          </w:tcPr>
          <w:p>
            <w:pPr>
              <w:spacing w:after="0" w:line="252" w:lineRule="auto"/>
              <w:jc w:val="left"/>
            </w:pPr>
            <w:r>
              <w:rPr>
                <w:rFonts w:ascii="Aptos" w:hAnsi="Aptos" w:eastAsia="Aptos"/>
                <w:b w:val="0"/>
                <w:i w:val="0"/>
                <w:color w:val="000000"/>
                <w:sz w:val="18"/>
              </w:rPr>
              <w:t>Đệm vốn đang mở rộng, ổn định hay co hẹp.</w:t>
            </w:r>
          </w:p>
        </w:tc>
      </w:tr>
    </w:tbl>
    <w:p>
      <w:pPr>
        <w:spacing w:after="20"/>
      </w:pPr>
    </w:p>
    <w:p>
      <w:pPr>
        <w:spacing w:after="100" w:line="269" w:lineRule="auto"/>
      </w:pPr>
      <w:r>
        <w:rPr>
          <w:rFonts w:ascii="Aptos" w:hAnsi="Aptos" w:eastAsia="Aptos"/>
          <w:b w:val="0"/>
          <w:i w:val="0"/>
          <w:color w:val="000000"/>
          <w:sz w:val="21"/>
        </w:rPr>
        <w:t>Ở giai đoạn kiểm tra, IT phải xuất phân phối LEVEL_GAP và BUFFER_TREND của toàn bộ mẫu. Nhóm nghiệp vụ sẽ duyệt ngưỡng điểm sau khi nhìn dữ liệu thật. Không hard-code thang điểm dự kiến trước bước này.</w:t>
      </w:r>
    </w:p>
    <w:p>
      <w:pPr>
        <w:pStyle w:val="Heading2"/>
        <w:keepNext/>
        <w:spacing w:before="140" w:after="100"/>
      </w:pPr>
      <w:r>
        <w:rPr>
          <w:rFonts w:ascii="Aptos" w:hAnsi="Aptos" w:eastAsia="Aptos"/>
          <w:b/>
          <w:i w:val="0"/>
          <w:color w:val="000000"/>
          <w:sz w:val="24"/>
        </w:rPr>
        <w:t>8.5 Cổng cảnh báo bắt buộc</w:t>
      </w:r>
    </w:p>
    <w:p>
      <w:pPr>
        <w:pStyle w:val="ListBullet"/>
        <w:spacing w:after="60" w:line="259" w:lineRule="auto"/>
      </w:pPr>
      <w:r>
        <w:rPr>
          <w:rFonts w:ascii="Aptos" w:hAnsi="Aptos" w:eastAsia="Aptos"/>
          <w:b w:val="0"/>
          <w:i w:val="0"/>
          <w:color w:val="000000"/>
          <w:sz w:val="21"/>
        </w:rPr>
        <w:t>TOTAL_EQUITY nhỏ hơn hoặc bằng 0: điểm Đệm vốn BCTC bằng 0 và trạng thái cảnh báo đỏ.</w:t>
      </w:r>
    </w:p>
    <w:p>
      <w:pPr>
        <w:pStyle w:val="ListBullet"/>
        <w:spacing w:after="60" w:line="259" w:lineRule="auto"/>
      </w:pPr>
      <w:r>
        <w:rPr>
          <w:rFonts w:ascii="Aptos" w:hAnsi="Aptos" w:eastAsia="Aptos"/>
          <w:b w:val="0"/>
          <w:i w:val="0"/>
          <w:color w:val="000000"/>
          <w:sz w:val="21"/>
        </w:rPr>
        <w:t>Đệm vốn co hẹp mạnh đồng thời VCSH giảm mạnh: xuất cờ CAPITAL_PRESSURE để nhóm nghiệp vụ xem xét quy tắc khống chế xếp hạng.</w:t>
      </w:r>
    </w:p>
    <w:p>
      <w:pPr>
        <w:pStyle w:val="ListBullet"/>
        <w:spacing w:after="60" w:line="259" w:lineRule="auto"/>
      </w:pPr>
      <w:r>
        <w:rPr>
          <w:rFonts w:ascii="Aptos" w:hAnsi="Aptos" w:eastAsia="Aptos"/>
          <w:b w:val="0"/>
          <w:i w:val="0"/>
          <w:color w:val="000000"/>
          <w:sz w:val="21"/>
        </w:rPr>
        <w:t>Không sử dụng dữ liệu solvency ngoài BCTC trong pilot này. Nếu sau này bổ sung, dữ liệu đó là cổng cảnh báo riêng, không thay thế chuỗi BCTC.</w:t>
      </w:r>
    </w:p>
    <w:p>
      <w:r>
        <w:br w:type="page"/>
      </w:r>
    </w:p>
    <w:p>
      <w:pPr>
        <w:pStyle w:val="Heading1"/>
        <w:keepNext/>
        <w:spacing w:before="200" w:after="100"/>
      </w:pPr>
      <w:r>
        <w:rPr>
          <w:rFonts w:ascii="Aptos" w:hAnsi="Aptos" w:eastAsia="Aptos"/>
          <w:b/>
          <w:i w:val="0"/>
          <w:color w:val="000000"/>
          <w:sz w:val="30"/>
        </w:rPr>
        <w:t>9 Quan hệ giữa 5 tiêu chí và kiểm soát chấm trùng</w:t>
      </w:r>
    </w:p>
    <w:tbl>
      <w:tblPr>
        <w:tblW w:type="auto" w:w="0"/>
        <w:jc w:val="center"/>
        <w:tblLayout w:type="fixed"/>
        <w:tblLook w:firstColumn="1" w:firstRow="1" w:lastColumn="0" w:lastRow="0" w:noHBand="0" w:noVBand="1" w:val="04A0"/>
      </w:tblPr>
      <w:tblGrid>
        <w:gridCol w:w="3408"/>
        <w:gridCol w:w="3408"/>
        <w:gridCol w:w="3408"/>
      </w:tblGrid>
      <w:tr>
        <w:trPr>
          <w:tblHeader w:val="true"/>
        </w:trPr>
        <w:tc>
          <w:tcPr>
            <w:tcW w:type="dxa" w:w="2376"/>
            <w:shd w:fill="17365D"/>
            <w:tcMar>
              <w:top w:w="100" w:type="dxa"/>
              <w:start w:w="110" w:type="dxa"/>
              <w:bottom w:w="100" w:type="dxa"/>
              <w:end w:w="110" w:type="dxa"/>
            </w:tcMar>
            <w:tcBorders>
              <w:top w:val="single" w:sz="6" w:color="D9D9D9"/>
              <w:start w:val="single" w:sz="6" w:color="D9D9D9"/>
              <w:bottom w:val="single" w:sz="6" w:color="D9D9D9"/>
              <w:end w:val="single" w:sz="6" w:color="D9D9D9"/>
              <w:insideH w:val="single" w:sz="6" w:color="D9D9D9"/>
              <w:insideV w:val="single" w:sz="6" w:color="D9D9D9"/>
            </w:tcBorders>
            <w:vAlign w:val="center"/>
          </w:tcPr>
          <w:p>
            <w:pPr>
              <w:spacing w:after="0"/>
              <w:jc w:val="center"/>
            </w:pPr>
            <w:r>
              <w:rPr>
                <w:rFonts w:ascii="Aptos" w:hAnsi="Aptos" w:eastAsia="Aptos"/>
                <w:b/>
                <w:i w:val="0"/>
                <w:color w:val="FFFFFF"/>
                <w:sz w:val="18"/>
              </w:rPr>
              <w:t>Tiêu chí</w:t>
            </w:r>
          </w:p>
        </w:tc>
        <w:tc>
          <w:tcPr>
            <w:tcW w:type="dxa" w:w="3744"/>
            <w:shd w:fill="17365D"/>
            <w:tcMar>
              <w:top w:w="100" w:type="dxa"/>
              <w:start w:w="110" w:type="dxa"/>
              <w:bottom w:w="100" w:type="dxa"/>
              <w:end w:w="110" w:type="dxa"/>
            </w:tcMar>
            <w:tcBorders>
              <w:top w:val="single" w:sz="6" w:color="D9D9D9"/>
              <w:start w:val="single" w:sz="6" w:color="D9D9D9"/>
              <w:bottom w:val="single" w:sz="6" w:color="D9D9D9"/>
              <w:end w:val="single" w:sz="6" w:color="D9D9D9"/>
              <w:insideH w:val="single" w:sz="6" w:color="D9D9D9"/>
              <w:insideV w:val="single" w:sz="6" w:color="D9D9D9"/>
            </w:tcBorders>
            <w:vAlign w:val="center"/>
          </w:tcPr>
          <w:p>
            <w:pPr>
              <w:spacing w:after="0"/>
              <w:jc w:val="center"/>
            </w:pPr>
            <w:r>
              <w:rPr>
                <w:rFonts w:ascii="Aptos" w:hAnsi="Aptos" w:eastAsia="Aptos"/>
                <w:b/>
                <w:i w:val="0"/>
                <w:color w:val="FFFFFF"/>
                <w:sz w:val="18"/>
              </w:rPr>
              <w:t>Đo cái gì</w:t>
            </w:r>
          </w:p>
        </w:tc>
        <w:tc>
          <w:tcPr>
            <w:tcW w:type="dxa" w:w="3816"/>
            <w:shd w:fill="17365D"/>
            <w:tcMar>
              <w:top w:w="100" w:type="dxa"/>
              <w:start w:w="110" w:type="dxa"/>
              <w:bottom w:w="100" w:type="dxa"/>
              <w:end w:w="110" w:type="dxa"/>
            </w:tcMar>
            <w:tcBorders>
              <w:top w:val="single" w:sz="6" w:color="D9D9D9"/>
              <w:start w:val="single" w:sz="6" w:color="D9D9D9"/>
              <w:bottom w:val="single" w:sz="6" w:color="D9D9D9"/>
              <w:end w:val="single" w:sz="6" w:color="D9D9D9"/>
              <w:insideH w:val="single" w:sz="6" w:color="D9D9D9"/>
              <w:insideV w:val="single" w:sz="6" w:color="D9D9D9"/>
            </w:tcBorders>
            <w:vAlign w:val="center"/>
          </w:tcPr>
          <w:p>
            <w:pPr>
              <w:spacing w:after="0"/>
              <w:jc w:val="center"/>
            </w:pPr>
            <w:r>
              <w:rPr>
                <w:rFonts w:ascii="Aptos" w:hAnsi="Aptos" w:eastAsia="Aptos"/>
                <w:b/>
                <w:i w:val="0"/>
                <w:color w:val="FFFFFF"/>
                <w:sz w:val="18"/>
              </w:rPr>
              <w:t>Không được chấm lặp bằng</w:t>
            </w:r>
          </w:p>
        </w:tc>
      </w:tr>
      <w:tr>
        <w:tc>
          <w:tcPr>
            <w:tcW w:type="dxa" w:w="2376"/>
            <w:tcMar>
              <w:top w:w="100" w:type="dxa"/>
              <w:start w:w="110" w:type="dxa"/>
              <w:bottom w:w="100" w:type="dxa"/>
              <w:end w:w="110" w:type="dxa"/>
            </w:tcMar>
            <w:tcBorders>
              <w:top w:val="single" w:sz="6" w:color="D9D9D9"/>
              <w:start w:val="single" w:sz="6" w:color="D9D9D9"/>
              <w:bottom w:val="single" w:sz="6" w:color="D9D9D9"/>
              <w:end w:val="single" w:sz="6" w:color="D9D9D9"/>
              <w:insideH w:val="single" w:sz="6" w:color="D9D9D9"/>
              <w:insideV w:val="single" w:sz="6" w:color="D9D9D9"/>
            </w:tcBorders>
            <w:vAlign w:val="center"/>
          </w:tcPr>
          <w:p>
            <w:pPr>
              <w:spacing w:after="0" w:line="252" w:lineRule="auto"/>
              <w:jc w:val="center"/>
            </w:pPr>
            <w:r>
              <w:rPr>
                <w:rFonts w:ascii="Aptos" w:hAnsi="Aptos" w:eastAsia="Aptos"/>
                <w:b w:val="0"/>
                <w:i w:val="0"/>
                <w:color w:val="000000"/>
                <w:sz w:val="18"/>
              </w:rPr>
              <w:t>EPS YoY</w:t>
            </w:r>
          </w:p>
        </w:tc>
        <w:tc>
          <w:tcPr>
            <w:tcW w:type="dxa" w:w="3744"/>
            <w:tcMar>
              <w:top w:w="100" w:type="dxa"/>
              <w:start w:w="110" w:type="dxa"/>
              <w:bottom w:w="100" w:type="dxa"/>
              <w:end w:w="110" w:type="dxa"/>
            </w:tcMar>
            <w:tcBorders>
              <w:top w:val="single" w:sz="6" w:color="D9D9D9"/>
              <w:start w:val="single" w:sz="6" w:color="D9D9D9"/>
              <w:bottom w:val="single" w:sz="6" w:color="D9D9D9"/>
              <w:end w:val="single" w:sz="6" w:color="D9D9D9"/>
              <w:insideH w:val="single" w:sz="6" w:color="D9D9D9"/>
              <w:insideV w:val="single" w:sz="6" w:color="D9D9D9"/>
            </w:tcBorders>
            <w:vAlign w:val="center"/>
          </w:tcPr>
          <w:p>
            <w:pPr>
              <w:spacing w:after="0" w:line="252" w:lineRule="auto"/>
              <w:jc w:val="left"/>
            </w:pPr>
            <w:r>
              <w:rPr>
                <w:rFonts w:ascii="Aptos" w:hAnsi="Aptos" w:eastAsia="Aptos"/>
                <w:b w:val="0"/>
                <w:i w:val="0"/>
                <w:color w:val="000000"/>
                <w:sz w:val="18"/>
              </w:rPr>
              <w:t>Cường độ tăng lợi nhuận quý hiện tại.</w:t>
            </w:r>
          </w:p>
        </w:tc>
        <w:tc>
          <w:tcPr>
            <w:tcW w:type="dxa" w:w="3816"/>
            <w:tcMar>
              <w:top w:w="100" w:type="dxa"/>
              <w:start w:w="110" w:type="dxa"/>
              <w:bottom w:w="100" w:type="dxa"/>
              <w:end w:w="110" w:type="dxa"/>
            </w:tcMar>
            <w:tcBorders>
              <w:top w:val="single" w:sz="6" w:color="D9D9D9"/>
              <w:start w:val="single" w:sz="6" w:color="D9D9D9"/>
              <w:bottom w:val="single" w:sz="6" w:color="D9D9D9"/>
              <w:end w:val="single" w:sz="6" w:color="D9D9D9"/>
              <w:insideH w:val="single" w:sz="6" w:color="D9D9D9"/>
              <w:insideV w:val="single" w:sz="6" w:color="D9D9D9"/>
            </w:tcBorders>
            <w:vAlign w:val="center"/>
          </w:tcPr>
          <w:p>
            <w:pPr>
              <w:spacing w:after="0" w:line="252" w:lineRule="auto"/>
              <w:jc w:val="left"/>
            </w:pPr>
            <w:r>
              <w:rPr>
                <w:rFonts w:ascii="Aptos" w:hAnsi="Aptos" w:eastAsia="Aptos"/>
                <w:b w:val="0"/>
                <w:i w:val="0"/>
                <w:color w:val="000000"/>
                <w:sz w:val="18"/>
              </w:rPr>
              <w:t>LNST YoY trong cùng nhóm điểm.</w:t>
            </w:r>
          </w:p>
        </w:tc>
      </w:tr>
      <w:tr>
        <w:tc>
          <w:tcPr>
            <w:tcW w:type="dxa" w:w="2376"/>
            <w:shd w:fill="F4F7FA"/>
            <w:tcMar>
              <w:top w:w="100" w:type="dxa"/>
              <w:start w:w="110" w:type="dxa"/>
              <w:bottom w:w="100" w:type="dxa"/>
              <w:end w:w="110" w:type="dxa"/>
            </w:tcMar>
            <w:tcBorders>
              <w:top w:val="single" w:sz="6" w:color="D9D9D9"/>
              <w:start w:val="single" w:sz="6" w:color="D9D9D9"/>
              <w:bottom w:val="single" w:sz="6" w:color="D9D9D9"/>
              <w:end w:val="single" w:sz="6" w:color="D9D9D9"/>
              <w:insideH w:val="single" w:sz="6" w:color="D9D9D9"/>
              <w:insideV w:val="single" w:sz="6" w:color="D9D9D9"/>
            </w:tcBorders>
            <w:vAlign w:val="center"/>
          </w:tcPr>
          <w:p>
            <w:pPr>
              <w:spacing w:after="0" w:line="252" w:lineRule="auto"/>
              <w:jc w:val="center"/>
            </w:pPr>
            <w:r>
              <w:rPr>
                <w:rFonts w:ascii="Aptos" w:hAnsi="Aptos" w:eastAsia="Aptos"/>
                <w:b w:val="0"/>
                <w:i w:val="0"/>
                <w:color w:val="000000"/>
                <w:sz w:val="18"/>
              </w:rPr>
              <w:t>Số quý EPS tăng</w:t>
            </w:r>
          </w:p>
        </w:tc>
        <w:tc>
          <w:tcPr>
            <w:tcW w:type="dxa" w:w="3744"/>
            <w:shd w:fill="F4F7FA"/>
            <w:tcMar>
              <w:top w:w="100" w:type="dxa"/>
              <w:start w:w="110" w:type="dxa"/>
              <w:bottom w:w="100" w:type="dxa"/>
              <w:end w:w="110" w:type="dxa"/>
            </w:tcMar>
            <w:tcBorders>
              <w:top w:val="single" w:sz="6" w:color="D9D9D9"/>
              <w:start w:val="single" w:sz="6" w:color="D9D9D9"/>
              <w:bottom w:val="single" w:sz="6" w:color="D9D9D9"/>
              <w:end w:val="single" w:sz="6" w:color="D9D9D9"/>
              <w:insideH w:val="single" w:sz="6" w:color="D9D9D9"/>
              <w:insideV w:val="single" w:sz="6" w:color="D9D9D9"/>
            </w:tcBorders>
            <w:vAlign w:val="center"/>
          </w:tcPr>
          <w:p>
            <w:pPr>
              <w:spacing w:after="0" w:line="252" w:lineRule="auto"/>
              <w:jc w:val="left"/>
            </w:pPr>
            <w:r>
              <w:rPr>
                <w:rFonts w:ascii="Aptos" w:hAnsi="Aptos" w:eastAsia="Aptos"/>
                <w:b w:val="0"/>
                <w:i w:val="0"/>
                <w:color w:val="000000"/>
                <w:sz w:val="18"/>
              </w:rPr>
              <w:t>Độ liên tục của tăng trưởng.</w:t>
            </w:r>
          </w:p>
        </w:tc>
        <w:tc>
          <w:tcPr>
            <w:tcW w:type="dxa" w:w="3816"/>
            <w:shd w:fill="F4F7FA"/>
            <w:tcMar>
              <w:top w:w="100" w:type="dxa"/>
              <w:start w:w="110" w:type="dxa"/>
              <w:bottom w:w="100" w:type="dxa"/>
              <w:end w:w="110" w:type="dxa"/>
            </w:tcMar>
            <w:tcBorders>
              <w:top w:val="single" w:sz="6" w:color="D9D9D9"/>
              <w:start w:val="single" w:sz="6" w:color="D9D9D9"/>
              <w:bottom w:val="single" w:sz="6" w:color="D9D9D9"/>
              <w:end w:val="single" w:sz="6" w:color="D9D9D9"/>
              <w:insideH w:val="single" w:sz="6" w:color="D9D9D9"/>
              <w:insideV w:val="single" w:sz="6" w:color="D9D9D9"/>
            </w:tcBorders>
            <w:vAlign w:val="center"/>
          </w:tcPr>
          <w:p>
            <w:pPr>
              <w:spacing w:after="0" w:line="252" w:lineRule="auto"/>
              <w:jc w:val="left"/>
            </w:pPr>
            <w:r>
              <w:rPr>
                <w:rFonts w:ascii="Aptos" w:hAnsi="Aptos" w:eastAsia="Aptos"/>
                <w:b w:val="0"/>
                <w:i w:val="0"/>
                <w:color w:val="000000"/>
                <w:sz w:val="18"/>
              </w:rPr>
              <w:t>Số quý LNST tăng hoặc gia tốc EPS riêng.</w:t>
            </w:r>
          </w:p>
        </w:tc>
      </w:tr>
      <w:tr>
        <w:tc>
          <w:tcPr>
            <w:tcW w:type="dxa" w:w="2376"/>
            <w:tcMar>
              <w:top w:w="100" w:type="dxa"/>
              <w:start w:w="110" w:type="dxa"/>
              <w:bottom w:w="100" w:type="dxa"/>
              <w:end w:w="110" w:type="dxa"/>
            </w:tcMar>
            <w:tcBorders>
              <w:top w:val="single" w:sz="6" w:color="D9D9D9"/>
              <w:start w:val="single" w:sz="6" w:color="D9D9D9"/>
              <w:bottom w:val="single" w:sz="6" w:color="D9D9D9"/>
              <w:end w:val="single" w:sz="6" w:color="D9D9D9"/>
              <w:insideH w:val="single" w:sz="6" w:color="D9D9D9"/>
              <w:insideV w:val="single" w:sz="6" w:color="D9D9D9"/>
            </w:tcBorders>
            <w:vAlign w:val="center"/>
          </w:tcPr>
          <w:p>
            <w:pPr>
              <w:spacing w:after="0" w:line="252" w:lineRule="auto"/>
              <w:jc w:val="center"/>
            </w:pPr>
            <w:r>
              <w:rPr>
                <w:rFonts w:ascii="Aptos" w:hAnsi="Aptos" w:eastAsia="Aptos"/>
                <w:b w:val="0"/>
                <w:i w:val="0"/>
                <w:color w:val="000000"/>
                <w:sz w:val="18"/>
              </w:rPr>
              <w:t>Doanh thu BH thuần YoY</w:t>
            </w:r>
          </w:p>
        </w:tc>
        <w:tc>
          <w:tcPr>
            <w:tcW w:type="dxa" w:w="3744"/>
            <w:tcMar>
              <w:top w:w="100" w:type="dxa"/>
              <w:start w:w="110" w:type="dxa"/>
              <w:bottom w:w="100" w:type="dxa"/>
              <w:end w:w="110" w:type="dxa"/>
            </w:tcMar>
            <w:tcBorders>
              <w:top w:val="single" w:sz="6" w:color="D9D9D9"/>
              <w:start w:val="single" w:sz="6" w:color="D9D9D9"/>
              <w:bottom w:val="single" w:sz="6" w:color="D9D9D9"/>
              <w:end w:val="single" w:sz="6" w:color="D9D9D9"/>
              <w:insideH w:val="single" w:sz="6" w:color="D9D9D9"/>
              <w:insideV w:val="single" w:sz="6" w:color="D9D9D9"/>
            </w:tcBorders>
            <w:vAlign w:val="center"/>
          </w:tcPr>
          <w:p>
            <w:pPr>
              <w:spacing w:after="0" w:line="252" w:lineRule="auto"/>
              <w:jc w:val="left"/>
            </w:pPr>
            <w:r>
              <w:rPr>
                <w:rFonts w:ascii="Aptos" w:hAnsi="Aptos" w:eastAsia="Aptos"/>
                <w:b w:val="0"/>
                <w:i w:val="0"/>
                <w:color w:val="000000"/>
                <w:sz w:val="18"/>
              </w:rPr>
              <w:t>Mở rộng quy mô nghiệp vụ.</w:t>
            </w:r>
          </w:p>
        </w:tc>
        <w:tc>
          <w:tcPr>
            <w:tcW w:type="dxa" w:w="3816"/>
            <w:tcMar>
              <w:top w:w="100" w:type="dxa"/>
              <w:start w:w="110" w:type="dxa"/>
              <w:bottom w:w="100" w:type="dxa"/>
              <w:end w:w="110" w:type="dxa"/>
            </w:tcMar>
            <w:tcBorders>
              <w:top w:val="single" w:sz="6" w:color="D9D9D9"/>
              <w:start w:val="single" w:sz="6" w:color="D9D9D9"/>
              <w:bottom w:val="single" w:sz="6" w:color="D9D9D9"/>
              <w:end w:val="single" w:sz="6" w:color="D9D9D9"/>
              <w:insideH w:val="single" w:sz="6" w:color="D9D9D9"/>
              <w:insideV w:val="single" w:sz="6" w:color="D9D9D9"/>
            </w:tcBorders>
            <w:vAlign w:val="center"/>
          </w:tcPr>
          <w:p>
            <w:pPr>
              <w:spacing w:after="0" w:line="252" w:lineRule="auto"/>
              <w:jc w:val="left"/>
            </w:pPr>
            <w:r>
              <w:rPr>
                <w:rFonts w:ascii="Aptos" w:hAnsi="Aptos" w:eastAsia="Aptos"/>
                <w:b w:val="0"/>
                <w:i w:val="0"/>
                <w:color w:val="000000"/>
                <w:sz w:val="18"/>
              </w:rPr>
              <w:t>Phí gốc YoY hoặc tổng doanh thu YoY trong cùng nhóm.</w:t>
            </w:r>
          </w:p>
        </w:tc>
      </w:tr>
      <w:tr>
        <w:tc>
          <w:tcPr>
            <w:tcW w:type="dxa" w:w="2376"/>
            <w:shd w:fill="F4F7FA"/>
            <w:tcMar>
              <w:top w:w="100" w:type="dxa"/>
              <w:start w:w="110" w:type="dxa"/>
              <w:bottom w:w="100" w:type="dxa"/>
              <w:end w:w="110" w:type="dxa"/>
            </w:tcMar>
            <w:tcBorders>
              <w:top w:val="single" w:sz="6" w:color="D9D9D9"/>
              <w:start w:val="single" w:sz="6" w:color="D9D9D9"/>
              <w:bottom w:val="single" w:sz="6" w:color="D9D9D9"/>
              <w:end w:val="single" w:sz="6" w:color="D9D9D9"/>
              <w:insideH w:val="single" w:sz="6" w:color="D9D9D9"/>
              <w:insideV w:val="single" w:sz="6" w:color="D9D9D9"/>
            </w:tcBorders>
            <w:vAlign w:val="center"/>
          </w:tcPr>
          <w:p>
            <w:pPr>
              <w:spacing w:after="0" w:line="252" w:lineRule="auto"/>
              <w:jc w:val="center"/>
            </w:pPr>
            <w:r>
              <w:rPr>
                <w:rFonts w:ascii="Aptos" w:hAnsi="Aptos" w:eastAsia="Aptos"/>
                <w:b w:val="0"/>
                <w:i w:val="0"/>
                <w:color w:val="000000"/>
                <w:sz w:val="18"/>
              </w:rPr>
              <w:t>ROE TTM</w:t>
            </w:r>
          </w:p>
        </w:tc>
        <w:tc>
          <w:tcPr>
            <w:tcW w:type="dxa" w:w="3744"/>
            <w:shd w:fill="F4F7FA"/>
            <w:tcMar>
              <w:top w:w="100" w:type="dxa"/>
              <w:start w:w="110" w:type="dxa"/>
              <w:bottom w:w="100" w:type="dxa"/>
              <w:end w:w="110" w:type="dxa"/>
            </w:tcMar>
            <w:tcBorders>
              <w:top w:val="single" w:sz="6" w:color="D9D9D9"/>
              <w:start w:val="single" w:sz="6" w:color="D9D9D9"/>
              <w:bottom w:val="single" w:sz="6" w:color="D9D9D9"/>
              <w:end w:val="single" w:sz="6" w:color="D9D9D9"/>
              <w:insideH w:val="single" w:sz="6" w:color="D9D9D9"/>
              <w:insideV w:val="single" w:sz="6" w:color="D9D9D9"/>
            </w:tcBorders>
            <w:vAlign w:val="center"/>
          </w:tcPr>
          <w:p>
            <w:pPr>
              <w:spacing w:after="0" w:line="252" w:lineRule="auto"/>
              <w:jc w:val="left"/>
            </w:pPr>
            <w:r>
              <w:rPr>
                <w:rFonts w:ascii="Aptos" w:hAnsi="Aptos" w:eastAsia="Aptos"/>
                <w:b w:val="0"/>
                <w:i w:val="0"/>
                <w:color w:val="000000"/>
                <w:sz w:val="18"/>
              </w:rPr>
              <w:t>Hiệu quả sử dụng vốn.</w:t>
            </w:r>
          </w:p>
        </w:tc>
        <w:tc>
          <w:tcPr>
            <w:tcW w:type="dxa" w:w="3816"/>
            <w:shd w:fill="F4F7FA"/>
            <w:tcMar>
              <w:top w:w="100" w:type="dxa"/>
              <w:start w:w="110" w:type="dxa"/>
              <w:bottom w:w="100" w:type="dxa"/>
              <w:end w:w="110" w:type="dxa"/>
            </w:tcMar>
            <w:tcBorders>
              <w:top w:val="single" w:sz="6" w:color="D9D9D9"/>
              <w:start w:val="single" w:sz="6" w:color="D9D9D9"/>
              <w:bottom w:val="single" w:sz="6" w:color="D9D9D9"/>
              <w:end w:val="single" w:sz="6" w:color="D9D9D9"/>
              <w:insideH w:val="single" w:sz="6" w:color="D9D9D9"/>
              <w:insideV w:val="single" w:sz="6" w:color="D9D9D9"/>
            </w:tcBorders>
            <w:vAlign w:val="center"/>
          </w:tcPr>
          <w:p>
            <w:pPr>
              <w:spacing w:after="0" w:line="252" w:lineRule="auto"/>
              <w:jc w:val="left"/>
            </w:pPr>
            <w:r>
              <w:rPr>
                <w:rFonts w:ascii="Aptos" w:hAnsi="Aptos" w:eastAsia="Aptos"/>
                <w:b w:val="0"/>
                <w:i w:val="0"/>
                <w:color w:val="000000"/>
                <w:sz w:val="18"/>
              </w:rPr>
              <w:t>Biên lãi ròng hoặc tăng trưởng ROE nếu chưa chứng minh giá trị bổ sung.</w:t>
            </w:r>
          </w:p>
        </w:tc>
      </w:tr>
      <w:tr>
        <w:tc>
          <w:tcPr>
            <w:tcW w:type="dxa" w:w="2376"/>
            <w:tcMar>
              <w:top w:w="100" w:type="dxa"/>
              <w:start w:w="110" w:type="dxa"/>
              <w:bottom w:w="100" w:type="dxa"/>
              <w:end w:w="110" w:type="dxa"/>
            </w:tcMar>
            <w:tcBorders>
              <w:top w:val="single" w:sz="6" w:color="D9D9D9"/>
              <w:start w:val="single" w:sz="6" w:color="D9D9D9"/>
              <w:bottom w:val="single" w:sz="6" w:color="D9D9D9"/>
              <w:end w:val="single" w:sz="6" w:color="D9D9D9"/>
              <w:insideH w:val="single" w:sz="6" w:color="D9D9D9"/>
              <w:insideV w:val="single" w:sz="6" w:color="D9D9D9"/>
            </w:tcBorders>
            <w:vAlign w:val="center"/>
          </w:tcPr>
          <w:p>
            <w:pPr>
              <w:spacing w:after="0" w:line="252" w:lineRule="auto"/>
              <w:jc w:val="center"/>
            </w:pPr>
            <w:r>
              <w:rPr>
                <w:rFonts w:ascii="Aptos" w:hAnsi="Aptos" w:eastAsia="Aptos"/>
                <w:b w:val="0"/>
                <w:i w:val="0"/>
                <w:color w:val="000000"/>
                <w:sz w:val="18"/>
              </w:rPr>
              <w:t>Đệm vốn BCTC</w:t>
            </w:r>
          </w:p>
        </w:tc>
        <w:tc>
          <w:tcPr>
            <w:tcW w:type="dxa" w:w="3744"/>
            <w:tcMar>
              <w:top w:w="100" w:type="dxa"/>
              <w:start w:w="110" w:type="dxa"/>
              <w:bottom w:w="100" w:type="dxa"/>
              <w:end w:w="110" w:type="dxa"/>
            </w:tcMar>
            <w:tcBorders>
              <w:top w:val="single" w:sz="6" w:color="D9D9D9"/>
              <w:start w:val="single" w:sz="6" w:color="D9D9D9"/>
              <w:bottom w:val="single" w:sz="6" w:color="D9D9D9"/>
              <w:end w:val="single" w:sz="6" w:color="D9D9D9"/>
              <w:insideH w:val="single" w:sz="6" w:color="D9D9D9"/>
              <w:insideV w:val="single" w:sz="6" w:color="D9D9D9"/>
            </w:tcBorders>
            <w:vAlign w:val="center"/>
          </w:tcPr>
          <w:p>
            <w:pPr>
              <w:spacing w:after="0" w:line="252" w:lineRule="auto"/>
              <w:jc w:val="left"/>
            </w:pPr>
            <w:r>
              <w:rPr>
                <w:rFonts w:ascii="Aptos" w:hAnsi="Aptos" w:eastAsia="Aptos"/>
                <w:b w:val="0"/>
                <w:i w:val="0"/>
                <w:color w:val="000000"/>
                <w:sz w:val="18"/>
              </w:rPr>
              <w:t>Xu hướng vốn so với dự phòng.</w:t>
            </w:r>
          </w:p>
        </w:tc>
        <w:tc>
          <w:tcPr>
            <w:tcW w:type="dxa" w:w="3816"/>
            <w:tcMar>
              <w:top w:w="100" w:type="dxa"/>
              <w:start w:w="110" w:type="dxa"/>
              <w:bottom w:w="100" w:type="dxa"/>
              <w:end w:w="110" w:type="dxa"/>
            </w:tcMar>
            <w:tcBorders>
              <w:top w:val="single" w:sz="6" w:color="D9D9D9"/>
              <w:start w:val="single" w:sz="6" w:color="D9D9D9"/>
              <w:bottom w:val="single" w:sz="6" w:color="D9D9D9"/>
              <w:end w:val="single" w:sz="6" w:color="D9D9D9"/>
              <w:insideH w:val="single" w:sz="6" w:color="D9D9D9"/>
              <w:insideV w:val="single" w:sz="6" w:color="D9D9D9"/>
            </w:tcBorders>
            <w:vAlign w:val="center"/>
          </w:tcPr>
          <w:p>
            <w:pPr>
              <w:spacing w:after="0" w:line="252" w:lineRule="auto"/>
              <w:jc w:val="left"/>
            </w:pPr>
            <w:r>
              <w:rPr>
                <w:rFonts w:ascii="Aptos" w:hAnsi="Aptos" w:eastAsia="Aptos"/>
                <w:b w:val="0"/>
                <w:i w:val="0"/>
                <w:color w:val="000000"/>
                <w:sz w:val="18"/>
              </w:rPr>
              <w:t>Solvency tự suy đoán hoặc tỷ lệ VCSH/TTS generic.</w:t>
            </w:r>
          </w:p>
        </w:tc>
      </w:tr>
    </w:tbl>
    <w:p>
      <w:pPr>
        <w:spacing w:after="20"/>
      </w:pPr>
    </w:p>
    <w:p>
      <w:pPr>
        <w:pStyle w:val="Heading2"/>
        <w:keepNext/>
        <w:spacing w:before="140" w:after="100"/>
      </w:pPr>
      <w:r>
        <w:rPr>
          <w:rFonts w:ascii="Aptos" w:hAnsi="Aptos" w:eastAsia="Aptos"/>
          <w:b/>
          <w:i w:val="0"/>
          <w:color w:val="000000"/>
          <w:sz w:val="24"/>
        </w:rPr>
        <w:t>9.1 Hai quy tắc đã thống nhất</w:t>
      </w:r>
    </w:p>
    <w:p>
      <w:pPr>
        <w:pStyle w:val="ListNumber"/>
        <w:spacing w:after="60"/>
      </w:pPr>
      <w:r>
        <w:rPr>
          <w:rFonts w:ascii="Aptos" w:hAnsi="Aptos" w:eastAsia="Aptos"/>
          <w:b w:val="0"/>
          <w:i w:val="0"/>
          <w:color w:val="000000"/>
          <w:sz w:val="21"/>
        </w:rPr>
        <w:t>Một quý EPS tăng trưởng chỉ nhận 3/10 điểm; phải có ít nhất hai trong ba quý tăng trưởng để được đánh giá là xu hướng tương đối rõ.</w:t>
      </w:r>
    </w:p>
    <w:p>
      <w:pPr>
        <w:pStyle w:val="ListNumber"/>
        <w:spacing w:after="60"/>
      </w:pPr>
      <w:r>
        <w:rPr>
          <w:rFonts w:ascii="Aptos" w:hAnsi="Aptos" w:eastAsia="Aptos"/>
          <w:b w:val="0"/>
          <w:i w:val="0"/>
          <w:color w:val="000000"/>
          <w:sz w:val="21"/>
        </w:rPr>
        <w:t>Doanh thu bảo hiểm tăng nhanh không mặc nhiên tốt. Khi doanh thu tăng nhanh hơn nền vốn quá lớn trong hai quý liên tiếp, điểm doanh thu phải bị giới hạn; ngưỡng cuối cùng chỉ chốt sau khi IT xuất phân phối dữ liệu.</w:t>
      </w:r>
    </w:p>
    <w:p>
      <w:pPr>
        <w:pStyle w:val="Heading2"/>
        <w:keepNext/>
        <w:spacing w:before="140" w:after="100"/>
      </w:pPr>
      <w:r>
        <w:rPr>
          <w:rFonts w:ascii="Aptos" w:hAnsi="Aptos" w:eastAsia="Aptos"/>
          <w:b/>
          <w:i w:val="0"/>
          <w:color w:val="000000"/>
          <w:sz w:val="24"/>
        </w:rPr>
        <w:t>9.2 Lợi nhuận bất thường</w:t>
      </w:r>
    </w:p>
    <w:p>
      <w:pPr>
        <w:spacing w:after="100" w:line="269" w:lineRule="auto"/>
      </w:pPr>
      <w:r>
        <w:rPr>
          <w:rFonts w:ascii="Aptos" w:hAnsi="Aptos" w:eastAsia="Aptos"/>
          <w:b w:val="0"/>
          <w:i w:val="0"/>
          <w:color w:val="000000"/>
          <w:sz w:val="21"/>
        </w:rPr>
        <w:t>Lợi nhuận một lần không được đưa thành tiêu chí thứ sáu và không làm thay đổi cấu trúc 50 điểm. Giai đoạn sau sẽ có cột điểm trừ/cảnh báo riêng khi khoản bất thường có thể xác định rõ từ BCTC. IT trong pilot này chỉ cần giữ khả năng truy xuất EPS và LNST về đúng báo cáo nguồn để nhóm phân tích kiểm tra.</w:t>
      </w:r>
    </w:p>
    <w:p>
      <w:pPr>
        <w:pStyle w:val="Heading2"/>
        <w:keepNext/>
        <w:spacing w:before="140" w:after="100"/>
      </w:pPr>
      <w:r>
        <w:rPr>
          <w:rFonts w:ascii="Aptos" w:hAnsi="Aptos" w:eastAsia="Aptos"/>
          <w:b/>
          <w:i w:val="0"/>
          <w:color w:val="000000"/>
          <w:sz w:val="24"/>
        </w:rPr>
        <w:t>9.3 Biên bảo hiểm</w:t>
      </w:r>
    </w:p>
    <w:p>
      <w:pPr>
        <w:spacing w:after="100" w:line="269" w:lineRule="auto"/>
      </w:pPr>
      <w:r>
        <w:rPr>
          <w:rFonts w:ascii="Aptos" w:hAnsi="Aptos" w:eastAsia="Aptos"/>
          <w:b w:val="0"/>
          <w:i w:val="0"/>
          <w:color w:val="000000"/>
          <w:sz w:val="21"/>
        </w:rPr>
        <w:t>Biên bảo hiểm và thay đổi biên bảo hiểm không nằm trong 50 điểm Toàn ngành. Chúng thuộc 30 điểm Hiệu quả bảo hiểm và sẽ được thiết kế theo từng loại hình sau khi hoàn thành kiểm tra 5 tiêu chí chung.</w:t>
      </w:r>
    </w:p>
    <w:p>
      <w:pPr>
        <w:pStyle w:val="Heading1"/>
        <w:keepNext/>
        <w:spacing w:before="200" w:after="100"/>
      </w:pPr>
      <w:r>
        <w:rPr>
          <w:rFonts w:ascii="Aptos" w:hAnsi="Aptos" w:eastAsia="Aptos"/>
          <w:b/>
          <w:i w:val="0"/>
          <w:color w:val="000000"/>
          <w:sz w:val="30"/>
        </w:rPr>
        <w:t>10 Mô hình dữ liệu tối thiểu</w:t>
      </w:r>
    </w:p>
    <w:tbl>
      <w:tblPr>
        <w:tblW w:type="auto" w:w="0"/>
        <w:jc w:val="center"/>
        <w:tblLayout w:type="fixed"/>
        <w:tblLook w:firstColumn="1" w:firstRow="1" w:lastColumn="0" w:lastRow="0" w:noHBand="0" w:noVBand="1" w:val="04A0"/>
      </w:tblPr>
      <w:tblGrid>
        <w:gridCol w:w="5112"/>
        <w:gridCol w:w="5112"/>
      </w:tblGrid>
      <w:tr>
        <w:trPr>
          <w:tblHeader w:val="true"/>
        </w:trPr>
        <w:tc>
          <w:tcPr>
            <w:tcW w:type="dxa" w:w="1944"/>
            <w:shd w:fill="17365D"/>
            <w:tcMar>
              <w:top w:w="100" w:type="dxa"/>
              <w:start w:w="110" w:type="dxa"/>
              <w:bottom w:w="100" w:type="dxa"/>
              <w:end w:w="110" w:type="dxa"/>
            </w:tcMar>
            <w:tcBorders>
              <w:top w:val="single" w:sz="6" w:color="D9D9D9"/>
              <w:start w:val="single" w:sz="6" w:color="D9D9D9"/>
              <w:bottom w:val="single" w:sz="6" w:color="D9D9D9"/>
              <w:end w:val="single" w:sz="6" w:color="D9D9D9"/>
              <w:insideH w:val="single" w:sz="6" w:color="D9D9D9"/>
              <w:insideV w:val="single" w:sz="6" w:color="D9D9D9"/>
            </w:tcBorders>
            <w:vAlign w:val="center"/>
          </w:tcPr>
          <w:p>
            <w:pPr>
              <w:spacing w:after="0"/>
              <w:jc w:val="center"/>
            </w:pPr>
            <w:r>
              <w:rPr>
                <w:rFonts w:ascii="Aptos" w:hAnsi="Aptos" w:eastAsia="Aptos"/>
                <w:b/>
                <w:i w:val="0"/>
                <w:color w:val="FFFFFF"/>
                <w:sz w:val="18"/>
              </w:rPr>
              <w:t>Nhóm trường</w:t>
            </w:r>
          </w:p>
        </w:tc>
        <w:tc>
          <w:tcPr>
            <w:tcW w:type="dxa" w:w="7992"/>
            <w:shd w:fill="17365D"/>
            <w:tcMar>
              <w:top w:w="100" w:type="dxa"/>
              <w:start w:w="110" w:type="dxa"/>
              <w:bottom w:w="100" w:type="dxa"/>
              <w:end w:w="110" w:type="dxa"/>
            </w:tcMar>
            <w:tcBorders>
              <w:top w:val="single" w:sz="6" w:color="D9D9D9"/>
              <w:start w:val="single" w:sz="6" w:color="D9D9D9"/>
              <w:bottom w:val="single" w:sz="6" w:color="D9D9D9"/>
              <w:end w:val="single" w:sz="6" w:color="D9D9D9"/>
              <w:insideH w:val="single" w:sz="6" w:color="D9D9D9"/>
              <w:insideV w:val="single" w:sz="6" w:color="D9D9D9"/>
            </w:tcBorders>
            <w:vAlign w:val="center"/>
          </w:tcPr>
          <w:p>
            <w:pPr>
              <w:spacing w:after="0"/>
              <w:jc w:val="center"/>
            </w:pPr>
            <w:r>
              <w:rPr>
                <w:rFonts w:ascii="Aptos" w:hAnsi="Aptos" w:eastAsia="Aptos"/>
                <w:b/>
                <w:i w:val="0"/>
                <w:color w:val="FFFFFF"/>
                <w:sz w:val="18"/>
              </w:rPr>
              <w:t>Trường bắt buộc</w:t>
            </w:r>
          </w:p>
        </w:tc>
      </w:tr>
      <w:tr>
        <w:tc>
          <w:tcPr>
            <w:tcW w:type="dxa" w:w="1944"/>
            <w:tcMar>
              <w:top w:w="100" w:type="dxa"/>
              <w:start w:w="110" w:type="dxa"/>
              <w:bottom w:w="100" w:type="dxa"/>
              <w:end w:w="110" w:type="dxa"/>
            </w:tcMar>
            <w:tcBorders>
              <w:top w:val="single" w:sz="6" w:color="D9D9D9"/>
              <w:start w:val="single" w:sz="6" w:color="D9D9D9"/>
              <w:bottom w:val="single" w:sz="6" w:color="D9D9D9"/>
              <w:end w:val="single" w:sz="6" w:color="D9D9D9"/>
              <w:insideH w:val="single" w:sz="6" w:color="D9D9D9"/>
              <w:insideV w:val="single" w:sz="6" w:color="D9D9D9"/>
            </w:tcBorders>
            <w:vAlign w:val="center"/>
          </w:tcPr>
          <w:p>
            <w:pPr>
              <w:spacing w:after="0" w:line="252" w:lineRule="auto"/>
              <w:jc w:val="center"/>
            </w:pPr>
            <w:r>
              <w:rPr>
                <w:rFonts w:ascii="Aptos" w:hAnsi="Aptos" w:eastAsia="Aptos"/>
                <w:b w:val="0"/>
                <w:i w:val="0"/>
                <w:color w:val="000000"/>
                <w:sz w:val="17"/>
              </w:rPr>
              <w:t>Định danh</w:t>
            </w:r>
          </w:p>
        </w:tc>
        <w:tc>
          <w:tcPr>
            <w:tcW w:type="dxa" w:w="7992"/>
            <w:tcMar>
              <w:top w:w="100" w:type="dxa"/>
              <w:start w:w="110" w:type="dxa"/>
              <w:bottom w:w="100" w:type="dxa"/>
              <w:end w:w="110" w:type="dxa"/>
            </w:tcMar>
            <w:tcBorders>
              <w:top w:val="single" w:sz="6" w:color="D9D9D9"/>
              <w:start w:val="single" w:sz="6" w:color="D9D9D9"/>
              <w:bottom w:val="single" w:sz="6" w:color="D9D9D9"/>
              <w:end w:val="single" w:sz="6" w:color="D9D9D9"/>
              <w:insideH w:val="single" w:sz="6" w:color="D9D9D9"/>
              <w:insideV w:val="single" w:sz="6" w:color="D9D9D9"/>
            </w:tcBorders>
            <w:vAlign w:val="center"/>
          </w:tcPr>
          <w:p>
            <w:pPr>
              <w:spacing w:after="0" w:line="252" w:lineRule="auto"/>
              <w:jc w:val="left"/>
            </w:pPr>
            <w:r>
              <w:rPr>
                <w:rFonts w:ascii="Aptos" w:hAnsi="Aptos" w:eastAsia="Aptos"/>
                <w:b w:val="0"/>
                <w:i w:val="0"/>
                <w:color w:val="000000"/>
                <w:sz w:val="17"/>
              </w:rPr>
              <w:t>ticker, company_name, insurance_type, report_scope, quarter, report_date</w:t>
            </w:r>
          </w:p>
        </w:tc>
      </w:tr>
      <w:tr>
        <w:tc>
          <w:tcPr>
            <w:tcW w:type="dxa" w:w="1944"/>
            <w:shd w:fill="F4F7FA"/>
            <w:tcMar>
              <w:top w:w="100" w:type="dxa"/>
              <w:start w:w="110" w:type="dxa"/>
              <w:bottom w:w="100" w:type="dxa"/>
              <w:end w:w="110" w:type="dxa"/>
            </w:tcMar>
            <w:tcBorders>
              <w:top w:val="single" w:sz="6" w:color="D9D9D9"/>
              <w:start w:val="single" w:sz="6" w:color="D9D9D9"/>
              <w:bottom w:val="single" w:sz="6" w:color="D9D9D9"/>
              <w:end w:val="single" w:sz="6" w:color="D9D9D9"/>
              <w:insideH w:val="single" w:sz="6" w:color="D9D9D9"/>
              <w:insideV w:val="single" w:sz="6" w:color="D9D9D9"/>
            </w:tcBorders>
            <w:vAlign w:val="center"/>
          </w:tcPr>
          <w:p>
            <w:pPr>
              <w:spacing w:after="0" w:line="252" w:lineRule="auto"/>
              <w:jc w:val="center"/>
            </w:pPr>
            <w:r>
              <w:rPr>
                <w:rFonts w:ascii="Aptos" w:hAnsi="Aptos" w:eastAsia="Aptos"/>
                <w:b w:val="0"/>
                <w:i w:val="0"/>
                <w:color w:val="000000"/>
                <w:sz w:val="17"/>
              </w:rPr>
              <w:t>Nguồn</w:t>
            </w:r>
          </w:p>
        </w:tc>
        <w:tc>
          <w:tcPr>
            <w:tcW w:type="dxa" w:w="7992"/>
            <w:shd w:fill="F4F7FA"/>
            <w:tcMar>
              <w:top w:w="100" w:type="dxa"/>
              <w:start w:w="110" w:type="dxa"/>
              <w:bottom w:w="100" w:type="dxa"/>
              <w:end w:w="110" w:type="dxa"/>
            </w:tcMar>
            <w:tcBorders>
              <w:top w:val="single" w:sz="6" w:color="D9D9D9"/>
              <w:start w:val="single" w:sz="6" w:color="D9D9D9"/>
              <w:bottom w:val="single" w:sz="6" w:color="D9D9D9"/>
              <w:end w:val="single" w:sz="6" w:color="D9D9D9"/>
              <w:insideH w:val="single" w:sz="6" w:color="D9D9D9"/>
              <w:insideV w:val="single" w:sz="6" w:color="D9D9D9"/>
            </w:tcBorders>
            <w:vAlign w:val="center"/>
          </w:tcPr>
          <w:p>
            <w:pPr>
              <w:spacing w:after="0" w:line="252" w:lineRule="auto"/>
              <w:jc w:val="left"/>
            </w:pPr>
            <w:r>
              <w:rPr>
                <w:rFonts w:ascii="Aptos" w:hAnsi="Aptos" w:eastAsia="Aptos"/>
                <w:b w:val="0"/>
                <w:i w:val="0"/>
                <w:color w:val="000000"/>
                <w:sz w:val="17"/>
              </w:rPr>
              <w:t>source_file, source_page, source_note, raw_label, unit, status</w:t>
            </w:r>
          </w:p>
        </w:tc>
      </w:tr>
      <w:tr>
        <w:tc>
          <w:tcPr>
            <w:tcW w:type="dxa" w:w="1944"/>
            <w:tcMar>
              <w:top w:w="100" w:type="dxa"/>
              <w:start w:w="110" w:type="dxa"/>
              <w:bottom w:w="100" w:type="dxa"/>
              <w:end w:w="110" w:type="dxa"/>
            </w:tcMar>
            <w:tcBorders>
              <w:top w:val="single" w:sz="6" w:color="D9D9D9"/>
              <w:start w:val="single" w:sz="6" w:color="D9D9D9"/>
              <w:bottom w:val="single" w:sz="6" w:color="D9D9D9"/>
              <w:end w:val="single" w:sz="6" w:color="D9D9D9"/>
              <w:insideH w:val="single" w:sz="6" w:color="D9D9D9"/>
              <w:insideV w:val="single" w:sz="6" w:color="D9D9D9"/>
            </w:tcBorders>
            <w:vAlign w:val="center"/>
          </w:tcPr>
          <w:p>
            <w:pPr>
              <w:spacing w:after="0" w:line="252" w:lineRule="auto"/>
              <w:jc w:val="center"/>
            </w:pPr>
            <w:r>
              <w:rPr>
                <w:rFonts w:ascii="Aptos" w:hAnsi="Aptos" w:eastAsia="Aptos"/>
                <w:b w:val="0"/>
                <w:i w:val="0"/>
                <w:color w:val="000000"/>
                <w:sz w:val="17"/>
              </w:rPr>
              <w:t>EPS</w:t>
            </w:r>
          </w:p>
        </w:tc>
        <w:tc>
          <w:tcPr>
            <w:tcW w:type="dxa" w:w="7992"/>
            <w:tcMar>
              <w:top w:w="100" w:type="dxa"/>
              <w:start w:w="110" w:type="dxa"/>
              <w:bottom w:w="100" w:type="dxa"/>
              <w:end w:w="110" w:type="dxa"/>
            </w:tcMar>
            <w:tcBorders>
              <w:top w:val="single" w:sz="6" w:color="D9D9D9"/>
              <w:start w:val="single" w:sz="6" w:color="D9D9D9"/>
              <w:bottom w:val="single" w:sz="6" w:color="D9D9D9"/>
              <w:end w:val="single" w:sz="6" w:color="D9D9D9"/>
              <w:insideH w:val="single" w:sz="6" w:color="D9D9D9"/>
              <w:insideV w:val="single" w:sz="6" w:color="D9D9D9"/>
            </w:tcBorders>
            <w:vAlign w:val="center"/>
          </w:tcPr>
          <w:p>
            <w:pPr>
              <w:spacing w:after="0" w:line="252" w:lineRule="auto"/>
              <w:jc w:val="left"/>
            </w:pPr>
            <w:r>
              <w:rPr>
                <w:rFonts w:ascii="Aptos" w:hAnsi="Aptos" w:eastAsia="Aptos"/>
                <w:b w:val="0"/>
                <w:i w:val="0"/>
                <w:color w:val="000000"/>
                <w:sz w:val="17"/>
              </w:rPr>
              <w:t>eps_std_q, eps_std_q_4, eps_yoy, eps_exception_branch, eps_score</w:t>
            </w:r>
          </w:p>
        </w:tc>
      </w:tr>
      <w:tr>
        <w:tc>
          <w:tcPr>
            <w:tcW w:type="dxa" w:w="1944"/>
            <w:shd w:fill="F4F7FA"/>
            <w:tcMar>
              <w:top w:w="100" w:type="dxa"/>
              <w:start w:w="110" w:type="dxa"/>
              <w:bottom w:w="100" w:type="dxa"/>
              <w:end w:w="110" w:type="dxa"/>
            </w:tcMar>
            <w:tcBorders>
              <w:top w:val="single" w:sz="6" w:color="D9D9D9"/>
              <w:start w:val="single" w:sz="6" w:color="D9D9D9"/>
              <w:bottom w:val="single" w:sz="6" w:color="D9D9D9"/>
              <w:end w:val="single" w:sz="6" w:color="D9D9D9"/>
              <w:insideH w:val="single" w:sz="6" w:color="D9D9D9"/>
              <w:insideV w:val="single" w:sz="6" w:color="D9D9D9"/>
            </w:tcBorders>
            <w:vAlign w:val="center"/>
          </w:tcPr>
          <w:p>
            <w:pPr>
              <w:spacing w:after="0" w:line="252" w:lineRule="auto"/>
              <w:jc w:val="center"/>
            </w:pPr>
            <w:r>
              <w:rPr>
                <w:rFonts w:ascii="Aptos" w:hAnsi="Aptos" w:eastAsia="Aptos"/>
                <w:b w:val="0"/>
                <w:i w:val="0"/>
                <w:color w:val="000000"/>
                <w:sz w:val="17"/>
              </w:rPr>
              <w:t>Chuỗi EPS</w:t>
            </w:r>
          </w:p>
        </w:tc>
        <w:tc>
          <w:tcPr>
            <w:tcW w:type="dxa" w:w="7992"/>
            <w:shd w:fill="F4F7FA"/>
            <w:tcMar>
              <w:top w:w="100" w:type="dxa"/>
              <w:start w:w="110" w:type="dxa"/>
              <w:bottom w:w="100" w:type="dxa"/>
              <w:end w:w="110" w:type="dxa"/>
            </w:tcMar>
            <w:tcBorders>
              <w:top w:val="single" w:sz="6" w:color="D9D9D9"/>
              <w:start w:val="single" w:sz="6" w:color="D9D9D9"/>
              <w:bottom w:val="single" w:sz="6" w:color="D9D9D9"/>
              <w:end w:val="single" w:sz="6" w:color="D9D9D9"/>
              <w:insideH w:val="single" w:sz="6" w:color="D9D9D9"/>
              <w:insideV w:val="single" w:sz="6" w:color="D9D9D9"/>
            </w:tcBorders>
            <w:vAlign w:val="center"/>
          </w:tcPr>
          <w:p>
            <w:pPr>
              <w:spacing w:after="0" w:line="252" w:lineRule="auto"/>
              <w:jc w:val="left"/>
            </w:pPr>
            <w:r>
              <w:rPr>
                <w:rFonts w:ascii="Aptos" w:hAnsi="Aptos" w:eastAsia="Aptos"/>
                <w:b w:val="0"/>
                <w:i w:val="0"/>
                <w:color w:val="000000"/>
                <w:sz w:val="17"/>
              </w:rPr>
              <w:t>eps_q đến eps_q_6, growth_flag_1 đến 3, growth_quarter_count, persistence_score</w:t>
            </w:r>
          </w:p>
        </w:tc>
      </w:tr>
      <w:tr>
        <w:tc>
          <w:tcPr>
            <w:tcW w:type="dxa" w:w="1944"/>
            <w:tcMar>
              <w:top w:w="100" w:type="dxa"/>
              <w:start w:w="110" w:type="dxa"/>
              <w:bottom w:w="100" w:type="dxa"/>
              <w:end w:w="110" w:type="dxa"/>
            </w:tcMar>
            <w:tcBorders>
              <w:top w:val="single" w:sz="6" w:color="D9D9D9"/>
              <w:start w:val="single" w:sz="6" w:color="D9D9D9"/>
              <w:bottom w:val="single" w:sz="6" w:color="D9D9D9"/>
              <w:end w:val="single" w:sz="6" w:color="D9D9D9"/>
              <w:insideH w:val="single" w:sz="6" w:color="D9D9D9"/>
              <w:insideV w:val="single" w:sz="6" w:color="D9D9D9"/>
            </w:tcBorders>
            <w:vAlign w:val="center"/>
          </w:tcPr>
          <w:p>
            <w:pPr>
              <w:spacing w:after="0" w:line="252" w:lineRule="auto"/>
              <w:jc w:val="center"/>
            </w:pPr>
            <w:r>
              <w:rPr>
                <w:rFonts w:ascii="Aptos" w:hAnsi="Aptos" w:eastAsia="Aptos"/>
                <w:b w:val="0"/>
                <w:i w:val="0"/>
                <w:color w:val="000000"/>
                <w:sz w:val="17"/>
              </w:rPr>
              <w:t>Doanh thu BH</w:t>
            </w:r>
          </w:p>
        </w:tc>
        <w:tc>
          <w:tcPr>
            <w:tcW w:type="dxa" w:w="7992"/>
            <w:tcMar>
              <w:top w:w="100" w:type="dxa"/>
              <w:start w:w="110" w:type="dxa"/>
              <w:bottom w:w="100" w:type="dxa"/>
              <w:end w:w="110" w:type="dxa"/>
            </w:tcMar>
            <w:tcBorders>
              <w:top w:val="single" w:sz="6" w:color="D9D9D9"/>
              <w:start w:val="single" w:sz="6" w:color="D9D9D9"/>
              <w:bottom w:val="single" w:sz="6" w:color="D9D9D9"/>
              <w:end w:val="single" w:sz="6" w:color="D9D9D9"/>
              <w:insideH w:val="single" w:sz="6" w:color="D9D9D9"/>
              <w:insideV w:val="single" w:sz="6" w:color="D9D9D9"/>
            </w:tcBorders>
            <w:vAlign w:val="center"/>
          </w:tcPr>
          <w:p>
            <w:pPr>
              <w:spacing w:after="0" w:line="252" w:lineRule="auto"/>
              <w:jc w:val="left"/>
            </w:pPr>
            <w:r>
              <w:rPr>
                <w:rFonts w:ascii="Aptos" w:hAnsi="Aptos" w:eastAsia="Aptos"/>
                <w:b w:val="0"/>
                <w:i w:val="0"/>
                <w:color w:val="000000"/>
                <w:sz w:val="17"/>
              </w:rPr>
              <w:t>ins_rev_net_q, ins_rev_net_q_4, rev_growth_yoy, equity_growth_yoy, growth_gap, revenue_score_base, revenue_score_final</w:t>
            </w:r>
          </w:p>
        </w:tc>
      </w:tr>
      <w:tr>
        <w:tc>
          <w:tcPr>
            <w:tcW w:type="dxa" w:w="1944"/>
            <w:shd w:fill="F4F7FA"/>
            <w:tcMar>
              <w:top w:w="100" w:type="dxa"/>
              <w:start w:w="110" w:type="dxa"/>
              <w:bottom w:w="100" w:type="dxa"/>
              <w:end w:w="110" w:type="dxa"/>
            </w:tcMar>
            <w:tcBorders>
              <w:top w:val="single" w:sz="6" w:color="D9D9D9"/>
              <w:start w:val="single" w:sz="6" w:color="D9D9D9"/>
              <w:bottom w:val="single" w:sz="6" w:color="D9D9D9"/>
              <w:end w:val="single" w:sz="6" w:color="D9D9D9"/>
              <w:insideH w:val="single" w:sz="6" w:color="D9D9D9"/>
              <w:insideV w:val="single" w:sz="6" w:color="D9D9D9"/>
            </w:tcBorders>
            <w:vAlign w:val="center"/>
          </w:tcPr>
          <w:p>
            <w:pPr>
              <w:spacing w:after="0" w:line="252" w:lineRule="auto"/>
              <w:jc w:val="center"/>
            </w:pPr>
            <w:r>
              <w:rPr>
                <w:rFonts w:ascii="Aptos" w:hAnsi="Aptos" w:eastAsia="Aptos"/>
                <w:b w:val="0"/>
                <w:i w:val="0"/>
                <w:color w:val="000000"/>
                <w:sz w:val="17"/>
              </w:rPr>
              <w:t>ROE</w:t>
            </w:r>
          </w:p>
        </w:tc>
        <w:tc>
          <w:tcPr>
            <w:tcW w:type="dxa" w:w="7992"/>
            <w:shd w:fill="F4F7FA"/>
            <w:tcMar>
              <w:top w:w="100" w:type="dxa"/>
              <w:start w:w="110" w:type="dxa"/>
              <w:bottom w:w="100" w:type="dxa"/>
              <w:end w:w="110" w:type="dxa"/>
            </w:tcMar>
            <w:tcBorders>
              <w:top w:val="single" w:sz="6" w:color="D9D9D9"/>
              <w:start w:val="single" w:sz="6" w:color="D9D9D9"/>
              <w:bottom w:val="single" w:sz="6" w:color="D9D9D9"/>
              <w:end w:val="single" w:sz="6" w:color="D9D9D9"/>
              <w:insideH w:val="single" w:sz="6" w:color="D9D9D9"/>
              <w:insideV w:val="single" w:sz="6" w:color="D9D9D9"/>
            </w:tcBorders>
            <w:vAlign w:val="center"/>
          </w:tcPr>
          <w:p>
            <w:pPr>
              <w:spacing w:after="0" w:line="252" w:lineRule="auto"/>
              <w:jc w:val="left"/>
            </w:pPr>
            <w:r>
              <w:rPr>
                <w:rFonts w:ascii="Aptos" w:hAnsi="Aptos" w:eastAsia="Aptos"/>
                <w:b w:val="0"/>
                <w:i w:val="0"/>
                <w:color w:val="000000"/>
                <w:sz w:val="17"/>
              </w:rPr>
              <w:t>np_parent_q đến q_3, parent_equity_q, parent_equity_q_4, avg_parent_equity, roe_ttm, roe_score</w:t>
            </w:r>
          </w:p>
        </w:tc>
      </w:tr>
      <w:tr>
        <w:tc>
          <w:tcPr>
            <w:tcW w:type="dxa" w:w="1944"/>
            <w:tcMar>
              <w:top w:w="100" w:type="dxa"/>
              <w:start w:w="110" w:type="dxa"/>
              <w:bottom w:w="100" w:type="dxa"/>
              <w:end w:w="110" w:type="dxa"/>
            </w:tcMar>
            <w:tcBorders>
              <w:top w:val="single" w:sz="6" w:color="D9D9D9"/>
              <w:start w:val="single" w:sz="6" w:color="D9D9D9"/>
              <w:bottom w:val="single" w:sz="6" w:color="D9D9D9"/>
              <w:end w:val="single" w:sz="6" w:color="D9D9D9"/>
              <w:insideH w:val="single" w:sz="6" w:color="D9D9D9"/>
              <w:insideV w:val="single" w:sz="6" w:color="D9D9D9"/>
            </w:tcBorders>
            <w:vAlign w:val="center"/>
          </w:tcPr>
          <w:p>
            <w:pPr>
              <w:spacing w:after="0" w:line="252" w:lineRule="auto"/>
              <w:jc w:val="center"/>
            </w:pPr>
            <w:r>
              <w:rPr>
                <w:rFonts w:ascii="Aptos" w:hAnsi="Aptos" w:eastAsia="Aptos"/>
                <w:b w:val="0"/>
                <w:i w:val="0"/>
                <w:color w:val="000000"/>
                <w:sz w:val="17"/>
              </w:rPr>
              <w:t>Đệm vốn</w:t>
            </w:r>
          </w:p>
        </w:tc>
        <w:tc>
          <w:tcPr>
            <w:tcW w:type="dxa" w:w="7992"/>
            <w:tcMar>
              <w:top w:w="100" w:type="dxa"/>
              <w:start w:w="110" w:type="dxa"/>
              <w:bottom w:w="100" w:type="dxa"/>
              <w:end w:w="110" w:type="dxa"/>
            </w:tcMar>
            <w:tcBorders>
              <w:top w:val="single" w:sz="6" w:color="D9D9D9"/>
              <w:start w:val="single" w:sz="6" w:color="D9D9D9"/>
              <w:bottom w:val="single" w:sz="6" w:color="D9D9D9"/>
              <w:end w:val="single" w:sz="6" w:color="D9D9D9"/>
              <w:insideH w:val="single" w:sz="6" w:color="D9D9D9"/>
              <w:insideV w:val="single" w:sz="6" w:color="D9D9D9"/>
            </w:tcBorders>
            <w:vAlign w:val="center"/>
          </w:tcPr>
          <w:p>
            <w:pPr>
              <w:spacing w:after="0" w:line="252" w:lineRule="auto"/>
              <w:jc w:val="left"/>
            </w:pPr>
            <w:r>
              <w:rPr>
                <w:rFonts w:ascii="Aptos" w:hAnsi="Aptos" w:eastAsia="Aptos"/>
                <w:b w:val="0"/>
                <w:i w:val="0"/>
                <w:color w:val="000000"/>
                <w:sz w:val="17"/>
              </w:rPr>
              <w:t>total_equity, tech_reserve_gross, capital_buffer, median_20q, level_gap, buffer_trend, capital_score, capital_pressure_flag</w:t>
            </w:r>
          </w:p>
        </w:tc>
      </w:tr>
    </w:tbl>
    <w:p>
      <w:pPr>
        <w:spacing w:after="20"/>
      </w:pPr>
    </w:p>
    <w:p>
      <w:r>
        <w:br w:type="page"/>
      </w:r>
    </w:p>
    <w:p>
      <w:pPr>
        <w:pStyle w:val="Heading1"/>
        <w:keepNext/>
        <w:spacing w:before="200" w:after="100"/>
      </w:pPr>
      <w:r>
        <w:rPr>
          <w:rFonts w:ascii="Aptos" w:hAnsi="Aptos" w:eastAsia="Aptos"/>
          <w:b/>
          <w:i w:val="0"/>
          <w:color w:val="000000"/>
          <w:sz w:val="30"/>
        </w:rPr>
        <w:t>11 Quy trình kiểm tra IT và đầu ra bắt buộc</w:t>
      </w:r>
    </w:p>
    <w:p>
      <w:pPr>
        <w:pStyle w:val="Heading2"/>
        <w:keepNext/>
        <w:spacing w:before="140" w:after="100"/>
      </w:pPr>
      <w:r>
        <w:rPr>
          <w:rFonts w:ascii="Aptos" w:hAnsi="Aptos" w:eastAsia="Aptos"/>
          <w:b/>
          <w:i w:val="0"/>
          <w:color w:val="000000"/>
          <w:sz w:val="24"/>
        </w:rPr>
        <w:t>11.1 Trình tự thực hiện</w:t>
      </w:r>
    </w:p>
    <w:p>
      <w:pPr>
        <w:pStyle w:val="ListNumber"/>
        <w:spacing w:after="60"/>
      </w:pPr>
      <w:r>
        <w:rPr>
          <w:rFonts w:ascii="Aptos" w:hAnsi="Aptos" w:eastAsia="Aptos"/>
          <w:b w:val="0"/>
          <w:i w:val="0"/>
          <w:color w:val="000000"/>
          <w:sz w:val="21"/>
        </w:rPr>
        <w:t>Chốt universe doanh nghiệp và loại hình của từng mã tại từng kỳ.</w:t>
      </w:r>
    </w:p>
    <w:p>
      <w:pPr>
        <w:pStyle w:val="ListNumber"/>
        <w:spacing w:after="60"/>
      </w:pPr>
      <w:r>
        <w:rPr>
          <w:rFonts w:ascii="Aptos" w:hAnsi="Aptos" w:eastAsia="Aptos"/>
          <w:b w:val="0"/>
          <w:i w:val="0"/>
          <w:color w:val="000000"/>
          <w:sz w:val="21"/>
        </w:rPr>
        <w:t>Thu thập BCTC hợp nhất và thuyết minh của 20 quý liên tiếp.</w:t>
      </w:r>
    </w:p>
    <w:p>
      <w:pPr>
        <w:pStyle w:val="ListNumber"/>
        <w:spacing w:after="60"/>
      </w:pPr>
      <w:r>
        <w:rPr>
          <w:rFonts w:ascii="Aptos" w:hAnsi="Aptos" w:eastAsia="Aptos"/>
          <w:b w:val="0"/>
          <w:i w:val="0"/>
          <w:color w:val="000000"/>
          <w:sz w:val="21"/>
        </w:rPr>
        <w:t>Lập data dictionary và mapping nhãn dòng cho từng doanh nghiệp.</w:t>
      </w:r>
    </w:p>
    <w:p>
      <w:pPr>
        <w:pStyle w:val="ListNumber"/>
        <w:spacing w:after="60"/>
      </w:pPr>
      <w:r>
        <w:rPr>
          <w:rFonts w:ascii="Aptos" w:hAnsi="Aptos" w:eastAsia="Aptos"/>
          <w:b w:val="0"/>
          <w:i w:val="0"/>
          <w:color w:val="000000"/>
          <w:sz w:val="21"/>
        </w:rPr>
        <w:t>Chuẩn hóa số quý riêng lẻ từ báo cáo lũy kế.</w:t>
      </w:r>
    </w:p>
    <w:p>
      <w:pPr>
        <w:pStyle w:val="ListNumber"/>
        <w:spacing w:after="60"/>
      </w:pPr>
      <w:r>
        <w:rPr>
          <w:rFonts w:ascii="Aptos" w:hAnsi="Aptos" w:eastAsia="Aptos"/>
          <w:b w:val="0"/>
          <w:i w:val="0"/>
          <w:color w:val="000000"/>
          <w:sz w:val="21"/>
        </w:rPr>
        <w:t>Tính lại 5 chỉ tiêu và toàn bộ trường trung gian.</w:t>
      </w:r>
    </w:p>
    <w:p>
      <w:pPr>
        <w:pStyle w:val="ListNumber"/>
        <w:spacing w:after="60"/>
      </w:pPr>
      <w:r>
        <w:rPr>
          <w:rFonts w:ascii="Aptos" w:hAnsi="Aptos" w:eastAsia="Aptos"/>
          <w:b w:val="0"/>
          <w:i w:val="0"/>
          <w:color w:val="000000"/>
          <w:sz w:val="21"/>
        </w:rPr>
        <w:t>Đối chiếu thủ công tối thiểu hai doanh nghiệp khác loại hình và bốn quý có cấu trúc dữ liệu khác nhau.</w:t>
      </w:r>
    </w:p>
    <w:p>
      <w:pPr>
        <w:pStyle w:val="ListNumber"/>
        <w:spacing w:after="60"/>
      </w:pPr>
      <w:r>
        <w:rPr>
          <w:rFonts w:ascii="Aptos" w:hAnsi="Aptos" w:eastAsia="Aptos"/>
          <w:b w:val="0"/>
          <w:i w:val="0"/>
          <w:color w:val="000000"/>
          <w:sz w:val="21"/>
        </w:rPr>
        <w:t>Xuất coverage matrix và exception report.</w:t>
      </w:r>
    </w:p>
    <w:p>
      <w:pPr>
        <w:pStyle w:val="ListNumber"/>
        <w:spacing w:after="60"/>
      </w:pPr>
      <w:r>
        <w:rPr>
          <w:rFonts w:ascii="Aptos" w:hAnsi="Aptos" w:eastAsia="Aptos"/>
          <w:b w:val="0"/>
          <w:i w:val="0"/>
          <w:color w:val="000000"/>
          <w:sz w:val="21"/>
        </w:rPr>
        <w:t>Chỉ đề nghị bước sang đặc tả điểm chính thức khi đạt điều kiện nghiệm thu.</w:t>
      </w:r>
    </w:p>
    <w:p>
      <w:pPr>
        <w:pStyle w:val="Heading2"/>
        <w:keepNext/>
        <w:spacing w:before="140" w:after="100"/>
      </w:pPr>
      <w:r>
        <w:rPr>
          <w:rFonts w:ascii="Aptos" w:hAnsi="Aptos" w:eastAsia="Aptos"/>
          <w:b/>
          <w:i w:val="0"/>
          <w:color w:val="000000"/>
          <w:sz w:val="24"/>
        </w:rPr>
        <w:t>11.2 Coverage matrix</w:t>
      </w:r>
    </w:p>
    <w:p>
      <w:pPr>
        <w:spacing w:after="100" w:line="269" w:lineRule="auto"/>
      </w:pPr>
      <w:r>
        <w:rPr>
          <w:rFonts w:ascii="Aptos" w:hAnsi="Aptos" w:eastAsia="Aptos"/>
          <w:b w:val="0"/>
          <w:i w:val="0"/>
          <w:color w:val="000000"/>
          <w:sz w:val="21"/>
        </w:rPr>
        <w:t>Mỗi dòng là một mã tại một quý; mỗi cột là trường dữ liệu nguồn hoặc chỉ tiêu tính toán. IT phải cung cấp tối thiểu:</w:t>
      </w:r>
    </w:p>
    <w:tbl>
      <w:tblPr>
        <w:tblW w:type="auto" w:w="0"/>
        <w:jc w:val="center"/>
        <w:tblLayout w:type="fixed"/>
        <w:tblLook w:firstColumn="1" w:firstRow="1" w:lastColumn="0" w:lastRow="0" w:noHBand="0" w:noVBand="1" w:val="04A0"/>
      </w:tblPr>
      <w:tblGrid>
        <w:gridCol w:w="1278"/>
        <w:gridCol w:w="1278"/>
        <w:gridCol w:w="1278"/>
        <w:gridCol w:w="1278"/>
        <w:gridCol w:w="1278"/>
        <w:gridCol w:w="1278"/>
        <w:gridCol w:w="1278"/>
        <w:gridCol w:w="1278"/>
      </w:tblGrid>
      <w:tr>
        <w:trPr>
          <w:tblHeader w:val="true"/>
        </w:trPr>
        <w:tc>
          <w:tcPr>
            <w:tcW w:type="dxa" w:w="864"/>
            <w:shd w:fill="17365D"/>
            <w:tcMar>
              <w:top w:w="100" w:type="dxa"/>
              <w:start w:w="110" w:type="dxa"/>
              <w:bottom w:w="100" w:type="dxa"/>
              <w:end w:w="110" w:type="dxa"/>
            </w:tcMar>
            <w:tcBorders>
              <w:top w:val="single" w:sz="6" w:color="D9D9D9"/>
              <w:start w:val="single" w:sz="6" w:color="D9D9D9"/>
              <w:bottom w:val="single" w:sz="6" w:color="D9D9D9"/>
              <w:end w:val="single" w:sz="6" w:color="D9D9D9"/>
              <w:insideH w:val="single" w:sz="6" w:color="D9D9D9"/>
              <w:insideV w:val="single" w:sz="6" w:color="D9D9D9"/>
            </w:tcBorders>
            <w:vAlign w:val="center"/>
          </w:tcPr>
          <w:p>
            <w:pPr>
              <w:spacing w:after="0"/>
              <w:jc w:val="center"/>
            </w:pPr>
            <w:r>
              <w:rPr>
                <w:rFonts w:ascii="Aptos" w:hAnsi="Aptos" w:eastAsia="Aptos"/>
                <w:b/>
                <w:i w:val="0"/>
                <w:color w:val="FFFFFF"/>
                <w:sz w:val="18"/>
              </w:rPr>
              <w:t>Mã</w:t>
            </w:r>
          </w:p>
        </w:tc>
        <w:tc>
          <w:tcPr>
            <w:tcW w:type="dxa" w:w="1080"/>
            <w:shd w:fill="17365D"/>
            <w:tcMar>
              <w:top w:w="100" w:type="dxa"/>
              <w:start w:w="110" w:type="dxa"/>
              <w:bottom w:w="100" w:type="dxa"/>
              <w:end w:w="110" w:type="dxa"/>
            </w:tcMar>
            <w:tcBorders>
              <w:top w:val="single" w:sz="6" w:color="D9D9D9"/>
              <w:start w:val="single" w:sz="6" w:color="D9D9D9"/>
              <w:bottom w:val="single" w:sz="6" w:color="D9D9D9"/>
              <w:end w:val="single" w:sz="6" w:color="D9D9D9"/>
              <w:insideH w:val="single" w:sz="6" w:color="D9D9D9"/>
              <w:insideV w:val="single" w:sz="6" w:color="D9D9D9"/>
            </w:tcBorders>
            <w:vAlign w:val="center"/>
          </w:tcPr>
          <w:p>
            <w:pPr>
              <w:spacing w:after="0"/>
              <w:jc w:val="center"/>
            </w:pPr>
            <w:r>
              <w:rPr>
                <w:rFonts w:ascii="Aptos" w:hAnsi="Aptos" w:eastAsia="Aptos"/>
                <w:b/>
                <w:i w:val="0"/>
                <w:color w:val="FFFFFF"/>
                <w:sz w:val="18"/>
              </w:rPr>
              <w:t>Quý</w:t>
            </w:r>
          </w:p>
        </w:tc>
        <w:tc>
          <w:tcPr>
            <w:tcW w:type="dxa" w:w="1080"/>
            <w:shd w:fill="17365D"/>
            <w:tcMar>
              <w:top w:w="100" w:type="dxa"/>
              <w:start w:w="110" w:type="dxa"/>
              <w:bottom w:w="100" w:type="dxa"/>
              <w:end w:w="110" w:type="dxa"/>
            </w:tcMar>
            <w:tcBorders>
              <w:top w:val="single" w:sz="6" w:color="D9D9D9"/>
              <w:start w:val="single" w:sz="6" w:color="D9D9D9"/>
              <w:bottom w:val="single" w:sz="6" w:color="D9D9D9"/>
              <w:end w:val="single" w:sz="6" w:color="D9D9D9"/>
              <w:insideH w:val="single" w:sz="6" w:color="D9D9D9"/>
              <w:insideV w:val="single" w:sz="6" w:color="D9D9D9"/>
            </w:tcBorders>
            <w:vAlign w:val="center"/>
          </w:tcPr>
          <w:p>
            <w:pPr>
              <w:spacing w:after="0"/>
              <w:jc w:val="center"/>
            </w:pPr>
            <w:r>
              <w:rPr>
                <w:rFonts w:ascii="Aptos" w:hAnsi="Aptos" w:eastAsia="Aptos"/>
                <w:b/>
                <w:i w:val="0"/>
                <w:color w:val="FFFFFF"/>
                <w:sz w:val="18"/>
              </w:rPr>
              <w:t>EPS</w:t>
            </w:r>
          </w:p>
        </w:tc>
        <w:tc>
          <w:tcPr>
            <w:tcW w:type="dxa" w:w="1224"/>
            <w:shd w:fill="17365D"/>
            <w:tcMar>
              <w:top w:w="100" w:type="dxa"/>
              <w:start w:w="110" w:type="dxa"/>
              <w:bottom w:w="100" w:type="dxa"/>
              <w:end w:w="110" w:type="dxa"/>
            </w:tcMar>
            <w:tcBorders>
              <w:top w:val="single" w:sz="6" w:color="D9D9D9"/>
              <w:start w:val="single" w:sz="6" w:color="D9D9D9"/>
              <w:bottom w:val="single" w:sz="6" w:color="D9D9D9"/>
              <w:end w:val="single" w:sz="6" w:color="D9D9D9"/>
              <w:insideH w:val="single" w:sz="6" w:color="D9D9D9"/>
              <w:insideV w:val="single" w:sz="6" w:color="D9D9D9"/>
            </w:tcBorders>
            <w:vAlign w:val="center"/>
          </w:tcPr>
          <w:p>
            <w:pPr>
              <w:spacing w:after="0"/>
              <w:jc w:val="center"/>
            </w:pPr>
            <w:r>
              <w:rPr>
                <w:rFonts w:ascii="Aptos" w:hAnsi="Aptos" w:eastAsia="Aptos"/>
                <w:b/>
                <w:i w:val="0"/>
                <w:color w:val="FFFFFF"/>
                <w:sz w:val="18"/>
              </w:rPr>
              <w:t>Chuỗi EPS</w:t>
            </w:r>
          </w:p>
        </w:tc>
        <w:tc>
          <w:tcPr>
            <w:tcW w:type="dxa" w:w="1440"/>
            <w:shd w:fill="17365D"/>
            <w:tcMar>
              <w:top w:w="100" w:type="dxa"/>
              <w:start w:w="110" w:type="dxa"/>
              <w:bottom w:w="100" w:type="dxa"/>
              <w:end w:w="110" w:type="dxa"/>
            </w:tcMar>
            <w:tcBorders>
              <w:top w:val="single" w:sz="6" w:color="D9D9D9"/>
              <w:start w:val="single" w:sz="6" w:color="D9D9D9"/>
              <w:bottom w:val="single" w:sz="6" w:color="D9D9D9"/>
              <w:end w:val="single" w:sz="6" w:color="D9D9D9"/>
              <w:insideH w:val="single" w:sz="6" w:color="D9D9D9"/>
              <w:insideV w:val="single" w:sz="6" w:color="D9D9D9"/>
            </w:tcBorders>
            <w:vAlign w:val="center"/>
          </w:tcPr>
          <w:p>
            <w:pPr>
              <w:spacing w:after="0"/>
              <w:jc w:val="center"/>
            </w:pPr>
            <w:r>
              <w:rPr>
                <w:rFonts w:ascii="Aptos" w:hAnsi="Aptos" w:eastAsia="Aptos"/>
                <w:b/>
                <w:i w:val="0"/>
                <w:color w:val="FFFFFF"/>
                <w:sz w:val="18"/>
              </w:rPr>
              <w:t>DTBH thuần</w:t>
            </w:r>
          </w:p>
        </w:tc>
        <w:tc>
          <w:tcPr>
            <w:tcW w:type="dxa" w:w="1008"/>
            <w:shd w:fill="17365D"/>
            <w:tcMar>
              <w:top w:w="100" w:type="dxa"/>
              <w:start w:w="110" w:type="dxa"/>
              <w:bottom w:w="100" w:type="dxa"/>
              <w:end w:w="110" w:type="dxa"/>
            </w:tcMar>
            <w:tcBorders>
              <w:top w:val="single" w:sz="6" w:color="D9D9D9"/>
              <w:start w:val="single" w:sz="6" w:color="D9D9D9"/>
              <w:bottom w:val="single" w:sz="6" w:color="D9D9D9"/>
              <w:end w:val="single" w:sz="6" w:color="D9D9D9"/>
              <w:insideH w:val="single" w:sz="6" w:color="D9D9D9"/>
              <w:insideV w:val="single" w:sz="6" w:color="D9D9D9"/>
            </w:tcBorders>
            <w:vAlign w:val="center"/>
          </w:tcPr>
          <w:p>
            <w:pPr>
              <w:spacing w:after="0"/>
              <w:jc w:val="center"/>
            </w:pPr>
            <w:r>
              <w:rPr>
                <w:rFonts w:ascii="Aptos" w:hAnsi="Aptos" w:eastAsia="Aptos"/>
                <w:b/>
                <w:i w:val="0"/>
                <w:color w:val="FFFFFF"/>
                <w:sz w:val="18"/>
              </w:rPr>
              <w:t>ROE</w:t>
            </w:r>
          </w:p>
        </w:tc>
        <w:tc>
          <w:tcPr>
            <w:tcW w:type="dxa" w:w="1224"/>
            <w:shd w:fill="17365D"/>
            <w:tcMar>
              <w:top w:w="100" w:type="dxa"/>
              <w:start w:w="110" w:type="dxa"/>
              <w:bottom w:w="100" w:type="dxa"/>
              <w:end w:w="110" w:type="dxa"/>
            </w:tcMar>
            <w:tcBorders>
              <w:top w:val="single" w:sz="6" w:color="D9D9D9"/>
              <w:start w:val="single" w:sz="6" w:color="D9D9D9"/>
              <w:bottom w:val="single" w:sz="6" w:color="D9D9D9"/>
              <w:end w:val="single" w:sz="6" w:color="D9D9D9"/>
              <w:insideH w:val="single" w:sz="6" w:color="D9D9D9"/>
              <w:insideV w:val="single" w:sz="6" w:color="D9D9D9"/>
            </w:tcBorders>
            <w:vAlign w:val="center"/>
          </w:tcPr>
          <w:p>
            <w:pPr>
              <w:spacing w:after="0"/>
              <w:jc w:val="center"/>
            </w:pPr>
            <w:r>
              <w:rPr>
                <w:rFonts w:ascii="Aptos" w:hAnsi="Aptos" w:eastAsia="Aptos"/>
                <w:b/>
                <w:i w:val="0"/>
                <w:color w:val="FFFFFF"/>
                <w:sz w:val="18"/>
              </w:rPr>
              <w:t>Đệm vốn</w:t>
            </w:r>
          </w:p>
        </w:tc>
        <w:tc>
          <w:tcPr>
            <w:tcW w:type="dxa" w:w="1296"/>
            <w:shd w:fill="17365D"/>
            <w:tcMar>
              <w:top w:w="100" w:type="dxa"/>
              <w:start w:w="110" w:type="dxa"/>
              <w:bottom w:w="100" w:type="dxa"/>
              <w:end w:w="110" w:type="dxa"/>
            </w:tcMar>
            <w:tcBorders>
              <w:top w:val="single" w:sz="6" w:color="D9D9D9"/>
              <w:start w:val="single" w:sz="6" w:color="D9D9D9"/>
              <w:bottom w:val="single" w:sz="6" w:color="D9D9D9"/>
              <w:end w:val="single" w:sz="6" w:color="D9D9D9"/>
              <w:insideH w:val="single" w:sz="6" w:color="D9D9D9"/>
              <w:insideV w:val="single" w:sz="6" w:color="D9D9D9"/>
            </w:tcBorders>
            <w:vAlign w:val="center"/>
          </w:tcPr>
          <w:p>
            <w:pPr>
              <w:spacing w:after="0"/>
              <w:jc w:val="center"/>
            </w:pPr>
            <w:r>
              <w:rPr>
                <w:rFonts w:ascii="Aptos" w:hAnsi="Aptos" w:eastAsia="Aptos"/>
                <w:b/>
                <w:i w:val="0"/>
                <w:color w:val="FFFFFF"/>
                <w:sz w:val="18"/>
              </w:rPr>
              <w:t>Kết quả</w:t>
            </w:r>
          </w:p>
        </w:tc>
      </w:tr>
      <w:tr>
        <w:tc>
          <w:tcPr>
            <w:tcW w:type="dxa" w:w="864"/>
            <w:tcMar>
              <w:top w:w="100" w:type="dxa"/>
              <w:start w:w="110" w:type="dxa"/>
              <w:bottom w:w="100" w:type="dxa"/>
              <w:end w:w="110" w:type="dxa"/>
            </w:tcMar>
            <w:tcBorders>
              <w:top w:val="single" w:sz="6" w:color="D9D9D9"/>
              <w:start w:val="single" w:sz="6" w:color="D9D9D9"/>
              <w:bottom w:val="single" w:sz="6" w:color="D9D9D9"/>
              <w:end w:val="single" w:sz="6" w:color="D9D9D9"/>
              <w:insideH w:val="single" w:sz="6" w:color="D9D9D9"/>
              <w:insideV w:val="single" w:sz="6" w:color="D9D9D9"/>
            </w:tcBorders>
            <w:vAlign w:val="center"/>
          </w:tcPr>
          <w:p>
            <w:pPr>
              <w:spacing w:after="0" w:line="252" w:lineRule="auto"/>
              <w:jc w:val="center"/>
            </w:pPr>
            <w:r>
              <w:rPr>
                <w:rFonts w:ascii="Aptos" w:hAnsi="Aptos" w:eastAsia="Aptos"/>
                <w:b w:val="0"/>
                <w:i w:val="0"/>
                <w:color w:val="000000"/>
                <w:sz w:val="17"/>
              </w:rPr>
              <w:t>XXX</w:t>
            </w:r>
          </w:p>
        </w:tc>
        <w:tc>
          <w:tcPr>
            <w:tcW w:type="dxa" w:w="1080"/>
            <w:tcMar>
              <w:top w:w="100" w:type="dxa"/>
              <w:start w:w="110" w:type="dxa"/>
              <w:bottom w:w="100" w:type="dxa"/>
              <w:end w:w="110" w:type="dxa"/>
            </w:tcMar>
            <w:tcBorders>
              <w:top w:val="single" w:sz="6" w:color="D9D9D9"/>
              <w:start w:val="single" w:sz="6" w:color="D9D9D9"/>
              <w:bottom w:val="single" w:sz="6" w:color="D9D9D9"/>
              <w:end w:val="single" w:sz="6" w:color="D9D9D9"/>
              <w:insideH w:val="single" w:sz="6" w:color="D9D9D9"/>
              <w:insideV w:val="single" w:sz="6" w:color="D9D9D9"/>
            </w:tcBorders>
            <w:vAlign w:val="center"/>
          </w:tcPr>
          <w:p>
            <w:pPr>
              <w:spacing w:after="0" w:line="252" w:lineRule="auto"/>
              <w:jc w:val="left"/>
            </w:pPr>
            <w:r>
              <w:rPr>
                <w:rFonts w:ascii="Aptos" w:hAnsi="Aptos" w:eastAsia="Aptos"/>
                <w:b w:val="0"/>
                <w:i w:val="0"/>
                <w:color w:val="000000"/>
                <w:sz w:val="17"/>
              </w:rPr>
              <w:t>2026Q2</w:t>
            </w:r>
          </w:p>
        </w:tc>
        <w:tc>
          <w:tcPr>
            <w:tcW w:type="dxa" w:w="1080"/>
            <w:tcMar>
              <w:top w:w="100" w:type="dxa"/>
              <w:start w:w="110" w:type="dxa"/>
              <w:bottom w:w="100" w:type="dxa"/>
              <w:end w:w="110" w:type="dxa"/>
            </w:tcMar>
            <w:tcBorders>
              <w:top w:val="single" w:sz="6" w:color="D9D9D9"/>
              <w:start w:val="single" w:sz="6" w:color="D9D9D9"/>
              <w:bottom w:val="single" w:sz="6" w:color="D9D9D9"/>
              <w:end w:val="single" w:sz="6" w:color="D9D9D9"/>
              <w:insideH w:val="single" w:sz="6" w:color="D9D9D9"/>
              <w:insideV w:val="single" w:sz="6" w:color="D9D9D9"/>
            </w:tcBorders>
            <w:vAlign w:val="center"/>
          </w:tcPr>
          <w:p>
            <w:pPr>
              <w:spacing w:after="0" w:line="252" w:lineRule="auto"/>
              <w:jc w:val="left"/>
            </w:pPr>
            <w:r>
              <w:rPr>
                <w:rFonts w:ascii="Aptos" w:hAnsi="Aptos" w:eastAsia="Aptos"/>
                <w:b w:val="0"/>
                <w:i w:val="0"/>
                <w:color w:val="000000"/>
                <w:sz w:val="17"/>
              </w:rPr>
              <w:t>DIRECT</w:t>
            </w:r>
          </w:p>
        </w:tc>
        <w:tc>
          <w:tcPr>
            <w:tcW w:type="dxa" w:w="1224"/>
            <w:tcMar>
              <w:top w:w="100" w:type="dxa"/>
              <w:start w:w="110" w:type="dxa"/>
              <w:bottom w:w="100" w:type="dxa"/>
              <w:end w:w="110" w:type="dxa"/>
            </w:tcMar>
            <w:tcBorders>
              <w:top w:val="single" w:sz="6" w:color="D9D9D9"/>
              <w:start w:val="single" w:sz="6" w:color="D9D9D9"/>
              <w:bottom w:val="single" w:sz="6" w:color="D9D9D9"/>
              <w:end w:val="single" w:sz="6" w:color="D9D9D9"/>
              <w:insideH w:val="single" w:sz="6" w:color="D9D9D9"/>
              <w:insideV w:val="single" w:sz="6" w:color="D9D9D9"/>
            </w:tcBorders>
            <w:vAlign w:val="center"/>
          </w:tcPr>
          <w:p>
            <w:pPr>
              <w:spacing w:after="0" w:line="252" w:lineRule="auto"/>
              <w:jc w:val="left"/>
            </w:pPr>
            <w:r>
              <w:rPr>
                <w:rFonts w:ascii="Aptos" w:hAnsi="Aptos" w:eastAsia="Aptos"/>
                <w:b w:val="0"/>
                <w:i w:val="0"/>
                <w:color w:val="000000"/>
                <w:sz w:val="17"/>
              </w:rPr>
              <w:t>DERIVED</w:t>
            </w:r>
          </w:p>
        </w:tc>
        <w:tc>
          <w:tcPr>
            <w:tcW w:type="dxa" w:w="1440"/>
            <w:tcMar>
              <w:top w:w="100" w:type="dxa"/>
              <w:start w:w="110" w:type="dxa"/>
              <w:bottom w:w="100" w:type="dxa"/>
              <w:end w:w="110" w:type="dxa"/>
            </w:tcMar>
            <w:tcBorders>
              <w:top w:val="single" w:sz="6" w:color="D9D9D9"/>
              <w:start w:val="single" w:sz="6" w:color="D9D9D9"/>
              <w:bottom w:val="single" w:sz="6" w:color="D9D9D9"/>
              <w:end w:val="single" w:sz="6" w:color="D9D9D9"/>
              <w:insideH w:val="single" w:sz="6" w:color="D9D9D9"/>
              <w:insideV w:val="single" w:sz="6" w:color="D9D9D9"/>
            </w:tcBorders>
            <w:vAlign w:val="center"/>
          </w:tcPr>
          <w:p>
            <w:pPr>
              <w:spacing w:after="0" w:line="252" w:lineRule="auto"/>
              <w:jc w:val="left"/>
            </w:pPr>
            <w:r>
              <w:rPr>
                <w:rFonts w:ascii="Aptos" w:hAnsi="Aptos" w:eastAsia="Aptos"/>
                <w:b w:val="0"/>
                <w:i w:val="0"/>
                <w:color w:val="000000"/>
                <w:sz w:val="17"/>
              </w:rPr>
              <w:t>DIRECT</w:t>
            </w:r>
          </w:p>
        </w:tc>
        <w:tc>
          <w:tcPr>
            <w:tcW w:type="dxa" w:w="1008"/>
            <w:tcMar>
              <w:top w:w="100" w:type="dxa"/>
              <w:start w:w="110" w:type="dxa"/>
              <w:bottom w:w="100" w:type="dxa"/>
              <w:end w:w="110" w:type="dxa"/>
            </w:tcMar>
            <w:tcBorders>
              <w:top w:val="single" w:sz="6" w:color="D9D9D9"/>
              <w:start w:val="single" w:sz="6" w:color="D9D9D9"/>
              <w:bottom w:val="single" w:sz="6" w:color="D9D9D9"/>
              <w:end w:val="single" w:sz="6" w:color="D9D9D9"/>
              <w:insideH w:val="single" w:sz="6" w:color="D9D9D9"/>
              <w:insideV w:val="single" w:sz="6" w:color="D9D9D9"/>
            </w:tcBorders>
            <w:vAlign w:val="center"/>
          </w:tcPr>
          <w:p>
            <w:pPr>
              <w:spacing w:after="0" w:line="252" w:lineRule="auto"/>
              <w:jc w:val="left"/>
            </w:pPr>
            <w:r>
              <w:rPr>
                <w:rFonts w:ascii="Aptos" w:hAnsi="Aptos" w:eastAsia="Aptos"/>
                <w:b w:val="0"/>
                <w:i w:val="0"/>
                <w:color w:val="000000"/>
                <w:sz w:val="17"/>
              </w:rPr>
              <w:t>DERIVED</w:t>
            </w:r>
          </w:p>
        </w:tc>
        <w:tc>
          <w:tcPr>
            <w:tcW w:type="dxa" w:w="1224"/>
            <w:tcMar>
              <w:top w:w="100" w:type="dxa"/>
              <w:start w:w="110" w:type="dxa"/>
              <w:bottom w:w="100" w:type="dxa"/>
              <w:end w:w="110" w:type="dxa"/>
            </w:tcMar>
            <w:tcBorders>
              <w:top w:val="single" w:sz="6" w:color="D9D9D9"/>
              <w:start w:val="single" w:sz="6" w:color="D9D9D9"/>
              <w:bottom w:val="single" w:sz="6" w:color="D9D9D9"/>
              <w:end w:val="single" w:sz="6" w:color="D9D9D9"/>
              <w:insideH w:val="single" w:sz="6" w:color="D9D9D9"/>
              <w:insideV w:val="single" w:sz="6" w:color="D9D9D9"/>
            </w:tcBorders>
            <w:vAlign w:val="center"/>
          </w:tcPr>
          <w:p>
            <w:pPr>
              <w:spacing w:after="0" w:line="252" w:lineRule="auto"/>
              <w:jc w:val="left"/>
            </w:pPr>
            <w:r>
              <w:rPr>
                <w:rFonts w:ascii="Aptos" w:hAnsi="Aptos" w:eastAsia="Aptos"/>
                <w:b w:val="0"/>
                <w:i w:val="0"/>
                <w:color w:val="000000"/>
                <w:sz w:val="17"/>
              </w:rPr>
              <w:t>DERIVED</w:t>
            </w:r>
          </w:p>
        </w:tc>
        <w:tc>
          <w:tcPr>
            <w:tcW w:type="dxa" w:w="1296"/>
            <w:tcMar>
              <w:top w:w="100" w:type="dxa"/>
              <w:start w:w="110" w:type="dxa"/>
              <w:bottom w:w="100" w:type="dxa"/>
              <w:end w:w="110" w:type="dxa"/>
            </w:tcMar>
            <w:tcBorders>
              <w:top w:val="single" w:sz="6" w:color="D9D9D9"/>
              <w:start w:val="single" w:sz="6" w:color="D9D9D9"/>
              <w:bottom w:val="single" w:sz="6" w:color="D9D9D9"/>
              <w:end w:val="single" w:sz="6" w:color="D9D9D9"/>
              <w:insideH w:val="single" w:sz="6" w:color="D9D9D9"/>
              <w:insideV w:val="single" w:sz="6" w:color="D9D9D9"/>
            </w:tcBorders>
            <w:vAlign w:val="center"/>
          </w:tcPr>
          <w:p>
            <w:pPr>
              <w:spacing w:after="0" w:line="252" w:lineRule="auto"/>
              <w:jc w:val="left"/>
            </w:pPr>
            <w:r>
              <w:rPr>
                <w:rFonts w:ascii="Aptos" w:hAnsi="Aptos" w:eastAsia="Aptos"/>
                <w:b w:val="0"/>
                <w:i w:val="0"/>
                <w:color w:val="000000"/>
                <w:sz w:val="17"/>
              </w:rPr>
              <w:t>PASS/FAIL</w:t>
            </w:r>
          </w:p>
        </w:tc>
      </w:tr>
    </w:tbl>
    <w:p>
      <w:pPr>
        <w:spacing w:after="20"/>
      </w:pPr>
    </w:p>
    <w:p>
      <w:pPr>
        <w:pStyle w:val="Heading2"/>
        <w:keepNext/>
        <w:spacing w:before="140" w:after="100"/>
      </w:pPr>
      <w:r>
        <w:rPr>
          <w:rFonts w:ascii="Aptos" w:hAnsi="Aptos" w:eastAsia="Aptos"/>
          <w:b/>
          <w:i w:val="0"/>
          <w:color w:val="000000"/>
          <w:sz w:val="24"/>
        </w:rPr>
        <w:t>11.3 Exception report</w:t>
      </w:r>
    </w:p>
    <w:tbl>
      <w:tblPr>
        <w:tblW w:type="auto" w:w="0"/>
        <w:jc w:val="center"/>
        <w:tblLayout w:type="fixed"/>
        <w:tblLook w:firstColumn="1" w:firstRow="1" w:lastColumn="0" w:lastRow="0" w:noHBand="0" w:noVBand="1" w:val="04A0"/>
      </w:tblPr>
      <w:tblGrid>
        <w:gridCol w:w="1461"/>
        <w:gridCol w:w="1461"/>
        <w:gridCol w:w="1461"/>
        <w:gridCol w:w="1461"/>
        <w:gridCol w:w="1461"/>
        <w:gridCol w:w="1461"/>
        <w:gridCol w:w="1461"/>
      </w:tblGrid>
      <w:tr>
        <w:trPr>
          <w:tblHeader w:val="true"/>
        </w:trPr>
        <w:tc>
          <w:tcPr>
            <w:tcW w:type="dxa" w:w="792"/>
            <w:shd w:fill="17365D"/>
            <w:tcMar>
              <w:top w:w="100" w:type="dxa"/>
              <w:start w:w="110" w:type="dxa"/>
              <w:bottom w:w="100" w:type="dxa"/>
              <w:end w:w="110" w:type="dxa"/>
            </w:tcMar>
            <w:tcBorders>
              <w:top w:val="single" w:sz="6" w:color="D9D9D9"/>
              <w:start w:val="single" w:sz="6" w:color="D9D9D9"/>
              <w:bottom w:val="single" w:sz="6" w:color="D9D9D9"/>
              <w:end w:val="single" w:sz="6" w:color="D9D9D9"/>
              <w:insideH w:val="single" w:sz="6" w:color="D9D9D9"/>
              <w:insideV w:val="single" w:sz="6" w:color="D9D9D9"/>
            </w:tcBorders>
            <w:vAlign w:val="center"/>
          </w:tcPr>
          <w:p>
            <w:pPr>
              <w:spacing w:after="0"/>
              <w:jc w:val="center"/>
            </w:pPr>
            <w:r>
              <w:rPr>
                <w:rFonts w:ascii="Aptos" w:hAnsi="Aptos" w:eastAsia="Aptos"/>
                <w:b/>
                <w:i w:val="0"/>
                <w:color w:val="FFFFFF"/>
                <w:sz w:val="18"/>
              </w:rPr>
              <w:t>Mã</w:t>
            </w:r>
          </w:p>
        </w:tc>
        <w:tc>
          <w:tcPr>
            <w:tcW w:type="dxa" w:w="936"/>
            <w:shd w:fill="17365D"/>
            <w:tcMar>
              <w:top w:w="100" w:type="dxa"/>
              <w:start w:w="110" w:type="dxa"/>
              <w:bottom w:w="100" w:type="dxa"/>
              <w:end w:w="110" w:type="dxa"/>
            </w:tcMar>
            <w:tcBorders>
              <w:top w:val="single" w:sz="6" w:color="D9D9D9"/>
              <w:start w:val="single" w:sz="6" w:color="D9D9D9"/>
              <w:bottom w:val="single" w:sz="6" w:color="D9D9D9"/>
              <w:end w:val="single" w:sz="6" w:color="D9D9D9"/>
              <w:insideH w:val="single" w:sz="6" w:color="D9D9D9"/>
              <w:insideV w:val="single" w:sz="6" w:color="D9D9D9"/>
            </w:tcBorders>
            <w:vAlign w:val="center"/>
          </w:tcPr>
          <w:p>
            <w:pPr>
              <w:spacing w:after="0"/>
              <w:jc w:val="center"/>
            </w:pPr>
            <w:r>
              <w:rPr>
                <w:rFonts w:ascii="Aptos" w:hAnsi="Aptos" w:eastAsia="Aptos"/>
                <w:b/>
                <w:i w:val="0"/>
                <w:color w:val="FFFFFF"/>
                <w:sz w:val="18"/>
              </w:rPr>
              <w:t>Quý</w:t>
            </w:r>
          </w:p>
        </w:tc>
        <w:tc>
          <w:tcPr>
            <w:tcW w:type="dxa" w:w="1368"/>
            <w:shd w:fill="17365D"/>
            <w:tcMar>
              <w:top w:w="100" w:type="dxa"/>
              <w:start w:w="110" w:type="dxa"/>
              <w:bottom w:w="100" w:type="dxa"/>
              <w:end w:w="110" w:type="dxa"/>
            </w:tcMar>
            <w:tcBorders>
              <w:top w:val="single" w:sz="6" w:color="D9D9D9"/>
              <w:start w:val="single" w:sz="6" w:color="D9D9D9"/>
              <w:bottom w:val="single" w:sz="6" w:color="D9D9D9"/>
              <w:end w:val="single" w:sz="6" w:color="D9D9D9"/>
              <w:insideH w:val="single" w:sz="6" w:color="D9D9D9"/>
              <w:insideV w:val="single" w:sz="6" w:color="D9D9D9"/>
            </w:tcBorders>
            <w:vAlign w:val="center"/>
          </w:tcPr>
          <w:p>
            <w:pPr>
              <w:spacing w:after="0"/>
              <w:jc w:val="center"/>
            </w:pPr>
            <w:r>
              <w:rPr>
                <w:rFonts w:ascii="Aptos" w:hAnsi="Aptos" w:eastAsia="Aptos"/>
                <w:b/>
                <w:i w:val="0"/>
                <w:color w:val="FFFFFF"/>
                <w:sz w:val="18"/>
              </w:rPr>
              <w:t>Trường lỗi</w:t>
            </w:r>
          </w:p>
        </w:tc>
        <w:tc>
          <w:tcPr>
            <w:tcW w:type="dxa" w:w="1512"/>
            <w:shd w:fill="17365D"/>
            <w:tcMar>
              <w:top w:w="100" w:type="dxa"/>
              <w:start w:w="110" w:type="dxa"/>
              <w:bottom w:w="100" w:type="dxa"/>
              <w:end w:w="110" w:type="dxa"/>
            </w:tcMar>
            <w:tcBorders>
              <w:top w:val="single" w:sz="6" w:color="D9D9D9"/>
              <w:start w:val="single" w:sz="6" w:color="D9D9D9"/>
              <w:bottom w:val="single" w:sz="6" w:color="D9D9D9"/>
              <w:end w:val="single" w:sz="6" w:color="D9D9D9"/>
              <w:insideH w:val="single" w:sz="6" w:color="D9D9D9"/>
              <w:insideV w:val="single" w:sz="6" w:color="D9D9D9"/>
            </w:tcBorders>
            <w:vAlign w:val="center"/>
          </w:tcPr>
          <w:p>
            <w:pPr>
              <w:spacing w:after="0"/>
              <w:jc w:val="center"/>
            </w:pPr>
            <w:r>
              <w:rPr>
                <w:rFonts w:ascii="Aptos" w:hAnsi="Aptos" w:eastAsia="Aptos"/>
                <w:b/>
                <w:i w:val="0"/>
                <w:color w:val="FFFFFF"/>
                <w:sz w:val="18"/>
              </w:rPr>
              <w:t>Loại lỗi</w:t>
            </w:r>
          </w:p>
        </w:tc>
        <w:tc>
          <w:tcPr>
            <w:tcW w:type="dxa" w:w="1944"/>
            <w:shd w:fill="17365D"/>
            <w:tcMar>
              <w:top w:w="100" w:type="dxa"/>
              <w:start w:w="110" w:type="dxa"/>
              <w:bottom w:w="100" w:type="dxa"/>
              <w:end w:w="110" w:type="dxa"/>
            </w:tcMar>
            <w:tcBorders>
              <w:top w:val="single" w:sz="6" w:color="D9D9D9"/>
              <w:start w:val="single" w:sz="6" w:color="D9D9D9"/>
              <w:bottom w:val="single" w:sz="6" w:color="D9D9D9"/>
              <w:end w:val="single" w:sz="6" w:color="D9D9D9"/>
              <w:insideH w:val="single" w:sz="6" w:color="D9D9D9"/>
              <w:insideV w:val="single" w:sz="6" w:color="D9D9D9"/>
            </w:tcBorders>
            <w:vAlign w:val="center"/>
          </w:tcPr>
          <w:p>
            <w:pPr>
              <w:spacing w:after="0"/>
              <w:jc w:val="center"/>
            </w:pPr>
            <w:r>
              <w:rPr>
                <w:rFonts w:ascii="Aptos" w:hAnsi="Aptos" w:eastAsia="Aptos"/>
                <w:b/>
                <w:i w:val="0"/>
                <w:color w:val="FFFFFF"/>
                <w:sz w:val="18"/>
              </w:rPr>
              <w:t>Nhãn dòng tìm thấy</w:t>
            </w:r>
          </w:p>
        </w:tc>
        <w:tc>
          <w:tcPr>
            <w:tcW w:type="dxa" w:w="2160"/>
            <w:shd w:fill="17365D"/>
            <w:tcMar>
              <w:top w:w="100" w:type="dxa"/>
              <w:start w:w="110" w:type="dxa"/>
              <w:bottom w:w="100" w:type="dxa"/>
              <w:end w:w="110" w:type="dxa"/>
            </w:tcMar>
            <w:tcBorders>
              <w:top w:val="single" w:sz="6" w:color="D9D9D9"/>
              <w:start w:val="single" w:sz="6" w:color="D9D9D9"/>
              <w:bottom w:val="single" w:sz="6" w:color="D9D9D9"/>
              <w:end w:val="single" w:sz="6" w:color="D9D9D9"/>
              <w:insideH w:val="single" w:sz="6" w:color="D9D9D9"/>
              <w:insideV w:val="single" w:sz="6" w:color="D9D9D9"/>
            </w:tcBorders>
            <w:vAlign w:val="center"/>
          </w:tcPr>
          <w:p>
            <w:pPr>
              <w:spacing w:after="0"/>
              <w:jc w:val="center"/>
            </w:pPr>
            <w:r>
              <w:rPr>
                <w:rFonts w:ascii="Aptos" w:hAnsi="Aptos" w:eastAsia="Aptos"/>
                <w:b/>
                <w:i w:val="0"/>
                <w:color w:val="FFFFFF"/>
                <w:sz w:val="18"/>
              </w:rPr>
              <w:t>Giải thích</w:t>
            </w:r>
          </w:p>
        </w:tc>
        <w:tc>
          <w:tcPr>
            <w:tcW w:type="dxa" w:w="1800"/>
            <w:shd w:fill="17365D"/>
            <w:tcMar>
              <w:top w:w="100" w:type="dxa"/>
              <w:start w:w="110" w:type="dxa"/>
              <w:bottom w:w="100" w:type="dxa"/>
              <w:end w:w="110" w:type="dxa"/>
            </w:tcMar>
            <w:tcBorders>
              <w:top w:val="single" w:sz="6" w:color="D9D9D9"/>
              <w:start w:val="single" w:sz="6" w:color="D9D9D9"/>
              <w:bottom w:val="single" w:sz="6" w:color="D9D9D9"/>
              <w:end w:val="single" w:sz="6" w:color="D9D9D9"/>
              <w:insideH w:val="single" w:sz="6" w:color="D9D9D9"/>
              <w:insideV w:val="single" w:sz="6" w:color="D9D9D9"/>
            </w:tcBorders>
            <w:vAlign w:val="center"/>
          </w:tcPr>
          <w:p>
            <w:pPr>
              <w:spacing w:after="0"/>
              <w:jc w:val="center"/>
            </w:pPr>
            <w:r>
              <w:rPr>
                <w:rFonts w:ascii="Aptos" w:hAnsi="Aptos" w:eastAsia="Aptos"/>
                <w:b/>
                <w:i w:val="0"/>
                <w:color w:val="FFFFFF"/>
                <w:sz w:val="18"/>
              </w:rPr>
              <w:t>Đề xuất xử lý</w:t>
            </w:r>
          </w:p>
        </w:tc>
      </w:tr>
      <w:tr>
        <w:tc>
          <w:tcPr>
            <w:tcW w:type="dxa" w:w="792"/>
            <w:tcMar>
              <w:top w:w="100" w:type="dxa"/>
              <w:start w:w="110" w:type="dxa"/>
              <w:bottom w:w="100" w:type="dxa"/>
              <w:end w:w="110" w:type="dxa"/>
            </w:tcMar>
            <w:tcBorders>
              <w:top w:val="single" w:sz="6" w:color="D9D9D9"/>
              <w:start w:val="single" w:sz="6" w:color="D9D9D9"/>
              <w:bottom w:val="single" w:sz="6" w:color="D9D9D9"/>
              <w:end w:val="single" w:sz="6" w:color="D9D9D9"/>
              <w:insideH w:val="single" w:sz="6" w:color="D9D9D9"/>
              <w:insideV w:val="single" w:sz="6" w:color="D9D9D9"/>
            </w:tcBorders>
            <w:vAlign w:val="center"/>
          </w:tcPr>
          <w:p>
            <w:pPr>
              <w:spacing w:after="0" w:line="252" w:lineRule="auto"/>
              <w:jc w:val="center"/>
            </w:pPr>
            <w:r>
              <w:rPr>
                <w:rFonts w:ascii="Aptos" w:hAnsi="Aptos" w:eastAsia="Aptos"/>
                <w:b w:val="0"/>
                <w:i w:val="0"/>
                <w:color w:val="000000"/>
                <w:sz w:val="16"/>
              </w:rPr>
            </w:r>
          </w:p>
        </w:tc>
        <w:tc>
          <w:tcPr>
            <w:tcW w:type="dxa" w:w="936"/>
            <w:tcMar>
              <w:top w:w="100" w:type="dxa"/>
              <w:start w:w="110" w:type="dxa"/>
              <w:bottom w:w="100" w:type="dxa"/>
              <w:end w:w="110" w:type="dxa"/>
            </w:tcMar>
            <w:tcBorders>
              <w:top w:val="single" w:sz="6" w:color="D9D9D9"/>
              <w:start w:val="single" w:sz="6" w:color="D9D9D9"/>
              <w:bottom w:val="single" w:sz="6" w:color="D9D9D9"/>
              <w:end w:val="single" w:sz="6" w:color="D9D9D9"/>
              <w:insideH w:val="single" w:sz="6" w:color="D9D9D9"/>
              <w:insideV w:val="single" w:sz="6" w:color="D9D9D9"/>
            </w:tcBorders>
            <w:vAlign w:val="center"/>
          </w:tcPr>
          <w:p>
            <w:pPr>
              <w:spacing w:after="0" w:line="252" w:lineRule="auto"/>
              <w:jc w:val="left"/>
            </w:pPr>
            <w:r>
              <w:rPr>
                <w:rFonts w:ascii="Aptos" w:hAnsi="Aptos" w:eastAsia="Aptos"/>
                <w:b w:val="0"/>
                <w:i w:val="0"/>
                <w:color w:val="000000"/>
                <w:sz w:val="16"/>
              </w:rPr>
            </w:r>
          </w:p>
        </w:tc>
        <w:tc>
          <w:tcPr>
            <w:tcW w:type="dxa" w:w="1368"/>
            <w:tcMar>
              <w:top w:w="100" w:type="dxa"/>
              <w:start w:w="110" w:type="dxa"/>
              <w:bottom w:w="100" w:type="dxa"/>
              <w:end w:w="110" w:type="dxa"/>
            </w:tcMar>
            <w:tcBorders>
              <w:top w:val="single" w:sz="6" w:color="D9D9D9"/>
              <w:start w:val="single" w:sz="6" w:color="D9D9D9"/>
              <w:bottom w:val="single" w:sz="6" w:color="D9D9D9"/>
              <w:end w:val="single" w:sz="6" w:color="D9D9D9"/>
              <w:insideH w:val="single" w:sz="6" w:color="D9D9D9"/>
              <w:insideV w:val="single" w:sz="6" w:color="D9D9D9"/>
            </w:tcBorders>
            <w:vAlign w:val="center"/>
          </w:tcPr>
          <w:p>
            <w:pPr>
              <w:spacing w:after="0" w:line="252" w:lineRule="auto"/>
              <w:jc w:val="left"/>
            </w:pPr>
            <w:r>
              <w:rPr>
                <w:rFonts w:ascii="Aptos" w:hAnsi="Aptos" w:eastAsia="Aptos"/>
                <w:b w:val="0"/>
                <w:i w:val="0"/>
                <w:color w:val="000000"/>
                <w:sz w:val="16"/>
              </w:rPr>
            </w:r>
          </w:p>
        </w:tc>
        <w:tc>
          <w:tcPr>
            <w:tcW w:type="dxa" w:w="1512"/>
            <w:tcMar>
              <w:top w:w="100" w:type="dxa"/>
              <w:start w:w="110" w:type="dxa"/>
              <w:bottom w:w="100" w:type="dxa"/>
              <w:end w:w="110" w:type="dxa"/>
            </w:tcMar>
            <w:tcBorders>
              <w:top w:val="single" w:sz="6" w:color="D9D9D9"/>
              <w:start w:val="single" w:sz="6" w:color="D9D9D9"/>
              <w:bottom w:val="single" w:sz="6" w:color="D9D9D9"/>
              <w:end w:val="single" w:sz="6" w:color="D9D9D9"/>
              <w:insideH w:val="single" w:sz="6" w:color="D9D9D9"/>
              <w:insideV w:val="single" w:sz="6" w:color="D9D9D9"/>
            </w:tcBorders>
            <w:vAlign w:val="center"/>
          </w:tcPr>
          <w:p>
            <w:pPr>
              <w:spacing w:after="0" w:line="252" w:lineRule="auto"/>
              <w:jc w:val="left"/>
            </w:pPr>
            <w:r>
              <w:rPr>
                <w:rFonts w:ascii="Aptos" w:hAnsi="Aptos" w:eastAsia="Aptos"/>
                <w:b w:val="0"/>
                <w:i w:val="0"/>
                <w:color w:val="000000"/>
                <w:sz w:val="16"/>
              </w:rPr>
              <w:t>FAIL_DATA hoặc FAIL_MAPPING</w:t>
            </w:r>
          </w:p>
        </w:tc>
        <w:tc>
          <w:tcPr>
            <w:tcW w:type="dxa" w:w="1944"/>
            <w:tcMar>
              <w:top w:w="100" w:type="dxa"/>
              <w:start w:w="110" w:type="dxa"/>
              <w:bottom w:w="100" w:type="dxa"/>
              <w:end w:w="110" w:type="dxa"/>
            </w:tcMar>
            <w:tcBorders>
              <w:top w:val="single" w:sz="6" w:color="D9D9D9"/>
              <w:start w:val="single" w:sz="6" w:color="D9D9D9"/>
              <w:bottom w:val="single" w:sz="6" w:color="D9D9D9"/>
              <w:end w:val="single" w:sz="6" w:color="D9D9D9"/>
              <w:insideH w:val="single" w:sz="6" w:color="D9D9D9"/>
              <w:insideV w:val="single" w:sz="6" w:color="D9D9D9"/>
            </w:tcBorders>
            <w:vAlign w:val="center"/>
          </w:tcPr>
          <w:p>
            <w:pPr>
              <w:spacing w:after="0" w:line="252" w:lineRule="auto"/>
              <w:jc w:val="left"/>
            </w:pPr>
            <w:r>
              <w:rPr>
                <w:rFonts w:ascii="Aptos" w:hAnsi="Aptos" w:eastAsia="Aptos"/>
                <w:b w:val="0"/>
                <w:i w:val="0"/>
                <w:color w:val="000000"/>
                <w:sz w:val="16"/>
              </w:rPr>
            </w:r>
          </w:p>
        </w:tc>
        <w:tc>
          <w:tcPr>
            <w:tcW w:type="dxa" w:w="2160"/>
            <w:tcMar>
              <w:top w:w="100" w:type="dxa"/>
              <w:start w:w="110" w:type="dxa"/>
              <w:bottom w:w="100" w:type="dxa"/>
              <w:end w:w="110" w:type="dxa"/>
            </w:tcMar>
            <w:tcBorders>
              <w:top w:val="single" w:sz="6" w:color="D9D9D9"/>
              <w:start w:val="single" w:sz="6" w:color="D9D9D9"/>
              <w:bottom w:val="single" w:sz="6" w:color="D9D9D9"/>
              <w:end w:val="single" w:sz="6" w:color="D9D9D9"/>
              <w:insideH w:val="single" w:sz="6" w:color="D9D9D9"/>
              <w:insideV w:val="single" w:sz="6" w:color="D9D9D9"/>
            </w:tcBorders>
            <w:vAlign w:val="center"/>
          </w:tcPr>
          <w:p>
            <w:pPr>
              <w:spacing w:after="0" w:line="252" w:lineRule="auto"/>
              <w:jc w:val="left"/>
            </w:pPr>
            <w:r>
              <w:rPr>
                <w:rFonts w:ascii="Aptos" w:hAnsi="Aptos" w:eastAsia="Aptos"/>
                <w:b w:val="0"/>
                <w:i w:val="0"/>
                <w:color w:val="000000"/>
                <w:sz w:val="16"/>
              </w:rPr>
            </w:r>
          </w:p>
        </w:tc>
        <w:tc>
          <w:tcPr>
            <w:tcW w:type="dxa" w:w="1800"/>
            <w:tcMar>
              <w:top w:w="100" w:type="dxa"/>
              <w:start w:w="110" w:type="dxa"/>
              <w:bottom w:w="100" w:type="dxa"/>
              <w:end w:w="110" w:type="dxa"/>
            </w:tcMar>
            <w:tcBorders>
              <w:top w:val="single" w:sz="6" w:color="D9D9D9"/>
              <w:start w:val="single" w:sz="6" w:color="D9D9D9"/>
              <w:bottom w:val="single" w:sz="6" w:color="D9D9D9"/>
              <w:end w:val="single" w:sz="6" w:color="D9D9D9"/>
              <w:insideH w:val="single" w:sz="6" w:color="D9D9D9"/>
              <w:insideV w:val="single" w:sz="6" w:color="D9D9D9"/>
            </w:tcBorders>
            <w:vAlign w:val="center"/>
          </w:tcPr>
          <w:p>
            <w:pPr>
              <w:spacing w:after="0" w:line="252" w:lineRule="auto"/>
              <w:jc w:val="left"/>
            </w:pPr>
            <w:r>
              <w:rPr>
                <w:rFonts w:ascii="Aptos" w:hAnsi="Aptos" w:eastAsia="Aptos"/>
                <w:b w:val="0"/>
                <w:i w:val="0"/>
                <w:color w:val="000000"/>
                <w:sz w:val="16"/>
              </w:rPr>
            </w:r>
          </w:p>
        </w:tc>
      </w:tr>
    </w:tbl>
    <w:p>
      <w:pPr>
        <w:spacing w:after="20"/>
      </w:pPr>
    </w:p>
    <w:p>
      <w:pPr>
        <w:pStyle w:val="Heading2"/>
        <w:keepNext/>
        <w:spacing w:before="140" w:after="100"/>
      </w:pPr>
      <w:r>
        <w:rPr>
          <w:rFonts w:ascii="Aptos" w:hAnsi="Aptos" w:eastAsia="Aptos"/>
          <w:b/>
          <w:i w:val="0"/>
          <w:color w:val="000000"/>
          <w:sz w:val="24"/>
        </w:rPr>
        <w:t>11.4 Điều kiện nghiệm thu dữ liệu</w:t>
      </w:r>
    </w:p>
    <w:p>
      <w:pPr>
        <w:pStyle w:val="ListBullet"/>
        <w:spacing w:after="60" w:line="259" w:lineRule="auto"/>
      </w:pPr>
      <w:r>
        <w:rPr>
          <w:rFonts w:ascii="Aptos" w:hAnsi="Aptos" w:eastAsia="Aptos"/>
          <w:b w:val="0"/>
          <w:i w:val="0"/>
          <w:color w:val="000000"/>
          <w:sz w:val="21"/>
        </w:rPr>
        <w:t>Không còn FAIL_DATA hoặc FAIL_MAPPING ở các kỳ bắt buộc của universe được duyệt.</w:t>
      </w:r>
    </w:p>
    <w:p>
      <w:pPr>
        <w:pStyle w:val="ListBullet"/>
        <w:spacing w:after="60" w:line="259" w:lineRule="auto"/>
      </w:pPr>
      <w:r>
        <w:rPr>
          <w:rFonts w:ascii="Aptos" w:hAnsi="Aptos" w:eastAsia="Aptos"/>
          <w:b w:val="0"/>
          <w:i w:val="0"/>
          <w:color w:val="000000"/>
          <w:sz w:val="21"/>
        </w:rPr>
        <w:t>100% giá trị DERIVED có công thức và số đầu vào truy vết được.</w:t>
      </w:r>
    </w:p>
    <w:p>
      <w:pPr>
        <w:pStyle w:val="ListBullet"/>
        <w:spacing w:after="60" w:line="259" w:lineRule="auto"/>
      </w:pPr>
      <w:r>
        <w:rPr>
          <w:rFonts w:ascii="Aptos" w:hAnsi="Aptos" w:eastAsia="Aptos"/>
          <w:b w:val="0"/>
          <w:i w:val="0"/>
          <w:color w:val="000000"/>
          <w:sz w:val="21"/>
        </w:rPr>
        <w:t>Các số quý tách từ lũy kế đối chiếu đúng với số cả năm/lũy kế.</w:t>
      </w:r>
    </w:p>
    <w:p>
      <w:pPr>
        <w:pStyle w:val="ListBullet"/>
        <w:spacing w:after="60" w:line="259" w:lineRule="auto"/>
      </w:pPr>
      <w:r>
        <w:rPr>
          <w:rFonts w:ascii="Aptos" w:hAnsi="Aptos" w:eastAsia="Aptos"/>
          <w:b w:val="0"/>
          <w:i w:val="0"/>
          <w:color w:val="000000"/>
          <w:sz w:val="21"/>
        </w:rPr>
        <w:t>Kết quả EPS và thang điểm dùng đúng engine bảng Sản xuất.</w:t>
      </w:r>
    </w:p>
    <w:p>
      <w:pPr>
        <w:pStyle w:val="ListBullet"/>
        <w:spacing w:after="60" w:line="259" w:lineRule="auto"/>
      </w:pPr>
      <w:r>
        <w:rPr>
          <w:rFonts w:ascii="Aptos" w:hAnsi="Aptos" w:eastAsia="Aptos"/>
          <w:b w:val="0"/>
          <w:i w:val="0"/>
          <w:color w:val="000000"/>
          <w:sz w:val="21"/>
        </w:rPr>
        <w:t>Dòng Doanh thu bảo hiểm thuần được mapping cùng bản chất kinh tế.</w:t>
      </w:r>
    </w:p>
    <w:p>
      <w:pPr>
        <w:pStyle w:val="ListBullet"/>
        <w:spacing w:after="60" w:line="259" w:lineRule="auto"/>
      </w:pPr>
      <w:r>
        <w:rPr>
          <w:rFonts w:ascii="Aptos" w:hAnsi="Aptos" w:eastAsia="Aptos"/>
          <w:b w:val="0"/>
          <w:i w:val="0"/>
          <w:color w:val="000000"/>
          <w:sz w:val="21"/>
        </w:rPr>
        <w:t>ROE dùng đúng phạm vi lợi nhuận và vốn của cổ đông công ty mẹ.</w:t>
      </w:r>
    </w:p>
    <w:p>
      <w:pPr>
        <w:pStyle w:val="ListBullet"/>
        <w:spacing w:after="60" w:line="259" w:lineRule="auto"/>
      </w:pPr>
      <w:r>
        <w:rPr>
          <w:rFonts w:ascii="Aptos" w:hAnsi="Aptos" w:eastAsia="Aptos"/>
          <w:b w:val="0"/>
          <w:i w:val="0"/>
          <w:color w:val="000000"/>
          <w:sz w:val="21"/>
        </w:rPr>
        <w:t>Đệm vốn dùng tổng VCSH và tổng dự phòng cùng phạm vi hợp nhất.</w:t>
      </w:r>
    </w:p>
    <w:p>
      <w:pPr>
        <w:pStyle w:val="ListBullet"/>
        <w:spacing w:after="60" w:line="259" w:lineRule="auto"/>
      </w:pPr>
      <w:r>
        <w:rPr>
          <w:rFonts w:ascii="Aptos" w:hAnsi="Aptos" w:eastAsia="Aptos"/>
          <w:b w:val="0"/>
          <w:i w:val="0"/>
          <w:color w:val="000000"/>
          <w:sz w:val="21"/>
        </w:rPr>
        <w:t>Ngưỡng cảnh báo doanh thu/vốn và ngưỡng điểm đệm vốn chỉ được kích hoạt sau khi nhóm nghiệp vụ duyệt phân phối dữ liệu.</w:t>
      </w:r>
    </w:p>
    <w:p>
      <w:r>
        <w:br w:type="page"/>
      </w:r>
    </w:p>
    <w:p>
      <w:pPr>
        <w:pStyle w:val="Heading1"/>
        <w:keepNext/>
        <w:spacing w:before="200" w:after="100"/>
      </w:pPr>
      <w:r>
        <w:rPr>
          <w:rFonts w:ascii="Aptos" w:hAnsi="Aptos" w:eastAsia="Aptos"/>
          <w:b/>
          <w:i w:val="0"/>
          <w:color w:val="000000"/>
          <w:sz w:val="30"/>
        </w:rPr>
        <w:t>12 Bộ tình huống kiểm thử tối thiểu</w:t>
      </w:r>
    </w:p>
    <w:tbl>
      <w:tblPr>
        <w:tblW w:type="auto" w:w="0"/>
        <w:jc w:val="center"/>
        <w:tblLayout w:type="fixed"/>
        <w:tblLook w:firstColumn="1" w:firstRow="1" w:lastColumn="0" w:lastRow="0" w:noHBand="0" w:noVBand="1" w:val="04A0"/>
      </w:tblPr>
      <w:tblGrid>
        <w:gridCol w:w="3408"/>
        <w:gridCol w:w="3408"/>
        <w:gridCol w:w="3408"/>
      </w:tblGrid>
      <w:tr>
        <w:trPr>
          <w:tblHeader w:val="true"/>
        </w:trPr>
        <w:tc>
          <w:tcPr>
            <w:tcW w:type="dxa" w:w="720"/>
            <w:shd w:fill="17365D"/>
            <w:tcMar>
              <w:top w:w="100" w:type="dxa"/>
              <w:start w:w="110" w:type="dxa"/>
              <w:bottom w:w="100" w:type="dxa"/>
              <w:end w:w="110" w:type="dxa"/>
            </w:tcMar>
            <w:tcBorders>
              <w:top w:val="single" w:sz="6" w:color="D9D9D9"/>
              <w:start w:val="single" w:sz="6" w:color="D9D9D9"/>
              <w:bottom w:val="single" w:sz="6" w:color="D9D9D9"/>
              <w:end w:val="single" w:sz="6" w:color="D9D9D9"/>
              <w:insideH w:val="single" w:sz="6" w:color="D9D9D9"/>
              <w:insideV w:val="single" w:sz="6" w:color="D9D9D9"/>
            </w:tcBorders>
            <w:vAlign w:val="center"/>
          </w:tcPr>
          <w:p>
            <w:pPr>
              <w:spacing w:after="0"/>
              <w:jc w:val="center"/>
            </w:pPr>
            <w:r>
              <w:rPr>
                <w:rFonts w:ascii="Aptos" w:hAnsi="Aptos" w:eastAsia="Aptos"/>
                <w:b/>
                <w:i w:val="0"/>
                <w:color w:val="FFFFFF"/>
                <w:sz w:val="18"/>
              </w:rPr>
              <w:t>ID</w:t>
            </w:r>
          </w:p>
        </w:tc>
        <w:tc>
          <w:tcPr>
            <w:tcW w:type="dxa" w:w="4752"/>
            <w:shd w:fill="17365D"/>
            <w:tcMar>
              <w:top w:w="100" w:type="dxa"/>
              <w:start w:w="110" w:type="dxa"/>
              <w:bottom w:w="100" w:type="dxa"/>
              <w:end w:w="110" w:type="dxa"/>
            </w:tcMar>
            <w:tcBorders>
              <w:top w:val="single" w:sz="6" w:color="D9D9D9"/>
              <w:start w:val="single" w:sz="6" w:color="D9D9D9"/>
              <w:bottom w:val="single" w:sz="6" w:color="D9D9D9"/>
              <w:end w:val="single" w:sz="6" w:color="D9D9D9"/>
              <w:insideH w:val="single" w:sz="6" w:color="D9D9D9"/>
              <w:insideV w:val="single" w:sz="6" w:color="D9D9D9"/>
            </w:tcBorders>
            <w:vAlign w:val="center"/>
          </w:tcPr>
          <w:p>
            <w:pPr>
              <w:spacing w:after="0"/>
              <w:jc w:val="center"/>
            </w:pPr>
            <w:r>
              <w:rPr>
                <w:rFonts w:ascii="Aptos" w:hAnsi="Aptos" w:eastAsia="Aptos"/>
                <w:b/>
                <w:i w:val="0"/>
                <w:color w:val="FFFFFF"/>
                <w:sz w:val="18"/>
              </w:rPr>
              <w:t>Tình huống</w:t>
            </w:r>
          </w:p>
        </w:tc>
        <w:tc>
          <w:tcPr>
            <w:tcW w:type="dxa" w:w="4608"/>
            <w:shd w:fill="17365D"/>
            <w:tcMar>
              <w:top w:w="100" w:type="dxa"/>
              <w:start w:w="110" w:type="dxa"/>
              <w:bottom w:w="100" w:type="dxa"/>
              <w:end w:w="110" w:type="dxa"/>
            </w:tcMar>
            <w:tcBorders>
              <w:top w:val="single" w:sz="6" w:color="D9D9D9"/>
              <w:start w:val="single" w:sz="6" w:color="D9D9D9"/>
              <w:bottom w:val="single" w:sz="6" w:color="D9D9D9"/>
              <w:end w:val="single" w:sz="6" w:color="D9D9D9"/>
              <w:insideH w:val="single" w:sz="6" w:color="D9D9D9"/>
              <w:insideV w:val="single" w:sz="6" w:color="D9D9D9"/>
            </w:tcBorders>
            <w:vAlign w:val="center"/>
          </w:tcPr>
          <w:p>
            <w:pPr>
              <w:spacing w:after="0"/>
              <w:jc w:val="center"/>
            </w:pPr>
            <w:r>
              <w:rPr>
                <w:rFonts w:ascii="Aptos" w:hAnsi="Aptos" w:eastAsia="Aptos"/>
                <w:b/>
                <w:i w:val="0"/>
                <w:color w:val="FFFFFF"/>
                <w:sz w:val="18"/>
              </w:rPr>
              <w:t>Kết quả mong đợi</w:t>
            </w:r>
          </w:p>
        </w:tc>
      </w:tr>
      <w:tr>
        <w:tc>
          <w:tcPr>
            <w:tcW w:type="dxa" w:w="720"/>
            <w:tcMar>
              <w:top w:w="100" w:type="dxa"/>
              <w:start w:w="110" w:type="dxa"/>
              <w:bottom w:w="100" w:type="dxa"/>
              <w:end w:w="110" w:type="dxa"/>
            </w:tcMar>
            <w:tcBorders>
              <w:top w:val="single" w:sz="6" w:color="D9D9D9"/>
              <w:start w:val="single" w:sz="6" w:color="D9D9D9"/>
              <w:bottom w:val="single" w:sz="6" w:color="D9D9D9"/>
              <w:end w:val="single" w:sz="6" w:color="D9D9D9"/>
              <w:insideH w:val="single" w:sz="6" w:color="D9D9D9"/>
              <w:insideV w:val="single" w:sz="6" w:color="D9D9D9"/>
            </w:tcBorders>
            <w:vAlign w:val="center"/>
          </w:tcPr>
          <w:p>
            <w:pPr>
              <w:spacing w:after="0" w:line="252" w:lineRule="auto"/>
              <w:jc w:val="center"/>
            </w:pPr>
            <w:r>
              <w:rPr>
                <w:rFonts w:ascii="Aptos" w:hAnsi="Aptos" w:eastAsia="Aptos"/>
                <w:b w:val="0"/>
                <w:i w:val="0"/>
                <w:color w:val="000000"/>
                <w:sz w:val="17"/>
              </w:rPr>
              <w:t>T01</w:t>
            </w:r>
          </w:p>
        </w:tc>
        <w:tc>
          <w:tcPr>
            <w:tcW w:type="dxa" w:w="4752"/>
            <w:tcMar>
              <w:top w:w="100" w:type="dxa"/>
              <w:start w:w="110" w:type="dxa"/>
              <w:bottom w:w="100" w:type="dxa"/>
              <w:end w:w="110" w:type="dxa"/>
            </w:tcMar>
            <w:tcBorders>
              <w:top w:val="single" w:sz="6" w:color="D9D9D9"/>
              <w:start w:val="single" w:sz="6" w:color="D9D9D9"/>
              <w:bottom w:val="single" w:sz="6" w:color="D9D9D9"/>
              <w:end w:val="single" w:sz="6" w:color="D9D9D9"/>
              <w:insideH w:val="single" w:sz="6" w:color="D9D9D9"/>
              <w:insideV w:val="single" w:sz="6" w:color="D9D9D9"/>
            </w:tcBorders>
            <w:vAlign w:val="center"/>
          </w:tcPr>
          <w:p>
            <w:pPr>
              <w:spacing w:after="0" w:line="252" w:lineRule="auto"/>
              <w:jc w:val="left"/>
            </w:pPr>
            <w:r>
              <w:rPr>
                <w:rFonts w:ascii="Aptos" w:hAnsi="Aptos" w:eastAsia="Aptos"/>
                <w:b w:val="0"/>
                <w:i w:val="0"/>
                <w:color w:val="000000"/>
                <w:sz w:val="17"/>
              </w:rPr>
              <w:t>EPS hai kỳ đều dương và tăng.</w:t>
            </w:r>
          </w:p>
        </w:tc>
        <w:tc>
          <w:tcPr>
            <w:tcW w:type="dxa" w:w="4608"/>
            <w:tcMar>
              <w:top w:w="100" w:type="dxa"/>
              <w:start w:w="110" w:type="dxa"/>
              <w:bottom w:w="100" w:type="dxa"/>
              <w:end w:w="110" w:type="dxa"/>
            </w:tcMar>
            <w:tcBorders>
              <w:top w:val="single" w:sz="6" w:color="D9D9D9"/>
              <w:start w:val="single" w:sz="6" w:color="D9D9D9"/>
              <w:bottom w:val="single" w:sz="6" w:color="D9D9D9"/>
              <w:end w:val="single" w:sz="6" w:color="D9D9D9"/>
              <w:insideH w:val="single" w:sz="6" w:color="D9D9D9"/>
              <w:insideV w:val="single" w:sz="6" w:color="D9D9D9"/>
            </w:tcBorders>
            <w:vAlign w:val="center"/>
          </w:tcPr>
          <w:p>
            <w:pPr>
              <w:spacing w:after="0" w:line="252" w:lineRule="auto"/>
              <w:jc w:val="left"/>
            </w:pPr>
            <w:r>
              <w:rPr>
                <w:rFonts w:ascii="Aptos" w:hAnsi="Aptos" w:eastAsia="Aptos"/>
                <w:b w:val="0"/>
                <w:i w:val="0"/>
                <w:color w:val="000000"/>
                <w:sz w:val="17"/>
              </w:rPr>
              <w:t>Tính YoY thông thường; điểm khớp bảng Sản xuất.</w:t>
            </w:r>
          </w:p>
        </w:tc>
      </w:tr>
      <w:tr>
        <w:tc>
          <w:tcPr>
            <w:tcW w:type="dxa" w:w="720"/>
            <w:shd w:fill="F4F7FA"/>
            <w:tcMar>
              <w:top w:w="100" w:type="dxa"/>
              <w:start w:w="110" w:type="dxa"/>
              <w:bottom w:w="100" w:type="dxa"/>
              <w:end w:w="110" w:type="dxa"/>
            </w:tcMar>
            <w:tcBorders>
              <w:top w:val="single" w:sz="6" w:color="D9D9D9"/>
              <w:start w:val="single" w:sz="6" w:color="D9D9D9"/>
              <w:bottom w:val="single" w:sz="6" w:color="D9D9D9"/>
              <w:end w:val="single" w:sz="6" w:color="D9D9D9"/>
              <w:insideH w:val="single" w:sz="6" w:color="D9D9D9"/>
              <w:insideV w:val="single" w:sz="6" w:color="D9D9D9"/>
            </w:tcBorders>
            <w:vAlign w:val="center"/>
          </w:tcPr>
          <w:p>
            <w:pPr>
              <w:spacing w:after="0" w:line="252" w:lineRule="auto"/>
              <w:jc w:val="center"/>
            </w:pPr>
            <w:r>
              <w:rPr>
                <w:rFonts w:ascii="Aptos" w:hAnsi="Aptos" w:eastAsia="Aptos"/>
                <w:b w:val="0"/>
                <w:i w:val="0"/>
                <w:color w:val="000000"/>
                <w:sz w:val="17"/>
              </w:rPr>
              <w:t>T02</w:t>
            </w:r>
          </w:p>
        </w:tc>
        <w:tc>
          <w:tcPr>
            <w:tcW w:type="dxa" w:w="4752"/>
            <w:shd w:fill="F4F7FA"/>
            <w:tcMar>
              <w:top w:w="100" w:type="dxa"/>
              <w:start w:w="110" w:type="dxa"/>
              <w:bottom w:w="100" w:type="dxa"/>
              <w:end w:w="110" w:type="dxa"/>
            </w:tcMar>
            <w:tcBorders>
              <w:top w:val="single" w:sz="6" w:color="D9D9D9"/>
              <w:start w:val="single" w:sz="6" w:color="D9D9D9"/>
              <w:bottom w:val="single" w:sz="6" w:color="D9D9D9"/>
              <w:end w:val="single" w:sz="6" w:color="D9D9D9"/>
              <w:insideH w:val="single" w:sz="6" w:color="D9D9D9"/>
              <w:insideV w:val="single" w:sz="6" w:color="D9D9D9"/>
            </w:tcBorders>
            <w:vAlign w:val="center"/>
          </w:tcPr>
          <w:p>
            <w:pPr>
              <w:spacing w:after="0" w:line="252" w:lineRule="auto"/>
              <w:jc w:val="left"/>
            </w:pPr>
            <w:r>
              <w:rPr>
                <w:rFonts w:ascii="Aptos" w:hAnsi="Aptos" w:eastAsia="Aptos"/>
                <w:b w:val="0"/>
                <w:i w:val="0"/>
                <w:color w:val="000000"/>
                <w:sz w:val="17"/>
              </w:rPr>
              <w:t>EPS âm chuyển sang dương.</w:t>
            </w:r>
          </w:p>
        </w:tc>
        <w:tc>
          <w:tcPr>
            <w:tcW w:type="dxa" w:w="4608"/>
            <w:shd w:fill="F4F7FA"/>
            <w:tcMar>
              <w:top w:w="100" w:type="dxa"/>
              <w:start w:w="110" w:type="dxa"/>
              <w:bottom w:w="100" w:type="dxa"/>
              <w:end w:w="110" w:type="dxa"/>
            </w:tcMar>
            <w:tcBorders>
              <w:top w:val="single" w:sz="6" w:color="D9D9D9"/>
              <w:start w:val="single" w:sz="6" w:color="D9D9D9"/>
              <w:bottom w:val="single" w:sz="6" w:color="D9D9D9"/>
              <w:end w:val="single" w:sz="6" w:color="D9D9D9"/>
              <w:insideH w:val="single" w:sz="6" w:color="D9D9D9"/>
              <w:insideV w:val="single" w:sz="6" w:color="D9D9D9"/>
            </w:tcBorders>
            <w:vAlign w:val="center"/>
          </w:tcPr>
          <w:p>
            <w:pPr>
              <w:spacing w:after="0" w:line="252" w:lineRule="auto"/>
              <w:jc w:val="left"/>
            </w:pPr>
            <w:r>
              <w:rPr>
                <w:rFonts w:ascii="Aptos" w:hAnsi="Aptos" w:eastAsia="Aptos"/>
                <w:b w:val="0"/>
                <w:i w:val="0"/>
                <w:color w:val="000000"/>
                <w:sz w:val="17"/>
              </w:rPr>
              <w:t>Đi vào đúng nhánh turnaround của engine EPS chuẩn hóa.</w:t>
            </w:r>
          </w:p>
        </w:tc>
      </w:tr>
      <w:tr>
        <w:tc>
          <w:tcPr>
            <w:tcW w:type="dxa" w:w="720"/>
            <w:tcMar>
              <w:top w:w="100" w:type="dxa"/>
              <w:start w:w="110" w:type="dxa"/>
              <w:bottom w:w="100" w:type="dxa"/>
              <w:end w:w="110" w:type="dxa"/>
            </w:tcMar>
            <w:tcBorders>
              <w:top w:val="single" w:sz="6" w:color="D9D9D9"/>
              <w:start w:val="single" w:sz="6" w:color="D9D9D9"/>
              <w:bottom w:val="single" w:sz="6" w:color="D9D9D9"/>
              <w:end w:val="single" w:sz="6" w:color="D9D9D9"/>
              <w:insideH w:val="single" w:sz="6" w:color="D9D9D9"/>
              <w:insideV w:val="single" w:sz="6" w:color="D9D9D9"/>
            </w:tcBorders>
            <w:vAlign w:val="center"/>
          </w:tcPr>
          <w:p>
            <w:pPr>
              <w:spacing w:after="0" w:line="252" w:lineRule="auto"/>
              <w:jc w:val="center"/>
            </w:pPr>
            <w:r>
              <w:rPr>
                <w:rFonts w:ascii="Aptos" w:hAnsi="Aptos" w:eastAsia="Aptos"/>
                <w:b w:val="0"/>
                <w:i w:val="0"/>
                <w:color w:val="000000"/>
                <w:sz w:val="17"/>
              </w:rPr>
              <w:t>T03</w:t>
            </w:r>
          </w:p>
        </w:tc>
        <w:tc>
          <w:tcPr>
            <w:tcW w:type="dxa" w:w="4752"/>
            <w:tcMar>
              <w:top w:w="100" w:type="dxa"/>
              <w:start w:w="110" w:type="dxa"/>
              <w:bottom w:w="100" w:type="dxa"/>
              <w:end w:w="110" w:type="dxa"/>
            </w:tcMar>
            <w:tcBorders>
              <w:top w:val="single" w:sz="6" w:color="D9D9D9"/>
              <w:start w:val="single" w:sz="6" w:color="D9D9D9"/>
              <w:bottom w:val="single" w:sz="6" w:color="D9D9D9"/>
              <w:end w:val="single" w:sz="6" w:color="D9D9D9"/>
              <w:insideH w:val="single" w:sz="6" w:color="D9D9D9"/>
              <w:insideV w:val="single" w:sz="6" w:color="D9D9D9"/>
            </w:tcBorders>
            <w:vAlign w:val="center"/>
          </w:tcPr>
          <w:p>
            <w:pPr>
              <w:spacing w:after="0" w:line="252" w:lineRule="auto"/>
              <w:jc w:val="left"/>
            </w:pPr>
            <w:r>
              <w:rPr>
                <w:rFonts w:ascii="Aptos" w:hAnsi="Aptos" w:eastAsia="Aptos"/>
                <w:b w:val="0"/>
                <w:i w:val="0"/>
                <w:color w:val="000000"/>
                <w:sz w:val="17"/>
              </w:rPr>
              <w:t>EPS âm và mức lỗ thu hẹp.</w:t>
            </w:r>
          </w:p>
        </w:tc>
        <w:tc>
          <w:tcPr>
            <w:tcW w:type="dxa" w:w="4608"/>
            <w:tcMar>
              <w:top w:w="100" w:type="dxa"/>
              <w:start w:w="110" w:type="dxa"/>
              <w:bottom w:w="100" w:type="dxa"/>
              <w:end w:w="110" w:type="dxa"/>
            </w:tcMar>
            <w:tcBorders>
              <w:top w:val="single" w:sz="6" w:color="D9D9D9"/>
              <w:start w:val="single" w:sz="6" w:color="D9D9D9"/>
              <w:bottom w:val="single" w:sz="6" w:color="D9D9D9"/>
              <w:end w:val="single" w:sz="6" w:color="D9D9D9"/>
              <w:insideH w:val="single" w:sz="6" w:color="D9D9D9"/>
              <w:insideV w:val="single" w:sz="6" w:color="D9D9D9"/>
            </w:tcBorders>
            <w:vAlign w:val="center"/>
          </w:tcPr>
          <w:p>
            <w:pPr>
              <w:spacing w:after="0" w:line="252" w:lineRule="auto"/>
              <w:jc w:val="left"/>
            </w:pPr>
            <w:r>
              <w:rPr>
                <w:rFonts w:ascii="Aptos" w:hAnsi="Aptos" w:eastAsia="Aptos"/>
                <w:b w:val="0"/>
                <w:i w:val="0"/>
                <w:color w:val="000000"/>
                <w:sz w:val="17"/>
              </w:rPr>
              <w:t>GrowthFlag có thể bằng 1; vẫn hiển thị trạng thái đang lỗ.</w:t>
            </w:r>
          </w:p>
        </w:tc>
      </w:tr>
      <w:tr>
        <w:tc>
          <w:tcPr>
            <w:tcW w:type="dxa" w:w="720"/>
            <w:shd w:fill="F4F7FA"/>
            <w:tcMar>
              <w:top w:w="100" w:type="dxa"/>
              <w:start w:w="110" w:type="dxa"/>
              <w:bottom w:w="100" w:type="dxa"/>
              <w:end w:w="110" w:type="dxa"/>
            </w:tcMar>
            <w:tcBorders>
              <w:top w:val="single" w:sz="6" w:color="D9D9D9"/>
              <w:start w:val="single" w:sz="6" w:color="D9D9D9"/>
              <w:bottom w:val="single" w:sz="6" w:color="D9D9D9"/>
              <w:end w:val="single" w:sz="6" w:color="D9D9D9"/>
              <w:insideH w:val="single" w:sz="6" w:color="D9D9D9"/>
              <w:insideV w:val="single" w:sz="6" w:color="D9D9D9"/>
            </w:tcBorders>
            <w:vAlign w:val="center"/>
          </w:tcPr>
          <w:p>
            <w:pPr>
              <w:spacing w:after="0" w:line="252" w:lineRule="auto"/>
              <w:jc w:val="center"/>
            </w:pPr>
            <w:r>
              <w:rPr>
                <w:rFonts w:ascii="Aptos" w:hAnsi="Aptos" w:eastAsia="Aptos"/>
                <w:b w:val="0"/>
                <w:i w:val="0"/>
                <w:color w:val="000000"/>
                <w:sz w:val="17"/>
              </w:rPr>
              <w:t>T04</w:t>
            </w:r>
          </w:p>
        </w:tc>
        <w:tc>
          <w:tcPr>
            <w:tcW w:type="dxa" w:w="4752"/>
            <w:shd w:fill="F4F7FA"/>
            <w:tcMar>
              <w:top w:w="100" w:type="dxa"/>
              <w:start w:w="110" w:type="dxa"/>
              <w:bottom w:w="100" w:type="dxa"/>
              <w:end w:w="110" w:type="dxa"/>
            </w:tcMar>
            <w:tcBorders>
              <w:top w:val="single" w:sz="6" w:color="D9D9D9"/>
              <w:start w:val="single" w:sz="6" w:color="D9D9D9"/>
              <w:bottom w:val="single" w:sz="6" w:color="D9D9D9"/>
              <w:end w:val="single" w:sz="6" w:color="D9D9D9"/>
              <w:insideH w:val="single" w:sz="6" w:color="D9D9D9"/>
              <w:insideV w:val="single" w:sz="6" w:color="D9D9D9"/>
            </w:tcBorders>
            <w:vAlign w:val="center"/>
          </w:tcPr>
          <w:p>
            <w:pPr>
              <w:spacing w:after="0" w:line="252" w:lineRule="auto"/>
              <w:jc w:val="left"/>
            </w:pPr>
            <w:r>
              <w:rPr>
                <w:rFonts w:ascii="Aptos" w:hAnsi="Aptos" w:eastAsia="Aptos"/>
                <w:b w:val="0"/>
                <w:i w:val="0"/>
                <w:color w:val="000000"/>
                <w:sz w:val="17"/>
              </w:rPr>
              <w:t>EPS cùng kỳ bằng 0.</w:t>
            </w:r>
          </w:p>
        </w:tc>
        <w:tc>
          <w:tcPr>
            <w:tcW w:type="dxa" w:w="4608"/>
            <w:shd w:fill="F4F7FA"/>
            <w:tcMar>
              <w:top w:w="100" w:type="dxa"/>
              <w:start w:w="110" w:type="dxa"/>
              <w:bottom w:w="100" w:type="dxa"/>
              <w:end w:w="110" w:type="dxa"/>
            </w:tcMar>
            <w:tcBorders>
              <w:top w:val="single" w:sz="6" w:color="D9D9D9"/>
              <w:start w:val="single" w:sz="6" w:color="D9D9D9"/>
              <w:bottom w:val="single" w:sz="6" w:color="D9D9D9"/>
              <w:end w:val="single" w:sz="6" w:color="D9D9D9"/>
              <w:insideH w:val="single" w:sz="6" w:color="D9D9D9"/>
              <w:insideV w:val="single" w:sz="6" w:color="D9D9D9"/>
            </w:tcBorders>
            <w:vAlign w:val="center"/>
          </w:tcPr>
          <w:p>
            <w:pPr>
              <w:spacing w:after="0" w:line="252" w:lineRule="auto"/>
              <w:jc w:val="left"/>
            </w:pPr>
            <w:r>
              <w:rPr>
                <w:rFonts w:ascii="Aptos" w:hAnsi="Aptos" w:eastAsia="Aptos"/>
                <w:b w:val="0"/>
                <w:i w:val="0"/>
                <w:color w:val="000000"/>
                <w:sz w:val="17"/>
              </w:rPr>
              <w:t>Không chia cho 0; dùng nhánh ngoại lệ của bảng Sản xuất.</w:t>
            </w:r>
          </w:p>
        </w:tc>
      </w:tr>
      <w:tr>
        <w:tc>
          <w:tcPr>
            <w:tcW w:type="dxa" w:w="720"/>
            <w:tcMar>
              <w:top w:w="100" w:type="dxa"/>
              <w:start w:w="110" w:type="dxa"/>
              <w:bottom w:w="100" w:type="dxa"/>
              <w:end w:w="110" w:type="dxa"/>
            </w:tcMar>
            <w:tcBorders>
              <w:top w:val="single" w:sz="6" w:color="D9D9D9"/>
              <w:start w:val="single" w:sz="6" w:color="D9D9D9"/>
              <w:bottom w:val="single" w:sz="6" w:color="D9D9D9"/>
              <w:end w:val="single" w:sz="6" w:color="D9D9D9"/>
              <w:insideH w:val="single" w:sz="6" w:color="D9D9D9"/>
              <w:insideV w:val="single" w:sz="6" w:color="D9D9D9"/>
            </w:tcBorders>
            <w:vAlign w:val="center"/>
          </w:tcPr>
          <w:p>
            <w:pPr>
              <w:spacing w:after="0" w:line="252" w:lineRule="auto"/>
              <w:jc w:val="center"/>
            </w:pPr>
            <w:r>
              <w:rPr>
                <w:rFonts w:ascii="Aptos" w:hAnsi="Aptos" w:eastAsia="Aptos"/>
                <w:b w:val="0"/>
                <w:i w:val="0"/>
                <w:color w:val="000000"/>
                <w:sz w:val="17"/>
              </w:rPr>
              <w:t>T05</w:t>
            </w:r>
          </w:p>
        </w:tc>
        <w:tc>
          <w:tcPr>
            <w:tcW w:type="dxa" w:w="4752"/>
            <w:tcMar>
              <w:top w:w="100" w:type="dxa"/>
              <w:start w:w="110" w:type="dxa"/>
              <w:bottom w:w="100" w:type="dxa"/>
              <w:end w:w="110" w:type="dxa"/>
            </w:tcMar>
            <w:tcBorders>
              <w:top w:val="single" w:sz="6" w:color="D9D9D9"/>
              <w:start w:val="single" w:sz="6" w:color="D9D9D9"/>
              <w:bottom w:val="single" w:sz="6" w:color="D9D9D9"/>
              <w:end w:val="single" w:sz="6" w:color="D9D9D9"/>
              <w:insideH w:val="single" w:sz="6" w:color="D9D9D9"/>
              <w:insideV w:val="single" w:sz="6" w:color="D9D9D9"/>
            </w:tcBorders>
            <w:vAlign w:val="center"/>
          </w:tcPr>
          <w:p>
            <w:pPr>
              <w:spacing w:after="0" w:line="252" w:lineRule="auto"/>
              <w:jc w:val="left"/>
            </w:pPr>
            <w:r>
              <w:rPr>
                <w:rFonts w:ascii="Aptos" w:hAnsi="Aptos" w:eastAsia="Aptos"/>
                <w:b w:val="0"/>
                <w:i w:val="0"/>
                <w:color w:val="000000"/>
                <w:sz w:val="17"/>
              </w:rPr>
              <w:t>Chỉ 1/3 quý EPS tăng.</w:t>
            </w:r>
          </w:p>
        </w:tc>
        <w:tc>
          <w:tcPr>
            <w:tcW w:type="dxa" w:w="4608"/>
            <w:tcMar>
              <w:top w:w="100" w:type="dxa"/>
              <w:start w:w="110" w:type="dxa"/>
              <w:bottom w:w="100" w:type="dxa"/>
              <w:end w:w="110" w:type="dxa"/>
            </w:tcMar>
            <w:tcBorders>
              <w:top w:val="single" w:sz="6" w:color="D9D9D9"/>
              <w:start w:val="single" w:sz="6" w:color="D9D9D9"/>
              <w:bottom w:val="single" w:sz="6" w:color="D9D9D9"/>
              <w:end w:val="single" w:sz="6" w:color="D9D9D9"/>
              <w:insideH w:val="single" w:sz="6" w:color="D9D9D9"/>
              <w:insideV w:val="single" w:sz="6" w:color="D9D9D9"/>
            </w:tcBorders>
            <w:vAlign w:val="center"/>
          </w:tcPr>
          <w:p>
            <w:pPr>
              <w:spacing w:after="0" w:line="252" w:lineRule="auto"/>
              <w:jc w:val="left"/>
            </w:pPr>
            <w:r>
              <w:rPr>
                <w:rFonts w:ascii="Aptos" w:hAnsi="Aptos" w:eastAsia="Aptos"/>
                <w:b w:val="0"/>
                <w:i w:val="0"/>
                <w:color w:val="000000"/>
                <w:sz w:val="17"/>
              </w:rPr>
              <w:t>Điểm tính liên tục bằng 3.</w:t>
            </w:r>
          </w:p>
        </w:tc>
      </w:tr>
      <w:tr>
        <w:tc>
          <w:tcPr>
            <w:tcW w:type="dxa" w:w="720"/>
            <w:shd w:fill="F4F7FA"/>
            <w:tcMar>
              <w:top w:w="100" w:type="dxa"/>
              <w:start w:w="110" w:type="dxa"/>
              <w:bottom w:w="100" w:type="dxa"/>
              <w:end w:w="110" w:type="dxa"/>
            </w:tcMar>
            <w:tcBorders>
              <w:top w:val="single" w:sz="6" w:color="D9D9D9"/>
              <w:start w:val="single" w:sz="6" w:color="D9D9D9"/>
              <w:bottom w:val="single" w:sz="6" w:color="D9D9D9"/>
              <w:end w:val="single" w:sz="6" w:color="D9D9D9"/>
              <w:insideH w:val="single" w:sz="6" w:color="D9D9D9"/>
              <w:insideV w:val="single" w:sz="6" w:color="D9D9D9"/>
            </w:tcBorders>
            <w:vAlign w:val="center"/>
          </w:tcPr>
          <w:p>
            <w:pPr>
              <w:spacing w:after="0" w:line="252" w:lineRule="auto"/>
              <w:jc w:val="center"/>
            </w:pPr>
            <w:r>
              <w:rPr>
                <w:rFonts w:ascii="Aptos" w:hAnsi="Aptos" w:eastAsia="Aptos"/>
                <w:b w:val="0"/>
                <w:i w:val="0"/>
                <w:color w:val="000000"/>
                <w:sz w:val="17"/>
              </w:rPr>
              <w:t>T06</w:t>
            </w:r>
          </w:p>
        </w:tc>
        <w:tc>
          <w:tcPr>
            <w:tcW w:type="dxa" w:w="4752"/>
            <w:shd w:fill="F4F7FA"/>
            <w:tcMar>
              <w:top w:w="100" w:type="dxa"/>
              <w:start w:w="110" w:type="dxa"/>
              <w:bottom w:w="100" w:type="dxa"/>
              <w:end w:w="110" w:type="dxa"/>
            </w:tcMar>
            <w:tcBorders>
              <w:top w:val="single" w:sz="6" w:color="D9D9D9"/>
              <w:start w:val="single" w:sz="6" w:color="D9D9D9"/>
              <w:bottom w:val="single" w:sz="6" w:color="D9D9D9"/>
              <w:end w:val="single" w:sz="6" w:color="D9D9D9"/>
              <w:insideH w:val="single" w:sz="6" w:color="D9D9D9"/>
              <w:insideV w:val="single" w:sz="6" w:color="D9D9D9"/>
            </w:tcBorders>
            <w:vAlign w:val="center"/>
          </w:tcPr>
          <w:p>
            <w:pPr>
              <w:spacing w:after="0" w:line="252" w:lineRule="auto"/>
              <w:jc w:val="left"/>
            </w:pPr>
            <w:r>
              <w:rPr>
                <w:rFonts w:ascii="Aptos" w:hAnsi="Aptos" w:eastAsia="Aptos"/>
                <w:b w:val="0"/>
                <w:i w:val="0"/>
                <w:color w:val="000000"/>
                <w:sz w:val="17"/>
              </w:rPr>
              <w:t>BCTC 9 tháng chỉ có số lũy kế.</w:t>
            </w:r>
          </w:p>
        </w:tc>
        <w:tc>
          <w:tcPr>
            <w:tcW w:type="dxa" w:w="4608"/>
            <w:shd w:fill="F4F7FA"/>
            <w:tcMar>
              <w:top w:w="100" w:type="dxa"/>
              <w:start w:w="110" w:type="dxa"/>
              <w:bottom w:w="100" w:type="dxa"/>
              <w:end w:w="110" w:type="dxa"/>
            </w:tcMar>
            <w:tcBorders>
              <w:top w:val="single" w:sz="6" w:color="D9D9D9"/>
              <w:start w:val="single" w:sz="6" w:color="D9D9D9"/>
              <w:bottom w:val="single" w:sz="6" w:color="D9D9D9"/>
              <w:end w:val="single" w:sz="6" w:color="D9D9D9"/>
              <w:insideH w:val="single" w:sz="6" w:color="D9D9D9"/>
              <w:insideV w:val="single" w:sz="6" w:color="D9D9D9"/>
            </w:tcBorders>
            <w:vAlign w:val="center"/>
          </w:tcPr>
          <w:p>
            <w:pPr>
              <w:spacing w:after="0" w:line="252" w:lineRule="auto"/>
              <w:jc w:val="left"/>
            </w:pPr>
            <w:r>
              <w:rPr>
                <w:rFonts w:ascii="Aptos" w:hAnsi="Aptos" w:eastAsia="Aptos"/>
                <w:b w:val="0"/>
                <w:i w:val="0"/>
                <w:color w:val="000000"/>
                <w:sz w:val="17"/>
              </w:rPr>
              <w:t>Q3 = 9 tháng - 6 tháng; trạng thái DERIVED.</w:t>
            </w:r>
          </w:p>
        </w:tc>
      </w:tr>
      <w:tr>
        <w:tc>
          <w:tcPr>
            <w:tcW w:type="dxa" w:w="720"/>
            <w:tcMar>
              <w:top w:w="100" w:type="dxa"/>
              <w:start w:w="110" w:type="dxa"/>
              <w:bottom w:w="100" w:type="dxa"/>
              <w:end w:w="110" w:type="dxa"/>
            </w:tcMar>
            <w:tcBorders>
              <w:top w:val="single" w:sz="6" w:color="D9D9D9"/>
              <w:start w:val="single" w:sz="6" w:color="D9D9D9"/>
              <w:bottom w:val="single" w:sz="6" w:color="D9D9D9"/>
              <w:end w:val="single" w:sz="6" w:color="D9D9D9"/>
              <w:insideH w:val="single" w:sz="6" w:color="D9D9D9"/>
              <w:insideV w:val="single" w:sz="6" w:color="D9D9D9"/>
            </w:tcBorders>
            <w:vAlign w:val="center"/>
          </w:tcPr>
          <w:p>
            <w:pPr>
              <w:spacing w:after="0" w:line="252" w:lineRule="auto"/>
              <w:jc w:val="center"/>
            </w:pPr>
            <w:r>
              <w:rPr>
                <w:rFonts w:ascii="Aptos" w:hAnsi="Aptos" w:eastAsia="Aptos"/>
                <w:b w:val="0"/>
                <w:i w:val="0"/>
                <w:color w:val="000000"/>
                <w:sz w:val="17"/>
              </w:rPr>
              <w:t>T07</w:t>
            </w:r>
          </w:p>
        </w:tc>
        <w:tc>
          <w:tcPr>
            <w:tcW w:type="dxa" w:w="4752"/>
            <w:tcMar>
              <w:top w:w="100" w:type="dxa"/>
              <w:start w:w="110" w:type="dxa"/>
              <w:bottom w:w="100" w:type="dxa"/>
              <w:end w:w="110" w:type="dxa"/>
            </w:tcMar>
            <w:tcBorders>
              <w:top w:val="single" w:sz="6" w:color="D9D9D9"/>
              <w:start w:val="single" w:sz="6" w:color="D9D9D9"/>
              <w:bottom w:val="single" w:sz="6" w:color="D9D9D9"/>
              <w:end w:val="single" w:sz="6" w:color="D9D9D9"/>
              <w:insideH w:val="single" w:sz="6" w:color="D9D9D9"/>
              <w:insideV w:val="single" w:sz="6" w:color="D9D9D9"/>
            </w:tcBorders>
            <w:vAlign w:val="center"/>
          </w:tcPr>
          <w:p>
            <w:pPr>
              <w:spacing w:after="0" w:line="252" w:lineRule="auto"/>
              <w:jc w:val="left"/>
            </w:pPr>
            <w:r>
              <w:rPr>
                <w:rFonts w:ascii="Aptos" w:hAnsi="Aptos" w:eastAsia="Aptos"/>
                <w:b w:val="0"/>
                <w:i w:val="0"/>
                <w:color w:val="000000"/>
                <w:sz w:val="17"/>
              </w:rPr>
              <w:t>Doanh thu BH tăng nhanh hơn VCSH trên 20 đpt hai quý.</w:t>
            </w:r>
          </w:p>
        </w:tc>
        <w:tc>
          <w:tcPr>
            <w:tcW w:type="dxa" w:w="4608"/>
            <w:tcMar>
              <w:top w:w="100" w:type="dxa"/>
              <w:start w:w="110" w:type="dxa"/>
              <w:bottom w:w="100" w:type="dxa"/>
              <w:end w:w="110" w:type="dxa"/>
            </w:tcMar>
            <w:tcBorders>
              <w:top w:val="single" w:sz="6" w:color="D9D9D9"/>
              <w:start w:val="single" w:sz="6" w:color="D9D9D9"/>
              <w:bottom w:val="single" w:sz="6" w:color="D9D9D9"/>
              <w:end w:val="single" w:sz="6" w:color="D9D9D9"/>
              <w:insideH w:val="single" w:sz="6" w:color="D9D9D9"/>
              <w:insideV w:val="single" w:sz="6" w:color="D9D9D9"/>
            </w:tcBorders>
            <w:vAlign w:val="center"/>
          </w:tcPr>
          <w:p>
            <w:pPr>
              <w:spacing w:after="0" w:line="252" w:lineRule="auto"/>
              <w:jc w:val="left"/>
            </w:pPr>
            <w:r>
              <w:rPr>
                <w:rFonts w:ascii="Aptos" w:hAnsi="Aptos" w:eastAsia="Aptos"/>
                <w:b w:val="0"/>
                <w:i w:val="0"/>
                <w:color w:val="000000"/>
                <w:sz w:val="17"/>
              </w:rPr>
              <w:t>Xuất cảnh báo và cột điểm doanh thu sau giới hạn để review.</w:t>
            </w:r>
          </w:p>
        </w:tc>
      </w:tr>
      <w:tr>
        <w:tc>
          <w:tcPr>
            <w:tcW w:type="dxa" w:w="720"/>
            <w:shd w:fill="F4F7FA"/>
            <w:tcMar>
              <w:top w:w="100" w:type="dxa"/>
              <w:start w:w="110" w:type="dxa"/>
              <w:bottom w:w="100" w:type="dxa"/>
              <w:end w:w="110" w:type="dxa"/>
            </w:tcMar>
            <w:tcBorders>
              <w:top w:val="single" w:sz="6" w:color="D9D9D9"/>
              <w:start w:val="single" w:sz="6" w:color="D9D9D9"/>
              <w:bottom w:val="single" w:sz="6" w:color="D9D9D9"/>
              <w:end w:val="single" w:sz="6" w:color="D9D9D9"/>
              <w:insideH w:val="single" w:sz="6" w:color="D9D9D9"/>
              <w:insideV w:val="single" w:sz="6" w:color="D9D9D9"/>
            </w:tcBorders>
            <w:vAlign w:val="center"/>
          </w:tcPr>
          <w:p>
            <w:pPr>
              <w:spacing w:after="0" w:line="252" w:lineRule="auto"/>
              <w:jc w:val="center"/>
            </w:pPr>
            <w:r>
              <w:rPr>
                <w:rFonts w:ascii="Aptos" w:hAnsi="Aptos" w:eastAsia="Aptos"/>
                <w:b w:val="0"/>
                <w:i w:val="0"/>
                <w:color w:val="000000"/>
                <w:sz w:val="17"/>
              </w:rPr>
              <w:t>T08</w:t>
            </w:r>
          </w:p>
        </w:tc>
        <w:tc>
          <w:tcPr>
            <w:tcW w:type="dxa" w:w="4752"/>
            <w:shd w:fill="F4F7FA"/>
            <w:tcMar>
              <w:top w:w="100" w:type="dxa"/>
              <w:start w:w="110" w:type="dxa"/>
              <w:bottom w:w="100" w:type="dxa"/>
              <w:end w:w="110" w:type="dxa"/>
            </w:tcMar>
            <w:tcBorders>
              <w:top w:val="single" w:sz="6" w:color="D9D9D9"/>
              <w:start w:val="single" w:sz="6" w:color="D9D9D9"/>
              <w:bottom w:val="single" w:sz="6" w:color="D9D9D9"/>
              <w:end w:val="single" w:sz="6" w:color="D9D9D9"/>
              <w:insideH w:val="single" w:sz="6" w:color="D9D9D9"/>
              <w:insideV w:val="single" w:sz="6" w:color="D9D9D9"/>
            </w:tcBorders>
            <w:vAlign w:val="center"/>
          </w:tcPr>
          <w:p>
            <w:pPr>
              <w:spacing w:after="0" w:line="252" w:lineRule="auto"/>
              <w:jc w:val="left"/>
            </w:pPr>
            <w:r>
              <w:rPr>
                <w:rFonts w:ascii="Aptos" w:hAnsi="Aptos" w:eastAsia="Aptos"/>
                <w:b w:val="0"/>
                <w:i w:val="0"/>
                <w:color w:val="000000"/>
                <w:sz w:val="17"/>
              </w:rPr>
              <w:t>Holding có lợi ích cổ đông không kiểm soát.</w:t>
            </w:r>
          </w:p>
        </w:tc>
        <w:tc>
          <w:tcPr>
            <w:tcW w:type="dxa" w:w="4608"/>
            <w:shd w:fill="F4F7FA"/>
            <w:tcMar>
              <w:top w:w="100" w:type="dxa"/>
              <w:start w:w="110" w:type="dxa"/>
              <w:bottom w:w="100" w:type="dxa"/>
              <w:end w:w="110" w:type="dxa"/>
            </w:tcMar>
            <w:tcBorders>
              <w:top w:val="single" w:sz="6" w:color="D9D9D9"/>
              <w:start w:val="single" w:sz="6" w:color="D9D9D9"/>
              <w:bottom w:val="single" w:sz="6" w:color="D9D9D9"/>
              <w:end w:val="single" w:sz="6" w:color="D9D9D9"/>
              <w:insideH w:val="single" w:sz="6" w:color="D9D9D9"/>
              <w:insideV w:val="single" w:sz="6" w:color="D9D9D9"/>
            </w:tcBorders>
            <w:vAlign w:val="center"/>
          </w:tcPr>
          <w:p>
            <w:pPr>
              <w:spacing w:after="0" w:line="252" w:lineRule="auto"/>
              <w:jc w:val="left"/>
            </w:pPr>
            <w:r>
              <w:rPr>
                <w:rFonts w:ascii="Aptos" w:hAnsi="Aptos" w:eastAsia="Aptos"/>
                <w:b w:val="0"/>
                <w:i w:val="0"/>
                <w:color w:val="000000"/>
                <w:sz w:val="17"/>
              </w:rPr>
              <w:t>ROE dùng LNST và VCSH cùng phạm vi cổ đông mẹ.</w:t>
            </w:r>
          </w:p>
        </w:tc>
      </w:tr>
      <w:tr>
        <w:tc>
          <w:tcPr>
            <w:tcW w:type="dxa" w:w="720"/>
            <w:tcMar>
              <w:top w:w="100" w:type="dxa"/>
              <w:start w:w="110" w:type="dxa"/>
              <w:bottom w:w="100" w:type="dxa"/>
              <w:end w:w="110" w:type="dxa"/>
            </w:tcMar>
            <w:tcBorders>
              <w:top w:val="single" w:sz="6" w:color="D9D9D9"/>
              <w:start w:val="single" w:sz="6" w:color="D9D9D9"/>
              <w:bottom w:val="single" w:sz="6" w:color="D9D9D9"/>
              <w:end w:val="single" w:sz="6" w:color="D9D9D9"/>
              <w:insideH w:val="single" w:sz="6" w:color="D9D9D9"/>
              <w:insideV w:val="single" w:sz="6" w:color="D9D9D9"/>
            </w:tcBorders>
            <w:vAlign w:val="center"/>
          </w:tcPr>
          <w:p>
            <w:pPr>
              <w:spacing w:after="0" w:line="252" w:lineRule="auto"/>
              <w:jc w:val="center"/>
            </w:pPr>
            <w:r>
              <w:rPr>
                <w:rFonts w:ascii="Aptos" w:hAnsi="Aptos" w:eastAsia="Aptos"/>
                <w:b w:val="0"/>
                <w:i w:val="0"/>
                <w:color w:val="000000"/>
                <w:sz w:val="17"/>
              </w:rPr>
              <w:t>T09</w:t>
            </w:r>
          </w:p>
        </w:tc>
        <w:tc>
          <w:tcPr>
            <w:tcW w:type="dxa" w:w="4752"/>
            <w:tcMar>
              <w:top w:w="100" w:type="dxa"/>
              <w:start w:w="110" w:type="dxa"/>
              <w:bottom w:w="100" w:type="dxa"/>
              <w:end w:w="110" w:type="dxa"/>
            </w:tcMar>
            <w:tcBorders>
              <w:top w:val="single" w:sz="6" w:color="D9D9D9"/>
              <w:start w:val="single" w:sz="6" w:color="D9D9D9"/>
              <w:bottom w:val="single" w:sz="6" w:color="D9D9D9"/>
              <w:end w:val="single" w:sz="6" w:color="D9D9D9"/>
              <w:insideH w:val="single" w:sz="6" w:color="D9D9D9"/>
              <w:insideV w:val="single" w:sz="6" w:color="D9D9D9"/>
            </w:tcBorders>
            <w:vAlign w:val="center"/>
          </w:tcPr>
          <w:p>
            <w:pPr>
              <w:spacing w:after="0" w:line="252" w:lineRule="auto"/>
              <w:jc w:val="left"/>
            </w:pPr>
            <w:r>
              <w:rPr>
                <w:rFonts w:ascii="Aptos" w:hAnsi="Aptos" w:eastAsia="Aptos"/>
                <w:b w:val="0"/>
                <w:i w:val="0"/>
                <w:color w:val="000000"/>
                <w:sz w:val="17"/>
              </w:rPr>
              <w:t>Tổng VCSH nhỏ hơn hoặc bằng 0.</w:t>
            </w:r>
          </w:p>
        </w:tc>
        <w:tc>
          <w:tcPr>
            <w:tcW w:type="dxa" w:w="4608"/>
            <w:tcMar>
              <w:top w:w="100" w:type="dxa"/>
              <w:start w:w="110" w:type="dxa"/>
              <w:bottom w:w="100" w:type="dxa"/>
              <w:end w:w="110" w:type="dxa"/>
            </w:tcMar>
            <w:tcBorders>
              <w:top w:val="single" w:sz="6" w:color="D9D9D9"/>
              <w:start w:val="single" w:sz="6" w:color="D9D9D9"/>
              <w:bottom w:val="single" w:sz="6" w:color="D9D9D9"/>
              <w:end w:val="single" w:sz="6" w:color="D9D9D9"/>
              <w:insideH w:val="single" w:sz="6" w:color="D9D9D9"/>
              <w:insideV w:val="single" w:sz="6" w:color="D9D9D9"/>
            </w:tcBorders>
            <w:vAlign w:val="center"/>
          </w:tcPr>
          <w:p>
            <w:pPr>
              <w:spacing w:after="0" w:line="252" w:lineRule="auto"/>
              <w:jc w:val="left"/>
            </w:pPr>
            <w:r>
              <w:rPr>
                <w:rFonts w:ascii="Aptos" w:hAnsi="Aptos" w:eastAsia="Aptos"/>
                <w:b w:val="0"/>
                <w:i w:val="0"/>
                <w:color w:val="000000"/>
                <w:sz w:val="17"/>
              </w:rPr>
              <w:t>Điểm đệm vốn bằng 0; cảnh báo đỏ; không N/A.</w:t>
            </w:r>
          </w:p>
        </w:tc>
      </w:tr>
      <w:tr>
        <w:tc>
          <w:tcPr>
            <w:tcW w:type="dxa" w:w="720"/>
            <w:shd w:fill="F4F7FA"/>
            <w:tcMar>
              <w:top w:w="100" w:type="dxa"/>
              <w:start w:w="110" w:type="dxa"/>
              <w:bottom w:w="100" w:type="dxa"/>
              <w:end w:w="110" w:type="dxa"/>
            </w:tcMar>
            <w:tcBorders>
              <w:top w:val="single" w:sz="6" w:color="D9D9D9"/>
              <w:start w:val="single" w:sz="6" w:color="D9D9D9"/>
              <w:bottom w:val="single" w:sz="6" w:color="D9D9D9"/>
              <w:end w:val="single" w:sz="6" w:color="D9D9D9"/>
              <w:insideH w:val="single" w:sz="6" w:color="D9D9D9"/>
              <w:insideV w:val="single" w:sz="6" w:color="D9D9D9"/>
            </w:tcBorders>
            <w:vAlign w:val="center"/>
          </w:tcPr>
          <w:p>
            <w:pPr>
              <w:spacing w:after="0" w:line="252" w:lineRule="auto"/>
              <w:jc w:val="center"/>
            </w:pPr>
            <w:r>
              <w:rPr>
                <w:rFonts w:ascii="Aptos" w:hAnsi="Aptos" w:eastAsia="Aptos"/>
                <w:b w:val="0"/>
                <w:i w:val="0"/>
                <w:color w:val="000000"/>
                <w:sz w:val="17"/>
              </w:rPr>
              <w:t>T10</w:t>
            </w:r>
          </w:p>
        </w:tc>
        <w:tc>
          <w:tcPr>
            <w:tcW w:type="dxa" w:w="4752"/>
            <w:shd w:fill="F4F7FA"/>
            <w:tcMar>
              <w:top w:w="100" w:type="dxa"/>
              <w:start w:w="110" w:type="dxa"/>
              <w:bottom w:w="100" w:type="dxa"/>
              <w:end w:w="110" w:type="dxa"/>
            </w:tcMar>
            <w:tcBorders>
              <w:top w:val="single" w:sz="6" w:color="D9D9D9"/>
              <w:start w:val="single" w:sz="6" w:color="D9D9D9"/>
              <w:bottom w:val="single" w:sz="6" w:color="D9D9D9"/>
              <w:end w:val="single" w:sz="6" w:color="D9D9D9"/>
              <w:insideH w:val="single" w:sz="6" w:color="D9D9D9"/>
              <w:insideV w:val="single" w:sz="6" w:color="D9D9D9"/>
            </w:tcBorders>
            <w:vAlign w:val="center"/>
          </w:tcPr>
          <w:p>
            <w:pPr>
              <w:spacing w:after="0" w:line="252" w:lineRule="auto"/>
              <w:jc w:val="left"/>
            </w:pPr>
            <w:r>
              <w:rPr>
                <w:rFonts w:ascii="Aptos" w:hAnsi="Aptos" w:eastAsia="Aptos"/>
                <w:b w:val="0"/>
                <w:i w:val="0"/>
                <w:color w:val="000000"/>
                <w:sz w:val="17"/>
              </w:rPr>
              <w:t>Doanh nghiệp đổi tên dòng doanh thu nhưng bản chất không đổi.</w:t>
            </w:r>
          </w:p>
        </w:tc>
        <w:tc>
          <w:tcPr>
            <w:tcW w:type="dxa" w:w="4608"/>
            <w:shd w:fill="F4F7FA"/>
            <w:tcMar>
              <w:top w:w="100" w:type="dxa"/>
              <w:start w:w="110" w:type="dxa"/>
              <w:bottom w:w="100" w:type="dxa"/>
              <w:end w:w="110" w:type="dxa"/>
            </w:tcMar>
            <w:tcBorders>
              <w:top w:val="single" w:sz="6" w:color="D9D9D9"/>
              <w:start w:val="single" w:sz="6" w:color="D9D9D9"/>
              <w:bottom w:val="single" w:sz="6" w:color="D9D9D9"/>
              <w:end w:val="single" w:sz="6" w:color="D9D9D9"/>
              <w:insideH w:val="single" w:sz="6" w:color="D9D9D9"/>
              <w:insideV w:val="single" w:sz="6" w:color="D9D9D9"/>
            </w:tcBorders>
            <w:vAlign w:val="center"/>
          </w:tcPr>
          <w:p>
            <w:pPr>
              <w:spacing w:after="0" w:line="252" w:lineRule="auto"/>
              <w:jc w:val="left"/>
            </w:pPr>
            <w:r>
              <w:rPr>
                <w:rFonts w:ascii="Aptos" w:hAnsi="Aptos" w:eastAsia="Aptos"/>
                <w:b w:val="0"/>
                <w:i w:val="0"/>
                <w:color w:val="000000"/>
                <w:sz w:val="17"/>
              </w:rPr>
              <w:t>Mapping mới có bằng chứng; chuỗi vẫn liên tục.</w:t>
            </w:r>
          </w:p>
        </w:tc>
      </w:tr>
      <w:tr>
        <w:tc>
          <w:tcPr>
            <w:tcW w:type="dxa" w:w="720"/>
            <w:tcMar>
              <w:top w:w="100" w:type="dxa"/>
              <w:start w:w="110" w:type="dxa"/>
              <w:bottom w:w="100" w:type="dxa"/>
              <w:end w:w="110" w:type="dxa"/>
            </w:tcMar>
            <w:tcBorders>
              <w:top w:val="single" w:sz="6" w:color="D9D9D9"/>
              <w:start w:val="single" w:sz="6" w:color="D9D9D9"/>
              <w:bottom w:val="single" w:sz="6" w:color="D9D9D9"/>
              <w:end w:val="single" w:sz="6" w:color="D9D9D9"/>
              <w:insideH w:val="single" w:sz="6" w:color="D9D9D9"/>
              <w:insideV w:val="single" w:sz="6" w:color="D9D9D9"/>
            </w:tcBorders>
            <w:vAlign w:val="center"/>
          </w:tcPr>
          <w:p>
            <w:pPr>
              <w:spacing w:after="0" w:line="252" w:lineRule="auto"/>
              <w:jc w:val="center"/>
            </w:pPr>
            <w:r>
              <w:rPr>
                <w:rFonts w:ascii="Aptos" w:hAnsi="Aptos" w:eastAsia="Aptos"/>
                <w:b w:val="0"/>
                <w:i w:val="0"/>
                <w:color w:val="000000"/>
                <w:sz w:val="17"/>
              </w:rPr>
              <w:t>T11</w:t>
            </w:r>
          </w:p>
        </w:tc>
        <w:tc>
          <w:tcPr>
            <w:tcW w:type="dxa" w:w="4752"/>
            <w:tcMar>
              <w:top w:w="100" w:type="dxa"/>
              <w:start w:w="110" w:type="dxa"/>
              <w:bottom w:w="100" w:type="dxa"/>
              <w:end w:w="110" w:type="dxa"/>
            </w:tcMar>
            <w:tcBorders>
              <w:top w:val="single" w:sz="6" w:color="D9D9D9"/>
              <w:start w:val="single" w:sz="6" w:color="D9D9D9"/>
              <w:bottom w:val="single" w:sz="6" w:color="D9D9D9"/>
              <w:end w:val="single" w:sz="6" w:color="D9D9D9"/>
              <w:insideH w:val="single" w:sz="6" w:color="D9D9D9"/>
              <w:insideV w:val="single" w:sz="6" w:color="D9D9D9"/>
            </w:tcBorders>
            <w:vAlign w:val="center"/>
          </w:tcPr>
          <w:p>
            <w:pPr>
              <w:spacing w:after="0" w:line="252" w:lineRule="auto"/>
              <w:jc w:val="left"/>
            </w:pPr>
            <w:r>
              <w:rPr>
                <w:rFonts w:ascii="Aptos" w:hAnsi="Aptos" w:eastAsia="Aptos"/>
                <w:b w:val="0"/>
                <w:i w:val="0"/>
                <w:color w:val="000000"/>
                <w:sz w:val="17"/>
              </w:rPr>
              <w:t>Dòng gần giống nhưng khác bản chất.</w:t>
            </w:r>
          </w:p>
        </w:tc>
        <w:tc>
          <w:tcPr>
            <w:tcW w:type="dxa" w:w="4608"/>
            <w:tcMar>
              <w:top w:w="100" w:type="dxa"/>
              <w:start w:w="110" w:type="dxa"/>
              <w:bottom w:w="100" w:type="dxa"/>
              <w:end w:w="110" w:type="dxa"/>
            </w:tcMar>
            <w:tcBorders>
              <w:top w:val="single" w:sz="6" w:color="D9D9D9"/>
              <w:start w:val="single" w:sz="6" w:color="D9D9D9"/>
              <w:bottom w:val="single" w:sz="6" w:color="D9D9D9"/>
              <w:end w:val="single" w:sz="6" w:color="D9D9D9"/>
              <w:insideH w:val="single" w:sz="6" w:color="D9D9D9"/>
              <w:insideV w:val="single" w:sz="6" w:color="D9D9D9"/>
            </w:tcBorders>
            <w:vAlign w:val="center"/>
          </w:tcPr>
          <w:p>
            <w:pPr>
              <w:spacing w:after="0" w:line="252" w:lineRule="auto"/>
              <w:jc w:val="left"/>
            </w:pPr>
            <w:r>
              <w:rPr>
                <w:rFonts w:ascii="Aptos" w:hAnsi="Aptos" w:eastAsia="Aptos"/>
                <w:b w:val="0"/>
                <w:i w:val="0"/>
                <w:color w:val="000000"/>
                <w:sz w:val="17"/>
              </w:rPr>
              <w:t>FAIL_MAPPING; không tự ghép để đủ coverage.</w:t>
            </w:r>
          </w:p>
        </w:tc>
      </w:tr>
      <w:tr>
        <w:tc>
          <w:tcPr>
            <w:tcW w:type="dxa" w:w="720"/>
            <w:shd w:fill="F4F7FA"/>
            <w:tcMar>
              <w:top w:w="100" w:type="dxa"/>
              <w:start w:w="110" w:type="dxa"/>
              <w:bottom w:w="100" w:type="dxa"/>
              <w:end w:w="110" w:type="dxa"/>
            </w:tcMar>
            <w:tcBorders>
              <w:top w:val="single" w:sz="6" w:color="D9D9D9"/>
              <w:start w:val="single" w:sz="6" w:color="D9D9D9"/>
              <w:bottom w:val="single" w:sz="6" w:color="D9D9D9"/>
              <w:end w:val="single" w:sz="6" w:color="D9D9D9"/>
              <w:insideH w:val="single" w:sz="6" w:color="D9D9D9"/>
              <w:insideV w:val="single" w:sz="6" w:color="D9D9D9"/>
            </w:tcBorders>
            <w:vAlign w:val="center"/>
          </w:tcPr>
          <w:p>
            <w:pPr>
              <w:spacing w:after="0" w:line="252" w:lineRule="auto"/>
              <w:jc w:val="center"/>
            </w:pPr>
            <w:r>
              <w:rPr>
                <w:rFonts w:ascii="Aptos" w:hAnsi="Aptos" w:eastAsia="Aptos"/>
                <w:b w:val="0"/>
                <w:i w:val="0"/>
                <w:color w:val="000000"/>
                <w:sz w:val="17"/>
              </w:rPr>
              <w:t>T12</w:t>
            </w:r>
          </w:p>
        </w:tc>
        <w:tc>
          <w:tcPr>
            <w:tcW w:type="dxa" w:w="4752"/>
            <w:shd w:fill="F4F7FA"/>
            <w:tcMar>
              <w:top w:w="100" w:type="dxa"/>
              <w:start w:w="110" w:type="dxa"/>
              <w:bottom w:w="100" w:type="dxa"/>
              <w:end w:w="110" w:type="dxa"/>
            </w:tcMar>
            <w:tcBorders>
              <w:top w:val="single" w:sz="6" w:color="D9D9D9"/>
              <w:start w:val="single" w:sz="6" w:color="D9D9D9"/>
              <w:bottom w:val="single" w:sz="6" w:color="D9D9D9"/>
              <w:end w:val="single" w:sz="6" w:color="D9D9D9"/>
              <w:insideH w:val="single" w:sz="6" w:color="D9D9D9"/>
              <w:insideV w:val="single" w:sz="6" w:color="D9D9D9"/>
            </w:tcBorders>
            <w:vAlign w:val="center"/>
          </w:tcPr>
          <w:p>
            <w:pPr>
              <w:spacing w:after="0" w:line="252" w:lineRule="auto"/>
              <w:jc w:val="left"/>
            </w:pPr>
            <w:r>
              <w:rPr>
                <w:rFonts w:ascii="Aptos" w:hAnsi="Aptos" w:eastAsia="Aptos"/>
                <w:b w:val="0"/>
                <w:i w:val="0"/>
                <w:color w:val="000000"/>
                <w:sz w:val="17"/>
              </w:rPr>
              <w:t>BCTC mới trình bày lại số cùng kỳ.</w:t>
            </w:r>
          </w:p>
        </w:tc>
        <w:tc>
          <w:tcPr>
            <w:tcW w:type="dxa" w:w="4608"/>
            <w:shd w:fill="F4F7FA"/>
            <w:tcMar>
              <w:top w:w="100" w:type="dxa"/>
              <w:start w:w="110" w:type="dxa"/>
              <w:bottom w:w="100" w:type="dxa"/>
              <w:end w:w="110" w:type="dxa"/>
            </w:tcMar>
            <w:tcBorders>
              <w:top w:val="single" w:sz="6" w:color="D9D9D9"/>
              <w:start w:val="single" w:sz="6" w:color="D9D9D9"/>
              <w:bottom w:val="single" w:sz="6" w:color="D9D9D9"/>
              <w:end w:val="single" w:sz="6" w:color="D9D9D9"/>
              <w:insideH w:val="single" w:sz="6" w:color="D9D9D9"/>
              <w:insideV w:val="single" w:sz="6" w:color="D9D9D9"/>
            </w:tcBorders>
            <w:vAlign w:val="center"/>
          </w:tcPr>
          <w:p>
            <w:pPr>
              <w:spacing w:after="0" w:line="252" w:lineRule="auto"/>
              <w:jc w:val="left"/>
            </w:pPr>
            <w:r>
              <w:rPr>
                <w:rFonts w:ascii="Aptos" w:hAnsi="Aptos" w:eastAsia="Aptos"/>
                <w:b w:val="0"/>
                <w:i w:val="0"/>
                <w:color w:val="000000"/>
                <w:sz w:val="17"/>
              </w:rPr>
              <w:t>Dùng số trình bày lại và lưu phiên bản nguồn.</w:t>
            </w:r>
          </w:p>
        </w:tc>
      </w:tr>
    </w:tbl>
    <w:p>
      <w:pPr>
        <w:spacing w:after="20"/>
      </w:pPr>
    </w:p>
    <w:p>
      <w:pPr>
        <w:pStyle w:val="Heading1"/>
        <w:keepNext/>
        <w:spacing w:before="200" w:after="100"/>
      </w:pPr>
      <w:r>
        <w:rPr>
          <w:rFonts w:ascii="Aptos" w:hAnsi="Aptos" w:eastAsia="Aptos"/>
          <w:b/>
          <w:i w:val="0"/>
          <w:color w:val="000000"/>
          <w:sz w:val="30"/>
        </w:rPr>
        <w:t>13 Mẫu kết luận IT gửi lại</w:t>
      </w:r>
    </w:p>
    <w:p>
      <w:pPr>
        <w:spacing w:after="100" w:line="269" w:lineRule="auto"/>
      </w:pPr>
      <w:r>
        <w:rPr>
          <w:rFonts w:ascii="Aptos" w:hAnsi="Aptos" w:eastAsia="Aptos"/>
          <w:b w:val="0"/>
          <w:i w:val="0"/>
          <w:color w:val="000000"/>
          <w:sz w:val="21"/>
        </w:rPr>
        <w:t>Báo cáo kết quả cần ngắn gọn nhưng đủ bằng chứng, gồm bốn phần:</w:t>
      </w:r>
    </w:p>
    <w:p>
      <w:pPr>
        <w:pStyle w:val="ListNumber"/>
        <w:spacing w:after="60"/>
      </w:pPr>
      <w:r>
        <w:rPr>
          <w:rFonts w:ascii="Aptos" w:hAnsi="Aptos" w:eastAsia="Aptos"/>
          <w:b w:val="0"/>
          <w:i w:val="0"/>
          <w:color w:val="000000"/>
          <w:sz w:val="21"/>
        </w:rPr>
        <w:t>Độ phủ dữ liệu: số mã, số quý, tỷ lệ DIRECT, DERIVED, FAIL theo từng trường.</w:t>
      </w:r>
    </w:p>
    <w:p>
      <w:pPr>
        <w:pStyle w:val="ListNumber"/>
        <w:spacing w:after="60"/>
      </w:pPr>
      <w:r>
        <w:rPr>
          <w:rFonts w:ascii="Aptos" w:hAnsi="Aptos" w:eastAsia="Aptos"/>
          <w:b w:val="0"/>
          <w:i w:val="0"/>
          <w:color w:val="000000"/>
          <w:sz w:val="21"/>
        </w:rPr>
        <w:t>Danh sách mapping: dòng số nào của từng mẫu BCTC được dùng cho từng biến chuẩn.</w:t>
      </w:r>
    </w:p>
    <w:p>
      <w:pPr>
        <w:pStyle w:val="ListNumber"/>
        <w:spacing w:after="60"/>
      </w:pPr>
      <w:r>
        <w:rPr>
          <w:rFonts w:ascii="Aptos" w:hAnsi="Aptos" w:eastAsia="Aptos"/>
          <w:b w:val="0"/>
          <w:i w:val="0"/>
          <w:color w:val="000000"/>
          <w:sz w:val="21"/>
        </w:rPr>
        <w:t>Danh sách vấn đề: kỳ thiếu, thay đổi chính sách kế toán, dòng khác bản chất, số trình bày lại và các phép tách quý bất thường.</w:t>
      </w:r>
    </w:p>
    <w:p>
      <w:pPr>
        <w:pStyle w:val="ListNumber"/>
        <w:spacing w:after="60"/>
      </w:pPr>
      <w:r>
        <w:rPr>
          <w:rFonts w:ascii="Aptos" w:hAnsi="Aptos" w:eastAsia="Aptos"/>
          <w:b w:val="0"/>
          <w:i w:val="0"/>
          <w:color w:val="000000"/>
          <w:sz w:val="21"/>
        </w:rPr>
        <w:t>Kiến nghị: PASS để chuyển sang bước chốt thang điểm, hoặc FAIL kèm trường dữ liệu cần thay đổi/loại bỏ.</w:t>
      </w:r>
    </w:p>
    <w:p>
      <w:pPr>
        <w:pStyle w:val="Heading1"/>
        <w:keepNext/>
        <w:spacing w:before="200" w:after="100"/>
      </w:pPr>
      <w:r>
        <w:rPr>
          <w:rFonts w:ascii="Aptos" w:hAnsi="Aptos" w:eastAsia="Aptos"/>
          <w:b/>
          <w:i w:val="0"/>
          <w:color w:val="000000"/>
          <w:sz w:val="30"/>
        </w:rPr>
        <w:t>14 Kết luận triển khai</w:t>
      </w:r>
    </w:p>
    <w:p>
      <w:pPr>
        <w:spacing w:after="100" w:line="269" w:lineRule="auto"/>
      </w:pPr>
      <w:r>
        <w:rPr>
          <w:rFonts w:ascii="Aptos" w:hAnsi="Aptos" w:eastAsia="Aptos"/>
          <w:b w:val="0"/>
          <w:i w:val="0"/>
          <w:color w:val="000000"/>
          <w:sz w:val="21"/>
        </w:rPr>
        <w:t>Bộ 5 tiêu chí được chốt về mặt cấu trúc cho lớp Toàn ngành: EPS chuẩn hóa YoY, số quý EPS tăng trưởng, doanh thu bảo hiểm thuần YoY, ROE bốn quý và Đệm vốn BCTC. Mỗi tiêu chí tối đa 10 điểm, tổng 50 điểm.</w:t>
      </w:r>
    </w:p>
    <w:p>
      <w:pPr>
        <w:spacing w:after="100" w:line="269" w:lineRule="auto"/>
      </w:pPr>
      <w:r>
        <w:rPr>
          <w:rFonts w:ascii="Aptos" w:hAnsi="Aptos" w:eastAsia="Aptos"/>
          <w:b w:val="0"/>
          <w:i w:val="0"/>
          <w:color w:val="000000"/>
          <w:sz w:val="21"/>
        </w:rPr>
        <w:t>Tuy nhiên, quyết định đưa vào hệ thống chỉ được ban hành sau khi IT chứng minh dữ liệu đạt coverage yêu cầu. Kết quả pilot dùng để chốt mapping, ngưỡng doanh thu tăng nhanh hơn vốn và thang điểm Đệm vốn BCTC. Sau đó nhóm mới thiết kế 30 điểm Hiệu quả bảo hiểm riêng cho từng loại hình và các lớp đánh giá còn lại.</w:t>
      </w:r>
    </w:p>
    <w:p>
      <w:pPr>
        <w:pStyle w:val="Heading1"/>
        <w:keepNext/>
        <w:spacing w:before="200" w:after="100"/>
      </w:pPr>
      <w:r>
        <w:rPr>
          <w:rFonts w:ascii="Aptos" w:hAnsi="Aptos" w:eastAsia="Aptos"/>
          <w:b/>
          <w:i w:val="0"/>
          <w:color w:val="000000"/>
          <w:sz w:val="30"/>
        </w:rPr>
        <w:t>Phụ lục A Tóm tắt công thức</w:t>
      </w:r>
    </w:p>
    <w:tbl>
      <w:tblPr>
        <w:tblW w:type="auto" w:w="0"/>
        <w:jc w:val="center"/>
        <w:tblLayout w:type="fixed"/>
        <w:tblLook w:firstColumn="1" w:firstRow="1" w:lastColumn="0" w:lastRow="0" w:noHBand="0" w:noVBand="1" w:val="04A0"/>
      </w:tblPr>
      <w:tblGrid>
        <w:gridCol w:w="3408"/>
        <w:gridCol w:w="3408"/>
        <w:gridCol w:w="3408"/>
      </w:tblGrid>
      <w:tr>
        <w:trPr>
          <w:tblHeader w:val="true"/>
        </w:trPr>
        <w:tc>
          <w:tcPr>
            <w:tcW w:type="dxa" w:w="2304"/>
            <w:shd w:fill="17365D"/>
            <w:tcMar>
              <w:top w:w="100" w:type="dxa"/>
              <w:start w:w="110" w:type="dxa"/>
              <w:bottom w:w="100" w:type="dxa"/>
              <w:end w:w="110" w:type="dxa"/>
            </w:tcMar>
            <w:tcBorders>
              <w:top w:val="single" w:sz="6" w:color="D9D9D9"/>
              <w:start w:val="single" w:sz="6" w:color="D9D9D9"/>
              <w:bottom w:val="single" w:sz="6" w:color="D9D9D9"/>
              <w:end w:val="single" w:sz="6" w:color="D9D9D9"/>
              <w:insideH w:val="single" w:sz="6" w:color="D9D9D9"/>
              <w:insideV w:val="single" w:sz="6" w:color="D9D9D9"/>
            </w:tcBorders>
            <w:vAlign w:val="center"/>
          </w:tcPr>
          <w:p>
            <w:pPr>
              <w:spacing w:after="0"/>
              <w:jc w:val="center"/>
            </w:pPr>
            <w:r>
              <w:rPr>
                <w:rFonts w:ascii="Aptos" w:hAnsi="Aptos" w:eastAsia="Aptos"/>
                <w:b/>
                <w:i w:val="0"/>
                <w:color w:val="FFFFFF"/>
                <w:sz w:val="18"/>
              </w:rPr>
              <w:t>Tiêu chí</w:t>
            </w:r>
          </w:p>
        </w:tc>
        <w:tc>
          <w:tcPr>
            <w:tcW w:type="dxa" w:w="6696"/>
            <w:shd w:fill="17365D"/>
            <w:tcMar>
              <w:top w:w="100" w:type="dxa"/>
              <w:start w:w="110" w:type="dxa"/>
              <w:bottom w:w="100" w:type="dxa"/>
              <w:end w:w="110" w:type="dxa"/>
            </w:tcMar>
            <w:tcBorders>
              <w:top w:val="single" w:sz="6" w:color="D9D9D9"/>
              <w:start w:val="single" w:sz="6" w:color="D9D9D9"/>
              <w:bottom w:val="single" w:sz="6" w:color="D9D9D9"/>
              <w:end w:val="single" w:sz="6" w:color="D9D9D9"/>
              <w:insideH w:val="single" w:sz="6" w:color="D9D9D9"/>
              <w:insideV w:val="single" w:sz="6" w:color="D9D9D9"/>
            </w:tcBorders>
            <w:vAlign w:val="center"/>
          </w:tcPr>
          <w:p>
            <w:pPr>
              <w:spacing w:after="0"/>
              <w:jc w:val="center"/>
            </w:pPr>
            <w:r>
              <w:rPr>
                <w:rFonts w:ascii="Aptos" w:hAnsi="Aptos" w:eastAsia="Aptos"/>
                <w:b/>
                <w:i w:val="0"/>
                <w:color w:val="FFFFFF"/>
                <w:sz w:val="18"/>
              </w:rPr>
              <w:t>Công thức chính</w:t>
            </w:r>
          </w:p>
        </w:tc>
        <w:tc>
          <w:tcPr>
            <w:tcW w:type="dxa" w:w="936"/>
            <w:shd w:fill="17365D"/>
            <w:tcMar>
              <w:top w:w="100" w:type="dxa"/>
              <w:start w:w="110" w:type="dxa"/>
              <w:bottom w:w="100" w:type="dxa"/>
              <w:end w:w="110" w:type="dxa"/>
            </w:tcMar>
            <w:tcBorders>
              <w:top w:val="single" w:sz="6" w:color="D9D9D9"/>
              <w:start w:val="single" w:sz="6" w:color="D9D9D9"/>
              <w:bottom w:val="single" w:sz="6" w:color="D9D9D9"/>
              <w:end w:val="single" w:sz="6" w:color="D9D9D9"/>
              <w:insideH w:val="single" w:sz="6" w:color="D9D9D9"/>
              <w:insideV w:val="single" w:sz="6" w:color="D9D9D9"/>
            </w:tcBorders>
            <w:vAlign w:val="center"/>
          </w:tcPr>
          <w:p>
            <w:pPr>
              <w:spacing w:after="0"/>
              <w:jc w:val="center"/>
            </w:pPr>
            <w:r>
              <w:rPr>
                <w:rFonts w:ascii="Aptos" w:hAnsi="Aptos" w:eastAsia="Aptos"/>
                <w:b/>
                <w:i w:val="0"/>
                <w:color w:val="FFFFFF"/>
                <w:sz w:val="18"/>
              </w:rPr>
              <w:t>Điểm</w:t>
            </w:r>
          </w:p>
        </w:tc>
      </w:tr>
      <w:tr>
        <w:tc>
          <w:tcPr>
            <w:tcW w:type="dxa" w:w="2304"/>
            <w:tcMar>
              <w:top w:w="100" w:type="dxa"/>
              <w:start w:w="110" w:type="dxa"/>
              <w:bottom w:w="100" w:type="dxa"/>
              <w:end w:w="110" w:type="dxa"/>
            </w:tcMar>
            <w:tcBorders>
              <w:top w:val="single" w:sz="6" w:color="D9D9D9"/>
              <w:start w:val="single" w:sz="6" w:color="D9D9D9"/>
              <w:bottom w:val="single" w:sz="6" w:color="D9D9D9"/>
              <w:end w:val="single" w:sz="6" w:color="D9D9D9"/>
              <w:insideH w:val="single" w:sz="6" w:color="D9D9D9"/>
              <w:insideV w:val="single" w:sz="6" w:color="D9D9D9"/>
            </w:tcBorders>
            <w:vAlign w:val="center"/>
          </w:tcPr>
          <w:p>
            <w:pPr>
              <w:spacing w:after="0" w:line="252" w:lineRule="auto"/>
              <w:jc w:val="center"/>
            </w:pPr>
            <w:r>
              <w:rPr>
                <w:rFonts w:ascii="Aptos" w:hAnsi="Aptos" w:eastAsia="Aptos"/>
                <w:b w:val="0"/>
                <w:i w:val="0"/>
                <w:color w:val="000000"/>
                <w:sz w:val="18"/>
              </w:rPr>
              <w:t>EPS chuẩn hóa YoY</w:t>
            </w:r>
          </w:p>
        </w:tc>
        <w:tc>
          <w:tcPr>
            <w:tcW w:type="dxa" w:w="6696"/>
            <w:tcMar>
              <w:top w:w="100" w:type="dxa"/>
              <w:start w:w="110" w:type="dxa"/>
              <w:bottom w:w="100" w:type="dxa"/>
              <w:end w:w="110" w:type="dxa"/>
            </w:tcMar>
            <w:tcBorders>
              <w:top w:val="single" w:sz="6" w:color="D9D9D9"/>
              <w:start w:val="single" w:sz="6" w:color="D9D9D9"/>
              <w:bottom w:val="single" w:sz="6" w:color="D9D9D9"/>
              <w:end w:val="single" w:sz="6" w:color="D9D9D9"/>
              <w:insideH w:val="single" w:sz="6" w:color="D9D9D9"/>
              <w:insideV w:val="single" w:sz="6" w:color="D9D9D9"/>
            </w:tcBorders>
            <w:vAlign w:val="center"/>
          </w:tcPr>
          <w:p>
            <w:pPr>
              <w:spacing w:after="0" w:line="252" w:lineRule="auto"/>
              <w:jc w:val="left"/>
            </w:pPr>
            <w:r>
              <w:rPr>
                <w:rFonts w:ascii="Aptos" w:hAnsi="Aptos" w:eastAsia="Aptos"/>
                <w:b w:val="0"/>
                <w:i w:val="0"/>
                <w:color w:val="000000"/>
                <w:sz w:val="18"/>
              </w:rPr>
              <w:t>(EPS_q - EPS_q-4) / |EPS_q-4| x 100%; ngoại lệ theo engine bảng Sản xuất.</w:t>
            </w:r>
          </w:p>
        </w:tc>
        <w:tc>
          <w:tcPr>
            <w:tcW w:type="dxa" w:w="936"/>
            <w:tcMar>
              <w:top w:w="100" w:type="dxa"/>
              <w:start w:w="110" w:type="dxa"/>
              <w:bottom w:w="100" w:type="dxa"/>
              <w:end w:w="110" w:type="dxa"/>
            </w:tcMar>
            <w:tcBorders>
              <w:top w:val="single" w:sz="6" w:color="D9D9D9"/>
              <w:start w:val="single" w:sz="6" w:color="D9D9D9"/>
              <w:bottom w:val="single" w:sz="6" w:color="D9D9D9"/>
              <w:end w:val="single" w:sz="6" w:color="D9D9D9"/>
              <w:insideH w:val="single" w:sz="6" w:color="D9D9D9"/>
              <w:insideV w:val="single" w:sz="6" w:color="D9D9D9"/>
            </w:tcBorders>
            <w:vAlign w:val="center"/>
          </w:tcPr>
          <w:p>
            <w:pPr>
              <w:spacing w:after="0" w:line="252" w:lineRule="auto"/>
              <w:jc w:val="center"/>
            </w:pPr>
            <w:r>
              <w:rPr>
                <w:rFonts w:ascii="Aptos" w:hAnsi="Aptos" w:eastAsia="Aptos"/>
                <w:b w:val="0"/>
                <w:i w:val="0"/>
                <w:color w:val="000000"/>
                <w:sz w:val="18"/>
              </w:rPr>
              <w:t>10</w:t>
            </w:r>
          </w:p>
        </w:tc>
      </w:tr>
      <w:tr>
        <w:tc>
          <w:tcPr>
            <w:tcW w:type="dxa" w:w="2304"/>
            <w:shd w:fill="F4F7FA"/>
            <w:tcMar>
              <w:top w:w="100" w:type="dxa"/>
              <w:start w:w="110" w:type="dxa"/>
              <w:bottom w:w="100" w:type="dxa"/>
              <w:end w:w="110" w:type="dxa"/>
            </w:tcMar>
            <w:tcBorders>
              <w:top w:val="single" w:sz="6" w:color="D9D9D9"/>
              <w:start w:val="single" w:sz="6" w:color="D9D9D9"/>
              <w:bottom w:val="single" w:sz="6" w:color="D9D9D9"/>
              <w:end w:val="single" w:sz="6" w:color="D9D9D9"/>
              <w:insideH w:val="single" w:sz="6" w:color="D9D9D9"/>
              <w:insideV w:val="single" w:sz="6" w:color="D9D9D9"/>
            </w:tcBorders>
            <w:vAlign w:val="center"/>
          </w:tcPr>
          <w:p>
            <w:pPr>
              <w:spacing w:after="0" w:line="252" w:lineRule="auto"/>
              <w:jc w:val="center"/>
            </w:pPr>
            <w:r>
              <w:rPr>
                <w:rFonts w:ascii="Aptos" w:hAnsi="Aptos" w:eastAsia="Aptos"/>
                <w:b w:val="0"/>
                <w:i w:val="0"/>
                <w:color w:val="000000"/>
                <w:sz w:val="18"/>
              </w:rPr>
              <w:t>Số quý EPS tăng</w:t>
            </w:r>
          </w:p>
        </w:tc>
        <w:tc>
          <w:tcPr>
            <w:tcW w:type="dxa" w:w="6696"/>
            <w:shd w:fill="F4F7FA"/>
            <w:tcMar>
              <w:top w:w="100" w:type="dxa"/>
              <w:start w:w="110" w:type="dxa"/>
              <w:bottom w:w="100" w:type="dxa"/>
              <w:end w:w="110" w:type="dxa"/>
            </w:tcMar>
            <w:tcBorders>
              <w:top w:val="single" w:sz="6" w:color="D9D9D9"/>
              <w:start w:val="single" w:sz="6" w:color="D9D9D9"/>
              <w:bottom w:val="single" w:sz="6" w:color="D9D9D9"/>
              <w:end w:val="single" w:sz="6" w:color="D9D9D9"/>
              <w:insideH w:val="single" w:sz="6" w:color="D9D9D9"/>
              <w:insideV w:val="single" w:sz="6" w:color="D9D9D9"/>
            </w:tcBorders>
            <w:vAlign w:val="center"/>
          </w:tcPr>
          <w:p>
            <w:pPr>
              <w:spacing w:after="0" w:line="252" w:lineRule="auto"/>
              <w:jc w:val="left"/>
            </w:pPr>
            <w:r>
              <w:rPr>
                <w:rFonts w:ascii="Aptos" w:hAnsi="Aptos" w:eastAsia="Aptos"/>
                <w:b w:val="0"/>
                <w:i w:val="0"/>
                <w:color w:val="000000"/>
                <w:sz w:val="18"/>
              </w:rPr>
              <w:t>Tổng của 3 biến [EPS_t &gt; EPS_t-4], với t = q, q-1, q-2.</w:t>
            </w:r>
          </w:p>
        </w:tc>
        <w:tc>
          <w:tcPr>
            <w:tcW w:type="dxa" w:w="936"/>
            <w:shd w:fill="F4F7FA"/>
            <w:tcMar>
              <w:top w:w="100" w:type="dxa"/>
              <w:start w:w="110" w:type="dxa"/>
              <w:bottom w:w="100" w:type="dxa"/>
              <w:end w:w="110" w:type="dxa"/>
            </w:tcMar>
            <w:tcBorders>
              <w:top w:val="single" w:sz="6" w:color="D9D9D9"/>
              <w:start w:val="single" w:sz="6" w:color="D9D9D9"/>
              <w:bottom w:val="single" w:sz="6" w:color="D9D9D9"/>
              <w:end w:val="single" w:sz="6" w:color="D9D9D9"/>
              <w:insideH w:val="single" w:sz="6" w:color="D9D9D9"/>
              <w:insideV w:val="single" w:sz="6" w:color="D9D9D9"/>
            </w:tcBorders>
            <w:vAlign w:val="center"/>
          </w:tcPr>
          <w:p>
            <w:pPr>
              <w:spacing w:after="0" w:line="252" w:lineRule="auto"/>
              <w:jc w:val="center"/>
            </w:pPr>
            <w:r>
              <w:rPr>
                <w:rFonts w:ascii="Aptos" w:hAnsi="Aptos" w:eastAsia="Aptos"/>
                <w:b w:val="0"/>
                <w:i w:val="0"/>
                <w:color w:val="000000"/>
                <w:sz w:val="18"/>
              </w:rPr>
              <w:t>10</w:t>
            </w:r>
          </w:p>
        </w:tc>
      </w:tr>
      <w:tr>
        <w:tc>
          <w:tcPr>
            <w:tcW w:type="dxa" w:w="2304"/>
            <w:tcMar>
              <w:top w:w="100" w:type="dxa"/>
              <w:start w:w="110" w:type="dxa"/>
              <w:bottom w:w="100" w:type="dxa"/>
              <w:end w:w="110" w:type="dxa"/>
            </w:tcMar>
            <w:tcBorders>
              <w:top w:val="single" w:sz="6" w:color="D9D9D9"/>
              <w:start w:val="single" w:sz="6" w:color="D9D9D9"/>
              <w:bottom w:val="single" w:sz="6" w:color="D9D9D9"/>
              <w:end w:val="single" w:sz="6" w:color="D9D9D9"/>
              <w:insideH w:val="single" w:sz="6" w:color="D9D9D9"/>
              <w:insideV w:val="single" w:sz="6" w:color="D9D9D9"/>
            </w:tcBorders>
            <w:vAlign w:val="center"/>
          </w:tcPr>
          <w:p>
            <w:pPr>
              <w:spacing w:after="0" w:line="252" w:lineRule="auto"/>
              <w:jc w:val="center"/>
            </w:pPr>
            <w:r>
              <w:rPr>
                <w:rFonts w:ascii="Aptos" w:hAnsi="Aptos" w:eastAsia="Aptos"/>
                <w:b w:val="0"/>
                <w:i w:val="0"/>
                <w:color w:val="000000"/>
                <w:sz w:val="18"/>
              </w:rPr>
              <w:t>DTBH thuần YoY</w:t>
            </w:r>
          </w:p>
        </w:tc>
        <w:tc>
          <w:tcPr>
            <w:tcW w:type="dxa" w:w="6696"/>
            <w:tcMar>
              <w:top w:w="100" w:type="dxa"/>
              <w:start w:w="110" w:type="dxa"/>
              <w:bottom w:w="100" w:type="dxa"/>
              <w:end w:w="110" w:type="dxa"/>
            </w:tcMar>
            <w:tcBorders>
              <w:top w:val="single" w:sz="6" w:color="D9D9D9"/>
              <w:start w:val="single" w:sz="6" w:color="D9D9D9"/>
              <w:bottom w:val="single" w:sz="6" w:color="D9D9D9"/>
              <w:end w:val="single" w:sz="6" w:color="D9D9D9"/>
              <w:insideH w:val="single" w:sz="6" w:color="D9D9D9"/>
              <w:insideV w:val="single" w:sz="6" w:color="D9D9D9"/>
            </w:tcBorders>
            <w:vAlign w:val="center"/>
          </w:tcPr>
          <w:p>
            <w:pPr>
              <w:spacing w:after="0" w:line="252" w:lineRule="auto"/>
              <w:jc w:val="left"/>
            </w:pPr>
            <w:r>
              <w:rPr>
                <w:rFonts w:ascii="Aptos" w:hAnsi="Aptos" w:eastAsia="Aptos"/>
                <w:b w:val="0"/>
                <w:i w:val="0"/>
                <w:color w:val="000000"/>
                <w:sz w:val="18"/>
              </w:rPr>
              <w:t>(DTBH_q - DTBH_q-4) / |DTBH_q-4| x 100%.</w:t>
            </w:r>
          </w:p>
        </w:tc>
        <w:tc>
          <w:tcPr>
            <w:tcW w:type="dxa" w:w="936"/>
            <w:tcMar>
              <w:top w:w="100" w:type="dxa"/>
              <w:start w:w="110" w:type="dxa"/>
              <w:bottom w:w="100" w:type="dxa"/>
              <w:end w:w="110" w:type="dxa"/>
            </w:tcMar>
            <w:tcBorders>
              <w:top w:val="single" w:sz="6" w:color="D9D9D9"/>
              <w:start w:val="single" w:sz="6" w:color="D9D9D9"/>
              <w:bottom w:val="single" w:sz="6" w:color="D9D9D9"/>
              <w:end w:val="single" w:sz="6" w:color="D9D9D9"/>
              <w:insideH w:val="single" w:sz="6" w:color="D9D9D9"/>
              <w:insideV w:val="single" w:sz="6" w:color="D9D9D9"/>
            </w:tcBorders>
            <w:vAlign w:val="center"/>
          </w:tcPr>
          <w:p>
            <w:pPr>
              <w:spacing w:after="0" w:line="252" w:lineRule="auto"/>
              <w:jc w:val="center"/>
            </w:pPr>
            <w:r>
              <w:rPr>
                <w:rFonts w:ascii="Aptos" w:hAnsi="Aptos" w:eastAsia="Aptos"/>
                <w:b w:val="0"/>
                <w:i w:val="0"/>
                <w:color w:val="000000"/>
                <w:sz w:val="18"/>
              </w:rPr>
              <w:t>10</w:t>
            </w:r>
          </w:p>
        </w:tc>
      </w:tr>
      <w:tr>
        <w:tc>
          <w:tcPr>
            <w:tcW w:type="dxa" w:w="2304"/>
            <w:shd w:fill="F4F7FA"/>
            <w:tcMar>
              <w:top w:w="100" w:type="dxa"/>
              <w:start w:w="110" w:type="dxa"/>
              <w:bottom w:w="100" w:type="dxa"/>
              <w:end w:w="110" w:type="dxa"/>
            </w:tcMar>
            <w:tcBorders>
              <w:top w:val="single" w:sz="6" w:color="D9D9D9"/>
              <w:start w:val="single" w:sz="6" w:color="D9D9D9"/>
              <w:bottom w:val="single" w:sz="6" w:color="D9D9D9"/>
              <w:end w:val="single" w:sz="6" w:color="D9D9D9"/>
              <w:insideH w:val="single" w:sz="6" w:color="D9D9D9"/>
              <w:insideV w:val="single" w:sz="6" w:color="D9D9D9"/>
            </w:tcBorders>
            <w:vAlign w:val="center"/>
          </w:tcPr>
          <w:p>
            <w:pPr>
              <w:spacing w:after="0" w:line="252" w:lineRule="auto"/>
              <w:jc w:val="center"/>
            </w:pPr>
            <w:r>
              <w:rPr>
                <w:rFonts w:ascii="Aptos" w:hAnsi="Aptos" w:eastAsia="Aptos"/>
                <w:b w:val="0"/>
                <w:i w:val="0"/>
                <w:color w:val="000000"/>
                <w:sz w:val="18"/>
              </w:rPr>
              <w:t>ROE TTM</w:t>
            </w:r>
          </w:p>
        </w:tc>
        <w:tc>
          <w:tcPr>
            <w:tcW w:type="dxa" w:w="6696"/>
            <w:shd w:fill="F4F7FA"/>
            <w:tcMar>
              <w:top w:w="100" w:type="dxa"/>
              <w:start w:w="110" w:type="dxa"/>
              <w:bottom w:w="100" w:type="dxa"/>
              <w:end w:w="110" w:type="dxa"/>
            </w:tcMar>
            <w:tcBorders>
              <w:top w:val="single" w:sz="6" w:color="D9D9D9"/>
              <w:start w:val="single" w:sz="6" w:color="D9D9D9"/>
              <w:bottom w:val="single" w:sz="6" w:color="D9D9D9"/>
              <w:end w:val="single" w:sz="6" w:color="D9D9D9"/>
              <w:insideH w:val="single" w:sz="6" w:color="D9D9D9"/>
              <w:insideV w:val="single" w:sz="6" w:color="D9D9D9"/>
            </w:tcBorders>
            <w:vAlign w:val="center"/>
          </w:tcPr>
          <w:p>
            <w:pPr>
              <w:spacing w:after="0" w:line="252" w:lineRule="auto"/>
              <w:jc w:val="left"/>
            </w:pPr>
            <w:r>
              <w:rPr>
                <w:rFonts w:ascii="Aptos" w:hAnsi="Aptos" w:eastAsia="Aptos"/>
                <w:b w:val="0"/>
                <w:i w:val="0"/>
                <w:color w:val="000000"/>
                <w:sz w:val="18"/>
              </w:rPr>
              <w:t>LNST cổ đông mẹ 4 quý / VCSH cổ đông mẹ bình quân.</w:t>
            </w:r>
          </w:p>
        </w:tc>
        <w:tc>
          <w:tcPr>
            <w:tcW w:type="dxa" w:w="936"/>
            <w:shd w:fill="F4F7FA"/>
            <w:tcMar>
              <w:top w:w="100" w:type="dxa"/>
              <w:start w:w="110" w:type="dxa"/>
              <w:bottom w:w="100" w:type="dxa"/>
              <w:end w:w="110" w:type="dxa"/>
            </w:tcMar>
            <w:tcBorders>
              <w:top w:val="single" w:sz="6" w:color="D9D9D9"/>
              <w:start w:val="single" w:sz="6" w:color="D9D9D9"/>
              <w:bottom w:val="single" w:sz="6" w:color="D9D9D9"/>
              <w:end w:val="single" w:sz="6" w:color="D9D9D9"/>
              <w:insideH w:val="single" w:sz="6" w:color="D9D9D9"/>
              <w:insideV w:val="single" w:sz="6" w:color="D9D9D9"/>
            </w:tcBorders>
            <w:vAlign w:val="center"/>
          </w:tcPr>
          <w:p>
            <w:pPr>
              <w:spacing w:after="0" w:line="252" w:lineRule="auto"/>
              <w:jc w:val="center"/>
            </w:pPr>
            <w:r>
              <w:rPr>
                <w:rFonts w:ascii="Aptos" w:hAnsi="Aptos" w:eastAsia="Aptos"/>
                <w:b w:val="0"/>
                <w:i w:val="0"/>
                <w:color w:val="000000"/>
                <w:sz w:val="18"/>
              </w:rPr>
              <w:t>10</w:t>
            </w:r>
          </w:p>
        </w:tc>
      </w:tr>
      <w:tr>
        <w:tc>
          <w:tcPr>
            <w:tcW w:type="dxa" w:w="2304"/>
            <w:tcMar>
              <w:top w:w="100" w:type="dxa"/>
              <w:start w:w="110" w:type="dxa"/>
              <w:bottom w:w="100" w:type="dxa"/>
              <w:end w:w="110" w:type="dxa"/>
            </w:tcMar>
            <w:tcBorders>
              <w:top w:val="single" w:sz="6" w:color="D9D9D9"/>
              <w:start w:val="single" w:sz="6" w:color="D9D9D9"/>
              <w:bottom w:val="single" w:sz="6" w:color="D9D9D9"/>
              <w:end w:val="single" w:sz="6" w:color="D9D9D9"/>
              <w:insideH w:val="single" w:sz="6" w:color="D9D9D9"/>
              <w:insideV w:val="single" w:sz="6" w:color="D9D9D9"/>
            </w:tcBorders>
            <w:vAlign w:val="center"/>
          </w:tcPr>
          <w:p>
            <w:pPr>
              <w:spacing w:after="0" w:line="252" w:lineRule="auto"/>
              <w:jc w:val="center"/>
            </w:pPr>
            <w:r>
              <w:rPr>
                <w:rFonts w:ascii="Aptos" w:hAnsi="Aptos" w:eastAsia="Aptos"/>
                <w:b w:val="0"/>
                <w:i w:val="0"/>
                <w:color w:val="000000"/>
                <w:sz w:val="18"/>
              </w:rPr>
              <w:t>Đệm vốn BCTC</w:t>
            </w:r>
          </w:p>
        </w:tc>
        <w:tc>
          <w:tcPr>
            <w:tcW w:type="dxa" w:w="6696"/>
            <w:tcMar>
              <w:top w:w="100" w:type="dxa"/>
              <w:start w:w="110" w:type="dxa"/>
              <w:bottom w:w="100" w:type="dxa"/>
              <w:end w:w="110" w:type="dxa"/>
            </w:tcMar>
            <w:tcBorders>
              <w:top w:val="single" w:sz="6" w:color="D9D9D9"/>
              <w:start w:val="single" w:sz="6" w:color="D9D9D9"/>
              <w:bottom w:val="single" w:sz="6" w:color="D9D9D9"/>
              <w:end w:val="single" w:sz="6" w:color="D9D9D9"/>
              <w:insideH w:val="single" w:sz="6" w:color="D9D9D9"/>
              <w:insideV w:val="single" w:sz="6" w:color="D9D9D9"/>
            </w:tcBorders>
            <w:vAlign w:val="center"/>
          </w:tcPr>
          <w:p>
            <w:pPr>
              <w:spacing w:after="0" w:line="252" w:lineRule="auto"/>
              <w:jc w:val="left"/>
            </w:pPr>
            <w:r>
              <w:rPr>
                <w:rFonts w:ascii="Aptos" w:hAnsi="Aptos" w:eastAsia="Aptos"/>
                <w:b w:val="0"/>
                <w:i w:val="0"/>
                <w:color w:val="000000"/>
                <w:sz w:val="18"/>
              </w:rPr>
              <w:t>Tổng VCSH / Tổng dự phòng nghiệp vụ; so với trung vị 20 quý và cùng kỳ.</w:t>
            </w:r>
          </w:p>
        </w:tc>
        <w:tc>
          <w:tcPr>
            <w:tcW w:type="dxa" w:w="936"/>
            <w:tcMar>
              <w:top w:w="100" w:type="dxa"/>
              <w:start w:w="110" w:type="dxa"/>
              <w:bottom w:w="100" w:type="dxa"/>
              <w:end w:w="110" w:type="dxa"/>
            </w:tcMar>
            <w:tcBorders>
              <w:top w:val="single" w:sz="6" w:color="D9D9D9"/>
              <w:start w:val="single" w:sz="6" w:color="D9D9D9"/>
              <w:bottom w:val="single" w:sz="6" w:color="D9D9D9"/>
              <w:end w:val="single" w:sz="6" w:color="D9D9D9"/>
              <w:insideH w:val="single" w:sz="6" w:color="D9D9D9"/>
              <w:insideV w:val="single" w:sz="6" w:color="D9D9D9"/>
            </w:tcBorders>
            <w:vAlign w:val="center"/>
          </w:tcPr>
          <w:p>
            <w:pPr>
              <w:spacing w:after="0" w:line="252" w:lineRule="auto"/>
              <w:jc w:val="center"/>
            </w:pPr>
            <w:r>
              <w:rPr>
                <w:rFonts w:ascii="Aptos" w:hAnsi="Aptos" w:eastAsia="Aptos"/>
                <w:b w:val="0"/>
                <w:i w:val="0"/>
                <w:color w:val="000000"/>
                <w:sz w:val="18"/>
              </w:rPr>
              <w:t>10</w:t>
            </w:r>
          </w:p>
        </w:tc>
      </w:tr>
    </w:tbl>
    <w:p>
      <w:pPr>
        <w:spacing w:after="20"/>
      </w:pPr>
    </w:p>
    <w:p>
      <w:pPr>
        <w:pStyle w:val="Heading1"/>
        <w:keepNext/>
        <w:spacing w:before="200" w:after="100"/>
      </w:pPr>
      <w:r>
        <w:rPr>
          <w:rFonts w:ascii="Aptos" w:hAnsi="Aptos" w:eastAsia="Aptos"/>
          <w:b/>
          <w:i w:val="0"/>
          <w:color w:val="000000"/>
          <w:sz w:val="30"/>
        </w:rPr>
        <w:t>Phụ lục B Nguyên tắc không được vi phạm</w:t>
      </w:r>
    </w:p>
    <w:p>
      <w:pPr>
        <w:pStyle w:val="ListBullet"/>
        <w:spacing w:after="60" w:line="259" w:lineRule="auto"/>
      </w:pPr>
      <w:r>
        <w:rPr>
          <w:rFonts w:ascii="Aptos" w:hAnsi="Aptos" w:eastAsia="Aptos"/>
          <w:b w:val="0"/>
          <w:i w:val="0"/>
          <w:color w:val="000000"/>
          <w:sz w:val="21"/>
        </w:rPr>
        <w:t>Không dùng dữ liệu ngoài BCTC cho điểm pilot.</w:t>
      </w:r>
    </w:p>
    <w:p>
      <w:pPr>
        <w:pStyle w:val="ListBullet"/>
        <w:spacing w:after="60" w:line="259" w:lineRule="auto"/>
      </w:pPr>
      <w:r>
        <w:rPr>
          <w:rFonts w:ascii="Aptos" w:hAnsi="Aptos" w:eastAsia="Aptos"/>
          <w:b w:val="0"/>
          <w:i w:val="0"/>
          <w:color w:val="000000"/>
          <w:sz w:val="21"/>
        </w:rPr>
        <w:t>Không suy đoán để lấp dữ liệu.</w:t>
      </w:r>
    </w:p>
    <w:p>
      <w:pPr>
        <w:pStyle w:val="ListBullet"/>
        <w:spacing w:after="60" w:line="259" w:lineRule="auto"/>
      </w:pPr>
      <w:r>
        <w:rPr>
          <w:rFonts w:ascii="Aptos" w:hAnsi="Aptos" w:eastAsia="Aptos"/>
          <w:b w:val="0"/>
          <w:i w:val="0"/>
          <w:color w:val="000000"/>
          <w:sz w:val="21"/>
        </w:rPr>
        <w:t>Không dùng N/A trong sản phẩm cuối; nếu thiếu dữ liệu ở pilot phải FAIL và sửa cấu trúc trước.</w:t>
      </w:r>
    </w:p>
    <w:p>
      <w:pPr>
        <w:pStyle w:val="ListBullet"/>
        <w:spacing w:after="60" w:line="259" w:lineRule="auto"/>
      </w:pPr>
      <w:r>
        <w:rPr>
          <w:rFonts w:ascii="Aptos" w:hAnsi="Aptos" w:eastAsia="Aptos"/>
          <w:b w:val="0"/>
          <w:i w:val="0"/>
          <w:color w:val="000000"/>
          <w:sz w:val="21"/>
        </w:rPr>
        <w:t>Không gọi Đệm vốn BCTC là tỷ lệ khả năng thanh toán theo quy định.</w:t>
      </w:r>
    </w:p>
    <w:p>
      <w:pPr>
        <w:pStyle w:val="ListBullet"/>
        <w:spacing w:after="60" w:line="259" w:lineRule="auto"/>
      </w:pPr>
      <w:r>
        <w:rPr>
          <w:rFonts w:ascii="Aptos" w:hAnsi="Aptos" w:eastAsia="Aptos"/>
          <w:b w:val="0"/>
          <w:i w:val="0"/>
          <w:color w:val="000000"/>
          <w:sz w:val="21"/>
        </w:rPr>
        <w:t>Không chấm trùng EPS bằng LNST và không chấm trùng doanh thu bảo hiểm bằng nhiều biến phí khác nhau.</w:t>
      </w:r>
    </w:p>
    <w:p>
      <w:pPr>
        <w:pStyle w:val="ListBullet"/>
        <w:spacing w:after="60" w:line="259" w:lineRule="auto"/>
      </w:pPr>
      <w:r>
        <w:rPr>
          <w:rFonts w:ascii="Aptos" w:hAnsi="Aptos" w:eastAsia="Aptos"/>
          <w:b w:val="0"/>
          <w:i w:val="0"/>
          <w:color w:val="000000"/>
          <w:sz w:val="21"/>
        </w:rPr>
        <w:t>Không coi doanh thu bảo hiểm tăng càng nhanh càng tốt nếu vốn không theo kịp.</w:t>
      </w:r>
    </w:p>
    <w:p>
      <w:pPr>
        <w:pStyle w:val="ListBullet"/>
        <w:spacing w:after="60" w:line="259" w:lineRule="auto"/>
      </w:pPr>
      <w:r>
        <w:rPr>
          <w:rFonts w:ascii="Aptos" w:hAnsi="Aptos" w:eastAsia="Aptos"/>
          <w:b w:val="0"/>
          <w:i w:val="0"/>
          <w:color w:val="000000"/>
          <w:sz w:val="21"/>
        </w:rPr>
        <w:t>Không chuyển sang thiết kế sâu từng loại hình trước khi hoàn tất kiểm tra 5 tiêu chí chung.</w:t>
      </w:r>
    </w:p>
    <w:sectPr w:rsidR="00FC693F" w:rsidRPr="0006063C" w:rsidSect="00034616">
      <w:footerReference w:type="default" r:id="rId9"/>
      <w:pgSz w:w="12240" w:h="15840"/>
      <w:pgMar w:top="893" w:right="1008" w:bottom="893"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eastAsia="Aptos"/>
        <w:b w:val="0"/>
        <w:i w:val="0"/>
        <w:color w:val="666666"/>
        <w:sz w:val="16"/>
      </w:rPr>
      <w:t>Lọc Tín Hiệu  |  Đặc tả kiểm tra dữ liệu ngành bảo hiểm</w:t>
    </w:r>
  </w:p>
  <w:p>
    <w:pPr>
      <w:jc w:val="right"/>
    </w:pPr>
    <w:r>
      <w:rPr>
        <w:rFonts w:ascii="Aptos" w:hAnsi="Aptos" w:eastAsia="Aptos"/>
        <w:b w:val="0"/>
        <w:i w:val="0"/>
        <w:color w:val="777777"/>
        <w:sz w:val="16"/>
      </w:rPr>
      <w:t xml:space="preserve">Trang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eastAsia="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eastAsia="Aptos Display"/>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eastAsia="Aptos Display"/>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eastAsia="Aptos Display"/>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eastAsia="Aptos Display"/>
      <w:b/>
      <w:color w:val="000000"/>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Đặc tả kiểm tra dữ liệu 5 tiêu chí Toàn ngành Bảo hiểm</dc:title>
  <dc:subject>Tài liệu giao IT kiểm tra dữ liệu BCTC trước khi xây bộ chấm điểm ngành bảo hiểm</dc:subject>
  <dc:creator>Lọc Tín Hiệu</dc:creator>
  <cp:keywords/>
  <dc:description>generated by python-docx</dc:description>
  <cp:lastModifiedBy/>
  <cp:revision>1</cp:revision>
  <dcterms:created xsi:type="dcterms:W3CDTF">2013-12-23T23:15:00Z</dcterms:created>
  <dcterms:modified xsi:type="dcterms:W3CDTF">2013-12-23T23:15:00Z</dcterms:modified>
  <cp:category/>
</cp:coreProperties>
</file>