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pPr>
      <w:r>
        <w:rPr>
          <w:b/>
          <w:color w:val="2F75B5"/>
          <w:sz w:val="20"/>
        </w:rPr>
        <w:t>LỌC TÍN HIỆU</w:t>
      </w:r>
    </w:p>
    <w:p>
      <w:pPr>
        <w:pStyle w:val="Title"/>
      </w:pPr>
      <w:r>
        <w:t>Đặc tả triển khai tab Toàn ngành bảo hiểm</w:t>
      </w:r>
    </w:p>
    <w:p>
      <w:pPr>
        <w:spacing w:after="360"/>
      </w:pPr>
      <w:r>
        <w:rPr>
          <w:color w:val="464646"/>
          <w:sz w:val="28"/>
        </w:rPr>
        <w:t>Phản hồi và yêu cầu xử lý sau báo cáo kiểm tra dữ liệu của IT</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2232"/>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b/>
                <w:color w:val="FFFFFF"/>
                <w:sz w:val="18"/>
              </w:rPr>
              <w:t>Nội dung</w:t>
            </w:r>
          </w:p>
        </w:tc>
        <w:tc>
          <w:tcPr>
            <w:tcW w:type="dxa" w:w="7632"/>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b/>
                <w:color w:val="FFFFFF"/>
                <w:sz w:val="18"/>
              </w:rPr>
              <w:t>Thông tin</w:t>
            </w:r>
          </w:p>
        </w:tc>
      </w:tr>
      <w:tr>
        <w:trPr>
          <w:cantSplit/>
        </w:trP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jc w:val="left"/>
            </w:pPr>
            <w:r>
              <w:rPr>
                <w:sz w:val="18"/>
              </w:rPr>
              <w:t>Người nhận</w:t>
            </w:r>
          </w:p>
        </w:tc>
        <w:tc>
          <w:tcPr>
            <w:tcW w:type="dxa" w:w="7632"/>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jc w:val="left"/>
            </w:pPr>
            <w:r>
              <w:rPr>
                <w:sz w:val="18"/>
              </w:rPr>
              <w:t>Nhóm IT phát triển Lọc Tín Hiệu</w:t>
            </w:r>
          </w:p>
        </w:tc>
      </w:tr>
      <w:tr>
        <w:trPr>
          <w:cantSplit/>
        </w:trP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3F7FB"/>
            <w:vAlign w:val="center"/>
          </w:tcPr>
          <w:p>
            <w:pPr>
              <w:spacing w:after="0" w:line="252" w:lineRule="auto"/>
              <w:jc w:val="left"/>
            </w:pPr>
            <w:r>
              <w:rPr>
                <w:sz w:val="18"/>
              </w:rPr>
              <w:t>Phạm vi</w:t>
            </w:r>
          </w:p>
        </w:tc>
        <w:tc>
          <w:tcPr>
            <w:tcW w:type="dxa" w:w="7632"/>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3F7FB"/>
            <w:vAlign w:val="center"/>
          </w:tcPr>
          <w:p>
            <w:pPr>
              <w:spacing w:after="0" w:line="252" w:lineRule="auto"/>
              <w:jc w:val="left"/>
            </w:pPr>
            <w:r>
              <w:rPr>
                <w:sz w:val="18"/>
              </w:rPr>
              <w:t>Tab Toàn ngành thuộc bộ lọc FA ngành bảo hiểm</w:t>
            </w:r>
          </w:p>
        </w:tc>
      </w:tr>
      <w:tr>
        <w:trPr>
          <w:cantSplit/>
        </w:trP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jc w:val="left"/>
            </w:pPr>
            <w:r>
              <w:rPr>
                <w:sz w:val="18"/>
              </w:rPr>
              <w:t>Quý kiểm tra</w:t>
            </w:r>
          </w:p>
        </w:tc>
        <w:tc>
          <w:tcPr>
            <w:tcW w:type="dxa" w:w="7632"/>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jc w:val="left"/>
            </w:pPr>
            <w:r>
              <w:rPr>
                <w:sz w:val="18"/>
              </w:rPr>
              <w:t>2026 Q2</w:t>
            </w:r>
          </w:p>
        </w:tc>
      </w:tr>
      <w:tr>
        <w:trPr>
          <w:cantSplit/>
        </w:trP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3F7FB"/>
            <w:vAlign w:val="center"/>
          </w:tcPr>
          <w:p>
            <w:pPr>
              <w:spacing w:after="0" w:line="252" w:lineRule="auto"/>
              <w:jc w:val="left"/>
            </w:pPr>
            <w:r>
              <w:rPr>
                <w:sz w:val="18"/>
              </w:rPr>
              <w:t>Ngày chốt</w:t>
            </w:r>
          </w:p>
        </w:tc>
        <w:tc>
          <w:tcPr>
            <w:tcW w:type="dxa" w:w="7632"/>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3F7FB"/>
            <w:vAlign w:val="center"/>
          </w:tcPr>
          <w:p>
            <w:pPr>
              <w:spacing w:after="0" w:line="252" w:lineRule="auto"/>
              <w:jc w:val="left"/>
            </w:pPr>
            <w:r>
              <w:rPr>
                <w:sz w:val="18"/>
              </w:rPr>
              <w:t>25/09/2026</w:t>
            </w:r>
          </w:p>
        </w:tc>
      </w:tr>
      <w:tr>
        <w:trPr>
          <w:cantSplit/>
        </w:trP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jc w:val="left"/>
            </w:pPr>
            <w:r>
              <w:rPr>
                <w:sz w:val="18"/>
              </w:rPr>
              <w:t>Mục tiêu</w:t>
            </w:r>
          </w:p>
        </w:tc>
        <w:tc>
          <w:tcPr>
            <w:tcW w:type="dxa" w:w="7632"/>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jc w:val="left"/>
            </w:pPr>
            <w:r>
              <w:rPr>
                <w:sz w:val="18"/>
              </w:rPr>
              <w:t>Chốt dữ liệu, công thức, logic điểm và điều kiện nghiệm thu trước khi lập trình giao diện</w:t>
            </w:r>
          </w:p>
        </w:tc>
      </w:tr>
    </w:tbl>
    <w:p>
      <w:pPr>
        <w:spacing w:after="40"/>
      </w:pPr>
    </w:p>
    <w:p>
      <w:pPr>
        <w:pStyle w:val="Heading1"/>
      </w:pPr>
      <w:r>
        <w:t>Kết luận triển khai</w:t>
      </w:r>
    </w:p>
    <w:p>
      <w:r>
        <w:rPr>
          <w:b/>
        </w:rPr>
        <w:t xml:space="preserve">Tab Toàn ngành có thể tiếp tục triển khai với 13 doanh nghiệp bảo hiểm đang có dữ liệu giao dịch và BCTC. </w:t>
      </w:r>
      <w:r>
        <w:t>Bộ điểm chung gồm 5 tiêu chí, tổng 50 điểm. Cả 5 tiêu chí phải tính được từ BCTC, không sử dụng N/A và không suy đoán. Cổng an toàn vốn là lớp kiểm soát sau chấm điểm, không cộng thêm điểm.</w:t>
      </w:r>
    </w:p>
    <w:p>
      <w:pPr>
        <w:pStyle w:val="ListBullet"/>
        <w:spacing w:after="60"/>
      </w:pPr>
      <w:r>
        <w:t>Không đưa thanh khoản, dòng tiền, tín hiệu kỹ thuật hoặc điểm mua vào phạm vi tài liệu này.</w:t>
      </w:r>
    </w:p>
    <w:p>
      <w:pPr>
        <w:pStyle w:val="ListBullet"/>
        <w:spacing w:after="60"/>
      </w:pPr>
      <w:r>
        <w:t>Không yêu cầu 20 quý để tính điểm hiện tại. Tám quý là đủ để tính điểm quý hiện tại và ΔFA so với quý trước; bộ EPS hiện có 9 quý đáp ứng vận hành.</w:t>
      </w:r>
    </w:p>
    <w:p>
      <w:pPr>
        <w:pStyle w:val="ListBullet"/>
        <w:spacing w:after="60"/>
      </w:pPr>
      <w:r>
        <w:t>Không dùng tỷ lệ khả năng thanh toán theo quy định tại tab Toàn ngành. Chỉ tiêu pháp lý này sẽ được xem xét ở tab chi tiết từng mô hình kinh doanh khi dữ liệu đủ đồng nhất.</w:t>
      </w:r>
    </w:p>
    <w:p>
      <w:pPr>
        <w:pStyle w:val="ListBullet"/>
        <w:spacing w:after="60"/>
      </w:pPr>
      <w:r>
        <w:t>Bảo hiểm phải được chặn khỏi bộ tiêu chí Sản xuất ngay khi bộ tiêu chí riêng được triển khai.</w:t>
      </w:r>
    </w:p>
    <w:p>
      <w:r>
        <w:br w:type="page"/>
      </w:r>
    </w:p>
    <w:p>
      <w:pPr>
        <w:pStyle w:val="Heading1"/>
      </w:pPr>
      <w:r>
        <w:t>1 Phạm vi và cấu trúc điểm</w:t>
      </w:r>
    </w:p>
    <w:p>
      <w:r>
        <w:t>Tab Toàn ngành là bước kiểm tra chung trước khi đi sâu vào Phi nhân thọ, Tái bảo hiểm và Holding Hỗn hợp. Mục tiêu là trả lời hai câu hỏi: doanh nghiệp đang tăng trưởng đến đâu và nền vốn có đang theo kịp tốc độ mở rộng nghiệp vụ hay không.</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520"/>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b/>
                <w:color w:val="FFFFFF"/>
                <w:sz w:val="18"/>
              </w:rPr>
              <w:t>Khối đánh giá</w:t>
            </w:r>
          </w:p>
        </w:tc>
        <w:tc>
          <w:tcPr>
            <w:tcW w:type="dxa" w:w="1152"/>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b/>
                <w:color w:val="FFFFFF"/>
                <w:sz w:val="18"/>
              </w:rPr>
              <w:t>Điểm</w:t>
            </w:r>
          </w:p>
        </w:tc>
        <w:tc>
          <w:tcPr>
            <w:tcW w:type="dxa" w:w="6192"/>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b/>
                <w:color w:val="FFFFFF"/>
                <w:sz w:val="18"/>
              </w:rPr>
              <w:t>Vai trò trong tab Toàn ngành</w:t>
            </w:r>
          </w:p>
        </w:tc>
      </w:tr>
      <w:tr>
        <w:trPr>
          <w:cantSplit/>
        </w:trPr>
        <w:tc>
          <w:tcPr>
            <w:tcW w:type="dxa" w:w="252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jc w:val="left"/>
            </w:pPr>
            <w:r>
              <w:rPr>
                <w:sz w:val="18"/>
              </w:rPr>
              <w:t>Năng lực tăng trưởng và nền vốn</w:t>
            </w:r>
          </w:p>
        </w:tc>
        <w:tc>
          <w:tcPr>
            <w:tcW w:type="dxa" w:w="1152"/>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jc w:val="center"/>
            </w:pPr>
            <w:r>
              <w:rPr>
                <w:sz w:val="18"/>
              </w:rPr>
              <w:t>50</w:t>
            </w:r>
          </w:p>
        </w:tc>
        <w:tc>
          <w:tcPr>
            <w:tcW w:type="dxa" w:w="6192"/>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jc w:val="left"/>
            </w:pPr>
            <w:r>
              <w:rPr>
                <w:sz w:val="18"/>
              </w:rPr>
              <w:t>Năm tiêu chí chung, mỗi tiêu chí 10 điểm; nội dung được đặc tả trong tài liệu này</w:t>
            </w:r>
          </w:p>
        </w:tc>
      </w:tr>
      <w:tr>
        <w:trPr>
          <w:cantSplit/>
        </w:trPr>
        <w:tc>
          <w:tcPr>
            <w:tcW w:type="dxa" w:w="252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3F7FB"/>
            <w:vAlign w:val="center"/>
          </w:tcPr>
          <w:p>
            <w:pPr>
              <w:spacing w:after="0" w:line="252" w:lineRule="auto"/>
              <w:jc w:val="left"/>
            </w:pPr>
            <w:r>
              <w:rPr>
                <w:sz w:val="18"/>
              </w:rPr>
              <w:t>Hiệu quả bảo hiểm</w:t>
            </w:r>
          </w:p>
        </w:tc>
        <w:tc>
          <w:tcPr>
            <w:tcW w:type="dxa" w:w="1152"/>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3F7FB"/>
            <w:vAlign w:val="center"/>
          </w:tcPr>
          <w:p>
            <w:pPr>
              <w:spacing w:after="0" w:line="252" w:lineRule="auto"/>
              <w:jc w:val="center"/>
            </w:pPr>
            <w:r>
              <w:rPr>
                <w:sz w:val="18"/>
              </w:rPr>
              <w:t>30</w:t>
            </w:r>
          </w:p>
        </w:tc>
        <w:tc>
          <w:tcPr>
            <w:tcW w:type="dxa" w:w="6192"/>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3F7FB"/>
            <w:vAlign w:val="center"/>
          </w:tcPr>
          <w:p>
            <w:pPr>
              <w:spacing w:after="0" w:line="252" w:lineRule="auto"/>
              <w:jc w:val="left"/>
            </w:pPr>
            <w:r>
              <w:rPr>
                <w:sz w:val="18"/>
              </w:rPr>
              <w:t>Dùng công thức riêng theo từng loại hình; tab Toàn ngành chỉ nhận điểm tổng hợp từ tab tương ứng</w:t>
            </w:r>
          </w:p>
        </w:tc>
      </w:tr>
      <w:tr>
        <w:trPr>
          <w:cantSplit/>
        </w:trPr>
        <w:tc>
          <w:tcPr>
            <w:tcW w:type="dxa" w:w="252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jc w:val="left"/>
            </w:pPr>
            <w:r>
              <w:rPr>
                <w:sz w:val="18"/>
              </w:rPr>
              <w:t>Định giá</w:t>
            </w:r>
          </w:p>
        </w:tc>
        <w:tc>
          <w:tcPr>
            <w:tcW w:type="dxa" w:w="1152"/>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jc w:val="center"/>
            </w:pPr>
            <w:r>
              <w:rPr>
                <w:sz w:val="18"/>
              </w:rPr>
              <w:t>20</w:t>
            </w:r>
          </w:p>
        </w:tc>
        <w:tc>
          <w:tcPr>
            <w:tcW w:type="dxa" w:w="6192"/>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jc w:val="left"/>
            </w:pPr>
            <w:r>
              <w:rPr>
                <w:sz w:val="18"/>
              </w:rPr>
              <w:t>Khối riêng; không làm thay đổi công thức của 50 điểm chung</w:t>
            </w:r>
          </w:p>
        </w:tc>
      </w:tr>
      <w:tr>
        <w:trPr>
          <w:cantSplit/>
        </w:trPr>
        <w:tc>
          <w:tcPr>
            <w:tcW w:type="dxa" w:w="252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3F7FB"/>
            <w:vAlign w:val="center"/>
          </w:tcPr>
          <w:p>
            <w:pPr>
              <w:spacing w:after="0" w:line="252" w:lineRule="auto"/>
              <w:jc w:val="left"/>
            </w:pPr>
            <w:r>
              <w:rPr>
                <w:sz w:val="18"/>
              </w:rPr>
              <w:t>Cổng an toàn vốn</w:t>
            </w:r>
          </w:p>
        </w:tc>
        <w:tc>
          <w:tcPr>
            <w:tcW w:type="dxa" w:w="1152"/>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3F7FB"/>
            <w:vAlign w:val="center"/>
          </w:tcPr>
          <w:p>
            <w:pPr>
              <w:spacing w:after="0" w:line="252" w:lineRule="auto"/>
              <w:jc w:val="center"/>
            </w:pPr>
            <w:r>
              <w:rPr>
                <w:sz w:val="18"/>
              </w:rPr>
              <w:t>Không cộng điểm</w:t>
            </w:r>
          </w:p>
        </w:tc>
        <w:tc>
          <w:tcPr>
            <w:tcW w:type="dxa" w:w="6192"/>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3F7FB"/>
            <w:vAlign w:val="center"/>
          </w:tcPr>
          <w:p>
            <w:pPr>
              <w:spacing w:after="0" w:line="252" w:lineRule="auto"/>
              <w:jc w:val="left"/>
            </w:pPr>
            <w:r>
              <w:rPr>
                <w:sz w:val="18"/>
              </w:rPr>
              <w:t>Giữ nguyên hoặc giới hạn điểm FA khi xuất hiện dấu hiệu vốn suy yếu</w:t>
            </w:r>
          </w:p>
        </w:tc>
      </w:tr>
      <w:tr>
        <w:trPr>
          <w:cantSplit/>
        </w:trPr>
        <w:tc>
          <w:tcPr>
            <w:tcW w:type="dxa" w:w="252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jc w:val="left"/>
            </w:pPr>
            <w:r>
              <w:rPr>
                <w:sz w:val="18"/>
              </w:rPr>
              <w:t>Lợi nhuận một lần</w:t>
            </w:r>
          </w:p>
        </w:tc>
        <w:tc>
          <w:tcPr>
            <w:tcW w:type="dxa" w:w="1152"/>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jc w:val="center"/>
            </w:pPr>
            <w:r>
              <w:rPr>
                <w:sz w:val="18"/>
              </w:rPr>
              <w:t>Điểm trừ riêng</w:t>
            </w:r>
          </w:p>
        </w:tc>
        <w:tc>
          <w:tcPr>
            <w:tcW w:type="dxa" w:w="6192"/>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jc w:val="left"/>
            </w:pPr>
            <w:r>
              <w:rPr>
                <w:sz w:val="18"/>
              </w:rPr>
              <w:t>Chỉ trừ khi khoản bất thường được xác định rõ; không suy đoán từ biến động dự phòng</w:t>
            </w:r>
          </w:p>
        </w:tc>
      </w:tr>
    </w:tbl>
    <w:p>
      <w:pPr>
        <w:spacing w:after="40"/>
      </w:pPr>
    </w:p>
    <w:p>
      <w:pPr>
        <w:pStyle w:val="Heading1"/>
      </w:pPr>
      <w:r>
        <w:t>2 Universe và phân loại doanh nghiệp</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088"/>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b/>
                <w:color w:val="FFFFFF"/>
                <w:sz w:val="18"/>
              </w:rPr>
              <w:t>Nhóm</w:t>
            </w:r>
          </w:p>
        </w:tc>
        <w:tc>
          <w:tcPr>
            <w:tcW w:type="dxa" w:w="2880"/>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b/>
                <w:color w:val="FFFFFF"/>
                <w:sz w:val="18"/>
              </w:rPr>
              <w:t>Mã</w:t>
            </w:r>
          </w:p>
        </w:tc>
        <w:tc>
          <w:tcPr>
            <w:tcW w:type="dxa" w:w="4896"/>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b/>
                <w:color w:val="FFFFFF"/>
                <w:sz w:val="18"/>
              </w:rPr>
              <w:t>Quyết định</w:t>
            </w:r>
          </w:p>
        </w:tc>
      </w:tr>
      <w:tr>
        <w:trPr>
          <w:cantSplit/>
        </w:trPr>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jc w:val="left"/>
            </w:pPr>
            <w:r>
              <w:rPr>
                <w:sz w:val="18"/>
              </w:rPr>
              <w:t>Phi nhân thọ</w:t>
            </w:r>
          </w:p>
        </w:tc>
        <w:tc>
          <w:tcPr>
            <w:tcW w:type="dxa" w:w="288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jc w:val="center"/>
            </w:pPr>
            <w:r>
              <w:rPr>
                <w:sz w:val="18"/>
              </w:rPr>
              <w:t>ABI AIC BHI BIC BLI BMI MIG PGI PTI</w:t>
            </w:r>
          </w:p>
        </w:tc>
        <w:tc>
          <w:tcPr>
            <w:tcW w:type="dxa" w:w="4896"/>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jc w:val="left"/>
            </w:pPr>
            <w:r>
              <w:rPr>
                <w:sz w:val="18"/>
              </w:rPr>
              <w:t>Đưa vào tab Toàn ngành và tab Phi nhân thọ</w:t>
            </w:r>
          </w:p>
        </w:tc>
      </w:tr>
      <w:tr>
        <w:trPr>
          <w:cantSplit/>
        </w:trPr>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3F7FB"/>
            <w:vAlign w:val="center"/>
          </w:tcPr>
          <w:p>
            <w:pPr>
              <w:spacing w:after="0" w:line="252" w:lineRule="auto"/>
              <w:jc w:val="left"/>
            </w:pPr>
            <w:r>
              <w:rPr>
                <w:sz w:val="18"/>
              </w:rPr>
              <w:t>Tái bảo hiểm</w:t>
            </w:r>
          </w:p>
        </w:tc>
        <w:tc>
          <w:tcPr>
            <w:tcW w:type="dxa" w:w="288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3F7FB"/>
            <w:vAlign w:val="center"/>
          </w:tcPr>
          <w:p>
            <w:pPr>
              <w:spacing w:after="0" w:line="252" w:lineRule="auto"/>
              <w:jc w:val="center"/>
            </w:pPr>
            <w:r>
              <w:rPr>
                <w:sz w:val="18"/>
              </w:rPr>
              <w:t>PRE VNR</w:t>
            </w:r>
          </w:p>
        </w:tc>
        <w:tc>
          <w:tcPr>
            <w:tcW w:type="dxa" w:w="4896"/>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3F7FB"/>
            <w:vAlign w:val="center"/>
          </w:tcPr>
          <w:p>
            <w:pPr>
              <w:spacing w:after="0" w:line="252" w:lineRule="auto"/>
              <w:jc w:val="left"/>
            </w:pPr>
            <w:r>
              <w:rPr>
                <w:sz w:val="18"/>
              </w:rPr>
              <w:t>Đưa vào tab Toàn ngành và tab Tái bảo hiểm</w:t>
            </w:r>
          </w:p>
        </w:tc>
      </w:tr>
      <w:tr>
        <w:trPr>
          <w:cantSplit/>
        </w:trPr>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jc w:val="left"/>
            </w:pPr>
            <w:r>
              <w:rPr>
                <w:sz w:val="18"/>
              </w:rPr>
              <w:t>Holding Hỗn hợp</w:t>
            </w:r>
          </w:p>
        </w:tc>
        <w:tc>
          <w:tcPr>
            <w:tcW w:type="dxa" w:w="288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jc w:val="center"/>
            </w:pPr>
            <w:r>
              <w:rPr>
                <w:sz w:val="18"/>
              </w:rPr>
              <w:t>BVH PVI</w:t>
            </w:r>
          </w:p>
        </w:tc>
        <w:tc>
          <w:tcPr>
            <w:tcW w:type="dxa" w:w="4896"/>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jc w:val="left"/>
            </w:pPr>
            <w:r>
              <w:rPr>
                <w:sz w:val="18"/>
              </w:rPr>
              <w:t>Đưa vào tab Toàn ngành; PVI phải chuyển khỏi nhóm Phi nhân thọ ở tầng phân loại chi tiết</w:t>
            </w:r>
          </w:p>
        </w:tc>
      </w:tr>
      <w:tr>
        <w:trPr>
          <w:cantSplit/>
        </w:trPr>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3F7FB"/>
            <w:vAlign w:val="center"/>
          </w:tcPr>
          <w:p>
            <w:pPr>
              <w:spacing w:after="0" w:line="252" w:lineRule="auto"/>
              <w:jc w:val="left"/>
            </w:pPr>
            <w:r>
              <w:rPr>
                <w:sz w:val="18"/>
              </w:rPr>
              <w:t>Nhân thọ</w:t>
            </w:r>
          </w:p>
        </w:tc>
        <w:tc>
          <w:tcPr>
            <w:tcW w:type="dxa" w:w="288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3F7FB"/>
            <w:vAlign w:val="center"/>
          </w:tcPr>
          <w:p>
            <w:pPr>
              <w:spacing w:after="0" w:line="252" w:lineRule="auto"/>
              <w:jc w:val="center"/>
            </w:pPr>
            <w:r>
              <w:rPr>
                <w:sz w:val="18"/>
              </w:rPr>
              <w:t>Không có mã niêm yết thuần</w:t>
            </w:r>
          </w:p>
        </w:tc>
        <w:tc>
          <w:tcPr>
            <w:tcW w:type="dxa" w:w="4896"/>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3F7FB"/>
            <w:vAlign w:val="center"/>
          </w:tcPr>
          <w:p>
            <w:pPr>
              <w:spacing w:after="0" w:line="252" w:lineRule="auto"/>
              <w:jc w:val="left"/>
            </w:pPr>
            <w:r>
              <w:rPr>
                <w:sz w:val="18"/>
              </w:rPr>
              <w:t>Giữ tab và thông báo chưa có doanh nghiệp niêm yết; hoạt động nhân thọ nằm trong BVH</w:t>
            </w:r>
          </w:p>
        </w:tc>
      </w:tr>
      <w:tr>
        <w:trPr>
          <w:cantSplit/>
        </w:trPr>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jc w:val="left"/>
            </w:pPr>
            <w:r>
              <w:rPr>
                <w:sz w:val="18"/>
              </w:rPr>
              <w:t>Ngoài universe</w:t>
            </w:r>
          </w:p>
        </w:tc>
        <w:tc>
          <w:tcPr>
            <w:tcW w:type="dxa" w:w="288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jc w:val="center"/>
            </w:pPr>
            <w:r>
              <w:rPr>
                <w:sz w:val="18"/>
              </w:rPr>
              <w:t>IFA</w:t>
            </w:r>
          </w:p>
        </w:tc>
        <w:tc>
          <w:tcPr>
            <w:tcW w:type="dxa" w:w="4896"/>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jc w:val="left"/>
            </w:pPr>
            <w:r>
              <w:rPr>
                <w:sz w:val="18"/>
              </w:rPr>
              <w:t>Loại khỏi universe làm việc vì không có bộ dữ liệu giao dịch và BCTC cần thiết</w:t>
            </w:r>
          </w:p>
        </w:tc>
      </w:tr>
    </w:tbl>
    <w:p>
      <w:pPr>
        <w:spacing w:after="40"/>
      </w:pPr>
    </w:p>
    <w:p>
      <w:pPr>
        <w:pStyle w:val="Heading1"/>
      </w:pPr>
      <w:r>
        <w:t>3 Nguyên tắc dữ liệu bắt buộc</w:t>
      </w:r>
    </w:p>
    <w:p>
      <w:pPr>
        <w:pStyle w:val="ListNumber"/>
        <w:spacing w:after="60"/>
      </w:pPr>
      <w:r>
        <w:t>Mỗi con số dùng để chấm điểm phải truy ngược được về trường dữ liệu chuẩn hóa và dòng BCTC tương ứng.</w:t>
      </w:r>
    </w:p>
    <w:p>
      <w:pPr>
        <w:pStyle w:val="ListNumber"/>
        <w:spacing w:after="60"/>
      </w:pPr>
      <w:r>
        <w:t>Không điền 0 thay cho dữ liệu thiếu. Nếu một trường thực sự không lấy được cho toàn bộ universe, trường đó không được dùng làm tiêu chí chung.</w:t>
      </w:r>
    </w:p>
    <w:p>
      <w:pPr>
        <w:pStyle w:val="ListNumber"/>
        <w:spacing w:after="60"/>
      </w:pPr>
      <w:r>
        <w:t>Dùng số quý riêng lẻ trong kho dữ liệu hiện có. Không tách lại số quý từ lũy kế nếu IT đã chứng minh trường nguồn là số riêng từng quý.</w:t>
      </w:r>
    </w:p>
    <w:p>
      <w:pPr>
        <w:pStyle w:val="ListNumber"/>
        <w:spacing w:after="60"/>
      </w:pPr>
      <w:r>
        <w:t>Khi BCTC mới nhất trình bày lại số cùng kỳ, hệ thống phải ưu tiên số cùng kỳ đã được trình bày lại.</w:t>
      </w:r>
    </w:p>
    <w:p>
      <w:pPr>
        <w:pStyle w:val="ListNumber"/>
        <w:spacing w:after="60"/>
      </w:pPr>
      <w:r>
        <w:t>Không cộng các dòng dự phòng thành phần khi BCTC đã có dòng tổng dự phòng nghiệp vụ bảo hiểm.</w:t>
      </w:r>
    </w:p>
    <w:p>
      <w:pPr>
        <w:pStyle w:val="ListNumber"/>
        <w:spacing w:after="60"/>
      </w:pPr>
      <w:r>
        <w:t>Không dùng phí bảo hiểm gốc thay cho doanh thu thuần hoạt động kinh doanh bảo hiểm vì không phù hợp với doanh nghiệp tái bảo hiểm.</w:t>
      </w:r>
    </w:p>
    <w:p>
      <w:r>
        <w:br w:type="page"/>
      </w:r>
    </w:p>
    <w:p>
      <w:pPr>
        <w:pStyle w:val="Heading1"/>
      </w:pPr>
      <w:r>
        <w:t>4 Phạm vi kỳ dữ liệu</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3096"/>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b/>
                <w:color w:val="FFFFFF"/>
                <w:sz w:val="18"/>
              </w:rPr>
              <w:t>Nội dung</w:t>
            </w:r>
          </w:p>
        </w:tc>
        <w:tc>
          <w:tcPr>
            <w:tcW w:type="dxa" w:w="1728"/>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b/>
                <w:color w:val="FFFFFF"/>
                <w:sz w:val="18"/>
              </w:rPr>
              <w:t>Số quý tối thiểu</w:t>
            </w:r>
          </w:p>
        </w:tc>
        <w:tc>
          <w:tcPr>
            <w:tcW w:type="dxa" w:w="5040"/>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b/>
                <w:color w:val="FFFFFF"/>
                <w:sz w:val="18"/>
              </w:rPr>
              <w:t>Giải thích</w:t>
            </w:r>
          </w:p>
        </w:tc>
      </w:tr>
      <w:tr>
        <w:trPr>
          <w:cantSplit/>
        </w:trPr>
        <w:tc>
          <w:tcPr>
            <w:tcW w:type="dxa" w:w="3096"/>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jc w:val="left"/>
            </w:pPr>
            <w:r>
              <w:rPr>
                <w:sz w:val="18"/>
              </w:rPr>
              <w:t>Điểm tại quý t</w:t>
            </w:r>
          </w:p>
        </w:tc>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jc w:val="center"/>
            </w:pPr>
            <w:r>
              <w:rPr>
                <w:sz w:val="18"/>
              </w:rPr>
              <w:t>7 quý</w:t>
            </w:r>
          </w:p>
        </w:tc>
        <w:tc>
          <w:tcPr>
            <w:tcW w:type="dxa" w:w="504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jc w:val="left"/>
            </w:pPr>
            <w:r>
              <w:rPr>
                <w:sz w:val="18"/>
              </w:rPr>
              <w:t>Tiêu chí chuỗi EPS ba quý cần so q t, t-1, t-2 với cùng kỳ t-4, t-5, t-6</w:t>
            </w:r>
          </w:p>
        </w:tc>
      </w:tr>
      <w:tr>
        <w:trPr>
          <w:cantSplit/>
        </w:trPr>
        <w:tc>
          <w:tcPr>
            <w:tcW w:type="dxa" w:w="3096"/>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3F7FB"/>
            <w:vAlign w:val="center"/>
          </w:tcPr>
          <w:p>
            <w:pPr>
              <w:spacing w:after="0" w:line="252" w:lineRule="auto"/>
              <w:jc w:val="left"/>
            </w:pPr>
            <w:r>
              <w:rPr>
                <w:sz w:val="18"/>
              </w:rPr>
              <w:t>Điểm quý t và ΔFA so với quý trước</w:t>
            </w:r>
          </w:p>
        </w:tc>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3F7FB"/>
            <w:vAlign w:val="center"/>
          </w:tcPr>
          <w:p>
            <w:pPr>
              <w:spacing w:after="0" w:line="252" w:lineRule="auto"/>
              <w:jc w:val="center"/>
            </w:pPr>
            <w:r>
              <w:rPr>
                <w:sz w:val="18"/>
              </w:rPr>
              <w:t>8 quý</w:t>
            </w:r>
          </w:p>
        </w:tc>
        <w:tc>
          <w:tcPr>
            <w:tcW w:type="dxa" w:w="504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3F7FB"/>
            <w:vAlign w:val="center"/>
          </w:tcPr>
          <w:p>
            <w:pPr>
              <w:spacing w:after="0" w:line="252" w:lineRule="auto"/>
              <w:jc w:val="left"/>
            </w:pPr>
            <w:r>
              <w:rPr>
                <w:sz w:val="18"/>
              </w:rPr>
              <w:t>Phải tính lại đầy đủ bộ điểm tại t-1; chuỗi EPS khi đó cần đến t-7</w:t>
            </w:r>
          </w:p>
        </w:tc>
      </w:tr>
      <w:tr>
        <w:trPr>
          <w:cantSplit/>
        </w:trPr>
        <w:tc>
          <w:tcPr>
            <w:tcW w:type="dxa" w:w="3096"/>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jc w:val="left"/>
            </w:pPr>
            <w:r>
              <w:rPr>
                <w:sz w:val="18"/>
              </w:rPr>
              <w:t>Dữ liệu EPS hiện có</w:t>
            </w:r>
          </w:p>
        </w:tc>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jc w:val="center"/>
            </w:pPr>
            <w:r>
              <w:rPr>
                <w:sz w:val="18"/>
              </w:rPr>
              <w:t>9 quý</w:t>
            </w:r>
          </w:p>
        </w:tc>
        <w:tc>
          <w:tcPr>
            <w:tcW w:type="dxa" w:w="504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jc w:val="left"/>
            </w:pPr>
            <w:r>
              <w:rPr>
                <w:sz w:val="18"/>
              </w:rPr>
              <w:t>Đủ vận hành điểm hiện tại và ΔFA; không phải điều kiện thất bại</w:t>
            </w:r>
          </w:p>
        </w:tc>
      </w:tr>
      <w:tr>
        <w:trPr>
          <w:cantSplit/>
        </w:trPr>
        <w:tc>
          <w:tcPr>
            <w:tcW w:type="dxa" w:w="3096"/>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3F7FB"/>
            <w:vAlign w:val="center"/>
          </w:tcPr>
          <w:p>
            <w:pPr>
              <w:spacing w:after="0" w:line="252" w:lineRule="auto"/>
              <w:jc w:val="left"/>
            </w:pPr>
            <w:r>
              <w:rPr>
                <w:sz w:val="18"/>
              </w:rPr>
              <w:t>20 quý</w:t>
            </w:r>
          </w:p>
        </w:tc>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3F7FB"/>
            <w:vAlign w:val="center"/>
          </w:tcPr>
          <w:p>
            <w:pPr>
              <w:spacing w:after="0" w:line="252" w:lineRule="auto"/>
              <w:jc w:val="center"/>
            </w:pPr>
            <w:r>
              <w:rPr>
                <w:sz w:val="18"/>
              </w:rPr>
              <w:t>Không bắt buộc</w:t>
            </w:r>
          </w:p>
        </w:tc>
        <w:tc>
          <w:tcPr>
            <w:tcW w:type="dxa" w:w="504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3F7FB"/>
            <w:vAlign w:val="center"/>
          </w:tcPr>
          <w:p>
            <w:pPr>
              <w:spacing w:after="0" w:line="252" w:lineRule="auto"/>
              <w:jc w:val="left"/>
            </w:pPr>
            <w:r>
              <w:rPr>
                <w:sz w:val="18"/>
              </w:rPr>
              <w:t>Chỉ phục vụ backtest dài hơn hoặc định giá lịch sử; không dùng làm điều kiện nghiệm thu 50 điểm chung</w:t>
            </w:r>
          </w:p>
        </w:tc>
      </w:tr>
    </w:tbl>
    <w:p>
      <w:pPr>
        <w:spacing w:after="40"/>
      </w:pPr>
    </w:p>
    <w:p>
      <w:pPr>
        <w:pStyle w:val="Heading1"/>
      </w:pPr>
      <w:r>
        <w:t>5 Năm tiêu chí chung tổng 50 điểm</w:t>
      </w:r>
    </w:p>
    <w:tbl>
      <w:tblPr>
        <w:tblStyle w:val="TableGrid"/>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648"/>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b/>
                <w:color w:val="FFFFFF"/>
                <w:sz w:val="18"/>
              </w:rPr>
              <w:t>STT</w:t>
            </w:r>
          </w:p>
        </w:tc>
        <w:tc>
          <w:tcPr>
            <w:tcW w:type="dxa" w:w="3312"/>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b/>
                <w:color w:val="FFFFFF"/>
                <w:sz w:val="18"/>
              </w:rPr>
              <w:t>Tiêu chí</w:t>
            </w:r>
          </w:p>
        </w:tc>
        <w:tc>
          <w:tcPr>
            <w:tcW w:type="dxa" w:w="936"/>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b/>
                <w:color w:val="FFFFFF"/>
                <w:sz w:val="18"/>
              </w:rPr>
              <w:t>Điểm</w:t>
            </w:r>
          </w:p>
        </w:tc>
        <w:tc>
          <w:tcPr>
            <w:tcW w:type="dxa" w:w="4968"/>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b/>
                <w:color w:val="FFFFFF"/>
                <w:sz w:val="18"/>
              </w:rPr>
              <w:t>Ý nghĩa</w:t>
            </w:r>
          </w:p>
        </w:tc>
      </w:tr>
      <w:tr>
        <w:trPr>
          <w:cantSplit/>
        </w:trPr>
        <w:tc>
          <w:tcPr>
            <w:tcW w:type="dxa" w:w="64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jc w:val="center"/>
            </w:pPr>
            <w:r>
              <w:rPr>
                <w:sz w:val="18"/>
              </w:rPr>
              <w:t>1</w:t>
            </w:r>
          </w:p>
        </w:tc>
        <w:tc>
          <w:tcPr>
            <w:tcW w:type="dxa" w:w="3312"/>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jc w:val="left"/>
            </w:pPr>
            <w:r>
              <w:rPr>
                <w:sz w:val="18"/>
              </w:rPr>
              <w:t>EPS chuẩn hóa YoY</w:t>
            </w:r>
          </w:p>
        </w:tc>
        <w:tc>
          <w:tcPr>
            <w:tcW w:type="dxa" w:w="936"/>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jc w:val="center"/>
            </w:pPr>
            <w:r>
              <w:rPr>
                <w:sz w:val="18"/>
              </w:rPr>
              <w:t>10</w:t>
            </w:r>
          </w:p>
        </w:tc>
        <w:tc>
          <w:tcPr>
            <w:tcW w:type="dxa" w:w="496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jc w:val="left"/>
            </w:pPr>
            <w:r>
              <w:rPr>
                <w:sz w:val="18"/>
              </w:rPr>
              <w:t>Đo tốc độ thay đổi lợi nhuận trên mỗi cổ phần so với cùng kỳ</w:t>
            </w:r>
          </w:p>
        </w:tc>
      </w:tr>
      <w:tr>
        <w:trPr>
          <w:cantSplit/>
        </w:trPr>
        <w:tc>
          <w:tcPr>
            <w:tcW w:type="dxa" w:w="64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3F7FB"/>
            <w:vAlign w:val="center"/>
          </w:tcPr>
          <w:p>
            <w:pPr>
              <w:spacing w:after="0" w:line="252" w:lineRule="auto"/>
              <w:jc w:val="center"/>
            </w:pPr>
            <w:r>
              <w:rPr>
                <w:sz w:val="18"/>
              </w:rPr>
              <w:t>2</w:t>
            </w:r>
          </w:p>
        </w:tc>
        <w:tc>
          <w:tcPr>
            <w:tcW w:type="dxa" w:w="3312"/>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3F7FB"/>
            <w:vAlign w:val="center"/>
          </w:tcPr>
          <w:p>
            <w:pPr>
              <w:spacing w:after="0" w:line="252" w:lineRule="auto"/>
              <w:jc w:val="left"/>
            </w:pPr>
            <w:r>
              <w:rPr>
                <w:sz w:val="18"/>
              </w:rPr>
              <w:t>Số quý EPS tăng trưởng</w:t>
            </w:r>
          </w:p>
        </w:tc>
        <w:tc>
          <w:tcPr>
            <w:tcW w:type="dxa" w:w="936"/>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3F7FB"/>
            <w:vAlign w:val="center"/>
          </w:tcPr>
          <w:p>
            <w:pPr>
              <w:spacing w:after="0" w:line="252" w:lineRule="auto"/>
              <w:jc w:val="center"/>
            </w:pPr>
            <w:r>
              <w:rPr>
                <w:sz w:val="18"/>
              </w:rPr>
              <w:t>10</w:t>
            </w:r>
          </w:p>
        </w:tc>
        <w:tc>
          <w:tcPr>
            <w:tcW w:type="dxa" w:w="496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3F7FB"/>
            <w:vAlign w:val="center"/>
          </w:tcPr>
          <w:p>
            <w:pPr>
              <w:spacing w:after="0" w:line="252" w:lineRule="auto"/>
              <w:jc w:val="left"/>
            </w:pPr>
            <w:r>
              <w:rPr>
                <w:sz w:val="18"/>
              </w:rPr>
              <w:t>Kiểm tra tăng trưởng có xuất hiện liên tục hay chỉ là một quý riêng lẻ</w:t>
            </w:r>
          </w:p>
        </w:tc>
      </w:tr>
      <w:tr>
        <w:trPr>
          <w:cantSplit/>
        </w:trPr>
        <w:tc>
          <w:tcPr>
            <w:tcW w:type="dxa" w:w="64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jc w:val="center"/>
            </w:pPr>
            <w:r>
              <w:rPr>
                <w:sz w:val="18"/>
              </w:rPr>
              <w:t>3</w:t>
            </w:r>
          </w:p>
        </w:tc>
        <w:tc>
          <w:tcPr>
            <w:tcW w:type="dxa" w:w="3312"/>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jc w:val="left"/>
            </w:pPr>
            <w:r>
              <w:rPr>
                <w:sz w:val="18"/>
              </w:rPr>
              <w:t>Doanh thu bảo hiểm thuần YoY</w:t>
            </w:r>
          </w:p>
        </w:tc>
        <w:tc>
          <w:tcPr>
            <w:tcW w:type="dxa" w:w="936"/>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jc w:val="center"/>
            </w:pPr>
            <w:r>
              <w:rPr>
                <w:sz w:val="18"/>
              </w:rPr>
              <w:t>10</w:t>
            </w:r>
          </w:p>
        </w:tc>
        <w:tc>
          <w:tcPr>
            <w:tcW w:type="dxa" w:w="496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jc w:val="left"/>
            </w:pPr>
            <w:r>
              <w:rPr>
                <w:sz w:val="18"/>
              </w:rPr>
              <w:t>Đo tốc độ mở rộng quy mô hoạt động bảo hiểm</w:t>
            </w:r>
          </w:p>
        </w:tc>
      </w:tr>
      <w:tr>
        <w:trPr>
          <w:cantSplit/>
        </w:trPr>
        <w:tc>
          <w:tcPr>
            <w:tcW w:type="dxa" w:w="64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3F7FB"/>
            <w:vAlign w:val="center"/>
          </w:tcPr>
          <w:p>
            <w:pPr>
              <w:spacing w:after="0" w:line="252" w:lineRule="auto"/>
              <w:jc w:val="center"/>
            </w:pPr>
            <w:r>
              <w:rPr>
                <w:sz w:val="18"/>
              </w:rPr>
              <w:t>4</w:t>
            </w:r>
          </w:p>
        </w:tc>
        <w:tc>
          <w:tcPr>
            <w:tcW w:type="dxa" w:w="3312"/>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3F7FB"/>
            <w:vAlign w:val="center"/>
          </w:tcPr>
          <w:p>
            <w:pPr>
              <w:spacing w:after="0" w:line="252" w:lineRule="auto"/>
              <w:jc w:val="left"/>
            </w:pPr>
            <w:r>
              <w:rPr>
                <w:sz w:val="18"/>
              </w:rPr>
              <w:t>ROE bốn quý</w:t>
            </w:r>
          </w:p>
        </w:tc>
        <w:tc>
          <w:tcPr>
            <w:tcW w:type="dxa" w:w="936"/>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3F7FB"/>
            <w:vAlign w:val="center"/>
          </w:tcPr>
          <w:p>
            <w:pPr>
              <w:spacing w:after="0" w:line="252" w:lineRule="auto"/>
              <w:jc w:val="center"/>
            </w:pPr>
            <w:r>
              <w:rPr>
                <w:sz w:val="18"/>
              </w:rPr>
              <w:t>10</w:t>
            </w:r>
          </w:p>
        </w:tc>
        <w:tc>
          <w:tcPr>
            <w:tcW w:type="dxa" w:w="496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3F7FB"/>
            <w:vAlign w:val="center"/>
          </w:tcPr>
          <w:p>
            <w:pPr>
              <w:spacing w:after="0" w:line="252" w:lineRule="auto"/>
              <w:jc w:val="left"/>
            </w:pPr>
            <w:r>
              <w:rPr>
                <w:sz w:val="18"/>
              </w:rPr>
              <w:t>Đo hiệu quả tạo lợi nhuận trên vốn của cổ đông công ty mẹ</w:t>
            </w:r>
          </w:p>
        </w:tc>
      </w:tr>
      <w:tr>
        <w:trPr>
          <w:cantSplit/>
        </w:trPr>
        <w:tc>
          <w:tcPr>
            <w:tcW w:type="dxa" w:w="64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jc w:val="center"/>
            </w:pPr>
            <w:r>
              <w:rPr>
                <w:sz w:val="18"/>
              </w:rPr>
              <w:t>5</w:t>
            </w:r>
          </w:p>
        </w:tc>
        <w:tc>
          <w:tcPr>
            <w:tcW w:type="dxa" w:w="3312"/>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jc w:val="left"/>
            </w:pPr>
            <w:r>
              <w:rPr>
                <w:sz w:val="18"/>
              </w:rPr>
              <w:t>Xu hướng đệm vốn</w:t>
            </w:r>
          </w:p>
        </w:tc>
        <w:tc>
          <w:tcPr>
            <w:tcW w:type="dxa" w:w="936"/>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jc w:val="center"/>
            </w:pPr>
            <w:r>
              <w:rPr>
                <w:sz w:val="18"/>
              </w:rPr>
              <w:t>10</w:t>
            </w:r>
          </w:p>
        </w:tc>
        <w:tc>
          <w:tcPr>
            <w:tcW w:type="dxa" w:w="496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jc w:val="left"/>
            </w:pPr>
            <w:r>
              <w:rPr>
                <w:sz w:val="18"/>
              </w:rPr>
              <w:t>Kiểm tra nền vốn đang dày lên hay mỏng đi so với cùng kỳ</w:t>
            </w:r>
          </w:p>
        </w:tc>
      </w:tr>
    </w:tbl>
    <w:p>
      <w:pPr>
        <w:spacing w:after="40"/>
      </w:pPr>
    </w:p>
    <w:p>
      <w:pPr>
        <w:pStyle w:val="Heading2"/>
      </w:pPr>
      <w:r>
        <w:t>5.1 EPS chuẩn hóa YoY</w:t>
      </w:r>
    </w:p>
    <w:p>
      <w:r>
        <w:rPr>
          <w:b/>
        </w:rPr>
        <w:t xml:space="preserve">Nguồn dữ liệu. </w:t>
      </w:r>
      <w:r>
        <w:t>Dùng duy nhất bộ EPS chuẩn hóa đã thống nhất và đang sử dụng trong bảng Sản xuất. Không thay bằng EPS thô của nhà cung cấp BCTC và không mở lại phương pháp chuẩn hóa EPS trong hạng mục này.</w:t>
      </w:r>
    </w:p>
    <w:p>
      <w:pPr>
        <w:spacing w:before="80" w:after="160"/>
        <w:jc w:val="center"/>
      </w:pPr>
      <m:oMathPara>
        <m:oMath>
          <m:r>
            <m:rPr>
              <m:sty m:val="p"/>
            </m:rPr>
            <m:t>EPS YoY (%) = (EPSₜ ÷ EPSₜ₋₄ − 1) × 100%</m:t>
          </m:r>
        </m:oMath>
      </m:oMathPara>
    </w:p>
    <w:p>
      <w:pPr>
        <w:pStyle w:val="ListBullet"/>
        <w:spacing w:after="60"/>
      </w:pPr>
      <w:r>
        <w:t>Đơn vị: phần trăm.</w:t>
      </w:r>
    </w:p>
    <w:p>
      <w:pPr>
        <w:pStyle w:val="ListBullet"/>
        <w:spacing w:after="60"/>
      </w:pPr>
      <w:r>
        <w:t>So sánh cùng kỳ, không so QoQ.</w:t>
      </w:r>
    </w:p>
    <w:p>
      <w:pPr>
        <w:pStyle w:val="ListBullet"/>
        <w:spacing w:after="60"/>
      </w:pPr>
      <w:r>
        <w:t>Thang điểm: gọi lại đúng hàm chấm EPS YoY đang vận hành ở bảng Sản xuất, sau đó quy về tối đa 10 điểm nếu hàm gốc dùng thang khác.</w:t>
      </w:r>
    </w:p>
    <w:p>
      <w:pPr>
        <w:pStyle w:val="ListBullet"/>
        <w:spacing w:after="60"/>
      </w:pPr>
      <w:r>
        <w:t>BLI có nền EPS cùng kỳ rất thấp nên tỷ lệ tăng 1.935,3%. Phép tính vẫn đúng nhưng phải hiện nhãn Nền so sánh thấp; mức điểm vẫn bị giới hạn tối đa 10.</w:t>
      </w:r>
    </w:p>
    <w:p>
      <w:pPr>
        <w:pStyle w:val="Heading2"/>
      </w:pPr>
      <w:r>
        <w:t>5.2 Số quý EPS tăng trưởng</w:t>
      </w:r>
    </w:p>
    <w:p>
      <w:r>
        <w:t>Tại mỗi quý trong ba quý gần nhất, so EPS với cùng kỳ năm trước. Một quý được tính là tăng trưởng khi kết quả so sánh YoY thỏa điều kiện tăng trưởng trong bộ EPS chuẩn hóa.</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6480"/>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b/>
                <w:color w:val="FFFFFF"/>
                <w:sz w:val="18"/>
              </w:rPr>
              <w:t>Số quý tăng trưởng trong 3 quý</w:t>
            </w:r>
          </w:p>
        </w:tc>
        <w:tc>
          <w:tcPr>
            <w:tcW w:type="dxa" w:w="1584"/>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b/>
                <w:color w:val="FFFFFF"/>
                <w:sz w:val="18"/>
              </w:rPr>
              <w:t>Điểm</w:t>
            </w:r>
          </w:p>
        </w:tc>
      </w:tr>
      <w:tr>
        <w:trPr>
          <w:cantSplit/>
        </w:trPr>
        <w:tc>
          <w:tcPr>
            <w:tcW w:type="dxa" w:w="648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jc w:val="center"/>
            </w:pPr>
            <w:r>
              <w:rPr>
                <w:sz w:val="18"/>
              </w:rPr>
              <w:t>3 trên 3</w:t>
            </w:r>
          </w:p>
        </w:tc>
        <w:tc>
          <w:tcPr>
            <w:tcW w:type="dxa" w:w="1584"/>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jc w:val="center"/>
            </w:pPr>
            <w:r>
              <w:rPr>
                <w:sz w:val="18"/>
              </w:rPr>
              <w:t>10</w:t>
            </w:r>
          </w:p>
        </w:tc>
      </w:tr>
      <w:tr>
        <w:trPr>
          <w:cantSplit/>
        </w:trPr>
        <w:tc>
          <w:tcPr>
            <w:tcW w:type="dxa" w:w="648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3F7FB"/>
            <w:vAlign w:val="center"/>
          </w:tcPr>
          <w:p>
            <w:pPr>
              <w:spacing w:after="0" w:line="252" w:lineRule="auto"/>
              <w:jc w:val="center"/>
            </w:pPr>
            <w:r>
              <w:rPr>
                <w:sz w:val="18"/>
              </w:rPr>
              <w:t>2 trên 3</w:t>
            </w:r>
          </w:p>
        </w:tc>
        <w:tc>
          <w:tcPr>
            <w:tcW w:type="dxa" w:w="1584"/>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3F7FB"/>
            <w:vAlign w:val="center"/>
          </w:tcPr>
          <w:p>
            <w:pPr>
              <w:spacing w:after="0" w:line="252" w:lineRule="auto"/>
              <w:jc w:val="center"/>
            </w:pPr>
            <w:r>
              <w:rPr>
                <w:sz w:val="18"/>
              </w:rPr>
              <w:t>7</w:t>
            </w:r>
          </w:p>
        </w:tc>
      </w:tr>
      <w:tr>
        <w:trPr>
          <w:cantSplit/>
        </w:trPr>
        <w:tc>
          <w:tcPr>
            <w:tcW w:type="dxa" w:w="648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jc w:val="center"/>
            </w:pPr>
            <w:r>
              <w:rPr>
                <w:sz w:val="18"/>
              </w:rPr>
              <w:t>1 trên 3</w:t>
            </w:r>
          </w:p>
        </w:tc>
        <w:tc>
          <w:tcPr>
            <w:tcW w:type="dxa" w:w="1584"/>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jc w:val="center"/>
            </w:pPr>
            <w:r>
              <w:rPr>
                <w:sz w:val="18"/>
              </w:rPr>
              <w:t>3</w:t>
            </w:r>
          </w:p>
        </w:tc>
      </w:tr>
      <w:tr>
        <w:trPr>
          <w:cantSplit/>
        </w:trPr>
        <w:tc>
          <w:tcPr>
            <w:tcW w:type="dxa" w:w="648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3F7FB"/>
            <w:vAlign w:val="center"/>
          </w:tcPr>
          <w:p>
            <w:pPr>
              <w:spacing w:after="0" w:line="252" w:lineRule="auto"/>
              <w:jc w:val="center"/>
            </w:pPr>
            <w:r>
              <w:rPr>
                <w:sz w:val="18"/>
              </w:rPr>
              <w:t>0 trên 3</w:t>
            </w:r>
          </w:p>
        </w:tc>
        <w:tc>
          <w:tcPr>
            <w:tcW w:type="dxa" w:w="1584"/>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3F7FB"/>
            <w:vAlign w:val="center"/>
          </w:tcPr>
          <w:p>
            <w:pPr>
              <w:spacing w:after="0" w:line="252" w:lineRule="auto"/>
              <w:jc w:val="center"/>
            </w:pPr>
            <w:r>
              <w:rPr>
                <w:sz w:val="18"/>
              </w:rPr>
              <w:t>0</w:t>
            </w:r>
          </w:p>
        </w:tc>
      </w:tr>
    </w:tbl>
    <w:p>
      <w:pPr>
        <w:spacing w:after="40"/>
      </w:pPr>
    </w:p>
    <w:p>
      <w:pPr>
        <w:pStyle w:val="ListBullet"/>
        <w:spacing w:after="60"/>
      </w:pPr>
      <w:r>
        <w:t>Tiêu chí này cần 7 quý dữ liệu để tính tại quý hiện tại.</w:t>
      </w:r>
    </w:p>
    <w:p>
      <w:pPr>
        <w:pStyle w:val="ListBullet"/>
        <w:spacing w:after="60"/>
      </w:pPr>
      <w:r>
        <w:t>Không cộng thêm tiêu chí gia tốc EPS vì sẽ chấm trùng một phần với EPS YoY và chuỗi tăng trưởng.</w:t>
      </w:r>
    </w:p>
    <w:p>
      <w:r>
        <w:br w:type="page"/>
      </w:r>
    </w:p>
    <w:p>
      <w:pPr>
        <w:pStyle w:val="Heading2"/>
      </w:pPr>
      <w:r>
        <w:t>5.3 Doanh thu bảo hiểm thuần YoY</w:t>
      </w:r>
    </w:p>
    <w:p>
      <w:r>
        <w:rPr>
          <w:b/>
        </w:rPr>
        <w:t xml:space="preserve">Trường chuẩn. </w:t>
      </w:r>
      <w:r>
        <w:t>Doanh thu thuần hoạt động kinh doanh bảo hiểm, tương ứng INS_REV_NET. Không dùng phí bảo hiểm gốc.</w:t>
      </w:r>
    </w:p>
    <w:p>
      <w:pPr>
        <w:spacing w:before="80" w:after="160"/>
        <w:jc w:val="center"/>
      </w:pPr>
      <m:oMathPara>
        <m:oMath>
          <m:r>
            <m:rPr>
              <m:sty m:val="p"/>
            </m:rPr>
            <m:t>Doanh thu BH YoY (%) = (INS REV NETₜ ÷ INS REV NETₜ₋₄ − 1) × 100%</m:t>
          </m:r>
        </m:oMath>
      </m:oMathPara>
    </w:p>
    <w:p>
      <w:pPr>
        <w:pStyle w:val="ListBullet"/>
        <w:spacing w:after="60"/>
      </w:pPr>
      <w:r>
        <w:t>Đơn vị: phần trăm.</w:t>
      </w:r>
    </w:p>
    <w:p>
      <w:pPr>
        <w:pStyle w:val="ListBullet"/>
        <w:spacing w:after="60"/>
      </w:pPr>
      <w:r>
        <w:t>Thang điểm: sử dụng mức tăng trưởng doanh thu của bảng Sản xuất, quy về tối đa 10 điểm.</w:t>
      </w:r>
    </w:p>
    <w:p>
      <w:pPr>
        <w:pStyle w:val="ListBullet"/>
        <w:spacing w:after="60"/>
      </w:pPr>
      <w:r>
        <w:t>Điểm tăng trưởng doanh thu không tự chứng minh tăng trưởng an toàn. Cổng an toàn vốn sẽ kiểm tra doanh thu có tăng nhanh hơn vốn chủ sở hữu quá mức hay không.</w:t>
      </w:r>
    </w:p>
    <w:p>
      <w:pPr>
        <w:pStyle w:val="Heading2"/>
      </w:pPr>
      <w:r>
        <w:t>5.4 ROE bốn quý</w:t>
      </w:r>
    </w:p>
    <w:p>
      <w:r>
        <w:rPr>
          <w:b/>
        </w:rPr>
        <w:t xml:space="preserve">Phạm vi lợi nhuận và vốn. </w:t>
      </w:r>
      <w:r>
        <w:t>Tử số dùng LNST thuộc cổ đông công ty mẹ của bốn quý gần nhất. Mẫu số dùng bình quân vốn chủ sở hữu thuộc cổ đông công ty mẹ đầu và cuối kỳ.</w:t>
      </w:r>
    </w:p>
    <w:p>
      <w:pPr>
        <w:spacing w:before="80" w:after="160"/>
        <w:jc w:val="center"/>
      </w:pPr>
      <m:oMathPara>
        <m:oMath>
          <m:r>
            <m:rPr>
              <m:sty m:val="p"/>
            </m:rPr>
            <m:t>ROE TTM (%) = LNST cổ đông mẹ 4 quý ÷ [(VCSH mẹₜ + VCSH mẹₜ₋₄) ÷ 2] × 100%</m:t>
          </m:r>
        </m:oMath>
      </m:oMathPara>
    </w:p>
    <w:p>
      <w:pPr>
        <w:pStyle w:val="ListBullet"/>
        <w:spacing w:after="60"/>
      </w:pPr>
      <w:r>
        <w:t>VCSH cổ đông mẹ = Tổng VCSH − Lợi ích cổ đông không kiểm soát.</w:t>
      </w:r>
    </w:p>
    <w:p>
      <w:pPr>
        <w:pStyle w:val="ListBullet"/>
        <w:spacing w:after="60"/>
      </w:pPr>
      <w:r>
        <w:t>Đơn vị: phần trăm.</w:t>
      </w:r>
    </w:p>
    <w:p>
      <w:pPr>
        <w:pStyle w:val="ListBullet"/>
        <w:spacing w:after="60"/>
      </w:pPr>
      <w:r>
        <w:t>Thang điểm: dùng đúng các ngưỡng ROE đang áp dụng ở bảng Sản xuất, quy về tối đa 10 điểm.</w:t>
      </w:r>
    </w:p>
    <w:p>
      <w:pPr>
        <w:pStyle w:val="ListBullet"/>
        <w:spacing w:after="60"/>
      </w:pPr>
      <w:r>
        <w:t>BVH chỉ tính ROE hợp nhất; không suy ra ROE riêng cho nhân thọ hoặc phi nhân thọ.</w:t>
      </w:r>
    </w:p>
    <w:p>
      <w:pPr>
        <w:pStyle w:val="Heading2"/>
      </w:pPr>
      <w:r>
        <w:t>5.5 Xu hướng đệm vốn</w:t>
      </w:r>
    </w:p>
    <w:p>
      <w:r>
        <w:rPr>
          <w:b/>
        </w:rPr>
        <w:t xml:space="preserve">Mục tiêu. </w:t>
      </w:r>
      <w:r>
        <w:t>Đo nền vốn đang dày lên hay mỏng đi so với cùng kỳ. Đây là chỉ báo từ BCTC, không phải tỷ lệ khả năng thanh toán theo quy định.</w:t>
      </w:r>
    </w:p>
    <w:p>
      <w:pPr>
        <w:spacing w:before="80" w:after="160"/>
        <w:jc w:val="center"/>
      </w:pPr>
      <m:oMathPara>
        <m:oMath>
          <m:r>
            <m:rPr>
              <m:sty m:val="p"/>
            </m:rPr>
            <m:t>Đệm vốnₜ (x) = Tổng VCSHₜ ÷ Tổng dự phòng nghiệp vụ bảo hiểm gộpₜ</m:t>
          </m:r>
        </m:oMath>
      </m:oMathPara>
    </w:p>
    <w:p>
      <w:pPr>
        <w:spacing w:before="80" w:after="160"/>
        <w:jc w:val="center"/>
      </w:pPr>
      <m:oMathPara>
        <m:oMath>
          <m:r>
            <m:rPr>
              <m:sty m:val="p"/>
            </m:rPr>
            <m:t>Δ Đệm vốn YoY (%) = (Đệm vốnₜ ÷ Đệm vốnₜ₋₄ − 1) × 100%</m:t>
          </m:r>
        </m:oMath>
      </m:oMathPara>
    </w:p>
    <w:p>
      <w:pPr>
        <w:pStyle w:val="ListBullet"/>
        <w:spacing w:after="60"/>
      </w:pPr>
      <w:r>
        <w:t>Đệm vốn hiện tại hiển thị theo lần, ví dụ 0,44x.</w:t>
      </w:r>
    </w:p>
    <w:p>
      <w:pPr>
        <w:pStyle w:val="ListBullet"/>
        <w:spacing w:after="60"/>
      </w:pPr>
      <w:r>
        <w:t>Xu hướng đệm vốn hiển thị theo phần trăm, ví dụ tăng 10,0%.</w:t>
      </w:r>
    </w:p>
    <w:p>
      <w:pPr>
        <w:pStyle w:val="ListBullet"/>
        <w:spacing w:after="60"/>
      </w:pPr>
      <w:r>
        <w:t>Không so sánh mức 0,44x của doanh nghiệp này với 0,90x của doanh nghiệp khác. Chỉ so với lịch sử của chính doanh nghiệp.</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6480"/>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b/>
                <w:color w:val="FFFFFF"/>
                <w:sz w:val="18"/>
              </w:rPr>
              <w:t>Δ đệm vốn YoY</w:t>
            </w:r>
          </w:p>
        </w:tc>
        <w:tc>
          <w:tcPr>
            <w:tcW w:type="dxa" w:w="1584"/>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b/>
                <w:color w:val="FFFFFF"/>
                <w:sz w:val="18"/>
              </w:rPr>
              <w:t>Điểm</w:t>
            </w:r>
          </w:p>
        </w:tc>
      </w:tr>
      <w:tr>
        <w:trPr>
          <w:cantSplit/>
        </w:trPr>
        <w:tc>
          <w:tcPr>
            <w:tcW w:type="dxa" w:w="648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jc w:val="center"/>
            </w:pPr>
            <w:r>
              <w:rPr>
                <w:sz w:val="18"/>
              </w:rPr>
              <w:t>Từ +10% trở lên</w:t>
            </w:r>
          </w:p>
        </w:tc>
        <w:tc>
          <w:tcPr>
            <w:tcW w:type="dxa" w:w="1584"/>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jc w:val="center"/>
            </w:pPr>
            <w:r>
              <w:rPr>
                <w:sz w:val="18"/>
              </w:rPr>
              <w:t>10</w:t>
            </w:r>
          </w:p>
        </w:tc>
      </w:tr>
      <w:tr>
        <w:trPr>
          <w:cantSplit/>
        </w:trPr>
        <w:tc>
          <w:tcPr>
            <w:tcW w:type="dxa" w:w="648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3F7FB"/>
            <w:vAlign w:val="center"/>
          </w:tcPr>
          <w:p>
            <w:pPr>
              <w:spacing w:after="0" w:line="252" w:lineRule="auto"/>
              <w:jc w:val="center"/>
            </w:pPr>
            <w:r>
              <w:rPr>
                <w:sz w:val="18"/>
              </w:rPr>
              <w:t>Từ +5% đến dưới +10%</w:t>
            </w:r>
          </w:p>
        </w:tc>
        <w:tc>
          <w:tcPr>
            <w:tcW w:type="dxa" w:w="1584"/>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3F7FB"/>
            <w:vAlign w:val="center"/>
          </w:tcPr>
          <w:p>
            <w:pPr>
              <w:spacing w:after="0" w:line="252" w:lineRule="auto"/>
              <w:jc w:val="center"/>
            </w:pPr>
            <w:r>
              <w:rPr>
                <w:sz w:val="18"/>
              </w:rPr>
              <w:t>8</w:t>
            </w:r>
          </w:p>
        </w:tc>
      </w:tr>
      <w:tr>
        <w:trPr>
          <w:cantSplit/>
        </w:trPr>
        <w:tc>
          <w:tcPr>
            <w:tcW w:type="dxa" w:w="648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jc w:val="center"/>
            </w:pPr>
            <w:r>
              <w:rPr>
                <w:sz w:val="18"/>
              </w:rPr>
              <w:t>Từ 0% đến dưới +5%</w:t>
            </w:r>
          </w:p>
        </w:tc>
        <w:tc>
          <w:tcPr>
            <w:tcW w:type="dxa" w:w="1584"/>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jc w:val="center"/>
            </w:pPr>
            <w:r>
              <w:rPr>
                <w:sz w:val="18"/>
              </w:rPr>
              <w:t>7</w:t>
            </w:r>
          </w:p>
        </w:tc>
      </w:tr>
      <w:tr>
        <w:trPr>
          <w:cantSplit/>
        </w:trPr>
        <w:tc>
          <w:tcPr>
            <w:tcW w:type="dxa" w:w="648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3F7FB"/>
            <w:vAlign w:val="center"/>
          </w:tcPr>
          <w:p>
            <w:pPr>
              <w:spacing w:after="0" w:line="252" w:lineRule="auto"/>
              <w:jc w:val="center"/>
            </w:pPr>
            <w:r>
              <w:rPr>
                <w:sz w:val="18"/>
              </w:rPr>
              <w:t>Từ -5% đến dưới 0%</w:t>
            </w:r>
          </w:p>
        </w:tc>
        <w:tc>
          <w:tcPr>
            <w:tcW w:type="dxa" w:w="1584"/>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3F7FB"/>
            <w:vAlign w:val="center"/>
          </w:tcPr>
          <w:p>
            <w:pPr>
              <w:spacing w:after="0" w:line="252" w:lineRule="auto"/>
              <w:jc w:val="center"/>
            </w:pPr>
            <w:r>
              <w:rPr>
                <w:sz w:val="18"/>
              </w:rPr>
              <w:t>5</w:t>
            </w:r>
          </w:p>
        </w:tc>
      </w:tr>
      <w:tr>
        <w:trPr>
          <w:cantSplit/>
        </w:trPr>
        <w:tc>
          <w:tcPr>
            <w:tcW w:type="dxa" w:w="648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jc w:val="center"/>
            </w:pPr>
            <w:r>
              <w:rPr>
                <w:sz w:val="18"/>
              </w:rPr>
              <w:t>Từ -10% đến dưới -5%</w:t>
            </w:r>
          </w:p>
        </w:tc>
        <w:tc>
          <w:tcPr>
            <w:tcW w:type="dxa" w:w="1584"/>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jc w:val="center"/>
            </w:pPr>
            <w:r>
              <w:rPr>
                <w:sz w:val="18"/>
              </w:rPr>
              <w:t>3</w:t>
            </w:r>
          </w:p>
        </w:tc>
      </w:tr>
      <w:tr>
        <w:trPr>
          <w:cantSplit/>
        </w:trPr>
        <w:tc>
          <w:tcPr>
            <w:tcW w:type="dxa" w:w="648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3F7FB"/>
            <w:vAlign w:val="center"/>
          </w:tcPr>
          <w:p>
            <w:pPr>
              <w:spacing w:after="0" w:line="252" w:lineRule="auto"/>
              <w:jc w:val="center"/>
            </w:pPr>
            <w:r>
              <w:rPr>
                <w:sz w:val="18"/>
              </w:rPr>
              <w:t>Từ -20% đến dưới -10%</w:t>
            </w:r>
          </w:p>
        </w:tc>
        <w:tc>
          <w:tcPr>
            <w:tcW w:type="dxa" w:w="1584"/>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3F7FB"/>
            <w:vAlign w:val="center"/>
          </w:tcPr>
          <w:p>
            <w:pPr>
              <w:spacing w:after="0" w:line="252" w:lineRule="auto"/>
              <w:jc w:val="center"/>
            </w:pPr>
            <w:r>
              <w:rPr>
                <w:sz w:val="18"/>
              </w:rPr>
              <w:t>1</w:t>
            </w:r>
          </w:p>
        </w:tc>
      </w:tr>
      <w:tr>
        <w:trPr>
          <w:cantSplit/>
        </w:trPr>
        <w:tc>
          <w:tcPr>
            <w:tcW w:type="dxa" w:w="648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jc w:val="center"/>
            </w:pPr>
            <w:r>
              <w:rPr>
                <w:sz w:val="18"/>
              </w:rPr>
              <w:t>Dưới -20%</w:t>
            </w:r>
          </w:p>
        </w:tc>
        <w:tc>
          <w:tcPr>
            <w:tcW w:type="dxa" w:w="1584"/>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jc w:val="center"/>
            </w:pPr>
            <w:r>
              <w:rPr>
                <w:sz w:val="18"/>
              </w:rPr>
              <w:t>0</w:t>
            </w:r>
          </w:p>
        </w:tc>
      </w:tr>
    </w:tbl>
    <w:p>
      <w:pPr>
        <w:spacing w:after="40"/>
      </w:pPr>
    </w:p>
    <w:p>
      <w:r>
        <w:t>Định dạng cột đề nghị: 0,44x  |  tăng 10,0%  |  10 trên 10.</w:t>
      </w:r>
    </w:p>
    <w:p>
      <w:pPr>
        <w:pStyle w:val="Heading1"/>
      </w:pPr>
      <w:r>
        <w:t>6 Cổng an toàn vốn</w:t>
      </w:r>
    </w:p>
    <w:p>
      <w:r>
        <w:t>Cổng an toàn vốn không cộng điểm. Cổng được áp dụng sau khi tính xong điểm FA để ngăn một doanh nghiệp có tăng trưởng cao nhưng nền vốn suy yếu vẫn được xếp hạng quá cao.</w:t>
      </w:r>
    </w:p>
    <w:p>
      <w:pPr>
        <w:pStyle w:val="Heading2"/>
      </w:pPr>
      <w:r>
        <w:t>6.1 Biến đầu vào</w:t>
      </w:r>
    </w:p>
    <w:p>
      <w:pPr>
        <w:spacing w:before="80" w:after="160"/>
        <w:jc w:val="center"/>
      </w:pPr>
      <m:oMathPara>
        <m:oMath>
          <m:r>
            <m:rPr>
              <m:sty m:val="p"/>
            </m:rPr>
            <m:t>VCSH YoY (%) = (Tổng VCSHₜ ÷ Tổng VCSHₜ₋₄ − 1) × 100%</m:t>
          </m:r>
        </m:oMath>
      </m:oMathPara>
    </w:p>
    <w:p>
      <w:pPr>
        <w:spacing w:before="80" w:after="160"/>
        <w:jc w:val="center"/>
      </w:pPr>
      <m:oMathPara>
        <m:oMath>
          <m:r>
            <m:rPr>
              <m:sty m:val="p"/>
            </m:rPr>
            <m:t>Khoảng cách tăng trưởng (điểm %) = Doanh thu BH YoY − VCSH YoY</m:t>
          </m:r>
        </m:oMath>
      </m:oMathPara>
    </w:p>
    <w:p>
      <w:pPr>
        <w:pStyle w:val="ListBullet"/>
        <w:spacing w:after="60"/>
      </w:pPr>
      <w:r>
        <w:t>Đệm vốn và Δ đệm vốn YoY lấy lại từ tiêu chí 5.</w:t>
      </w:r>
    </w:p>
    <w:p>
      <w:pPr>
        <w:pStyle w:val="ListBullet"/>
        <w:spacing w:after="60"/>
      </w:pPr>
      <w:r>
        <w:t>Khoảng cách tăng trưởng có đơn vị điểm phần trăm, không phải phần trăm.</w:t>
      </w:r>
    </w:p>
    <w:p>
      <w:pPr>
        <w:pStyle w:val="ListBullet"/>
        <w:spacing w:after="60"/>
      </w:pPr>
      <w:r>
        <w:t>Hai quý mất cân đối = khoảng cách tăng trưởng trên 20 điểm phần trăm trong cả quý hiện tại và quý ngay trước đó.</w:t>
      </w:r>
    </w:p>
    <w:p>
      <w:pPr>
        <w:pStyle w:val="Heading2"/>
      </w:pPr>
      <w:r>
        <w:t>6.2 Trạng thái và tác động</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584"/>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b/>
                <w:color w:val="FFFFFF"/>
                <w:sz w:val="18"/>
              </w:rPr>
              <w:t>Trạng thái</w:t>
            </w:r>
          </w:p>
        </w:tc>
        <w:tc>
          <w:tcPr>
            <w:tcW w:type="dxa" w:w="5976"/>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b/>
                <w:color w:val="FFFFFF"/>
                <w:sz w:val="18"/>
              </w:rPr>
              <w:t>Điều kiện</w:t>
            </w:r>
          </w:p>
        </w:tc>
        <w:tc>
          <w:tcPr>
            <w:tcW w:type="dxa" w:w="2304"/>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b/>
                <w:color w:val="FFFFFF"/>
                <w:sz w:val="18"/>
              </w:rPr>
              <w:t>Xử lý điểm FA</w:t>
            </w:r>
          </w:p>
        </w:tc>
      </w:tr>
      <w:tr>
        <w:trPr>
          <w:cantSplit/>
        </w:trPr>
        <w:tc>
          <w:tcPr>
            <w:tcW w:type="dxa" w:w="1584"/>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jc w:val="center"/>
            </w:pPr>
            <w:r>
              <w:rPr>
                <w:sz w:val="18"/>
              </w:rPr>
              <w:t>Đạt</w:t>
            </w:r>
          </w:p>
        </w:tc>
        <w:tc>
          <w:tcPr>
            <w:tcW w:type="dxa" w:w="5976"/>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jc w:val="left"/>
            </w:pPr>
            <w:r>
              <w:rPr>
                <w:sz w:val="18"/>
              </w:rPr>
              <w:t>VCSH dương; đệm vốn không giảm quá 10%; không có hai quý tăng trưởng mất cân đối</w:t>
            </w:r>
          </w:p>
        </w:tc>
        <w:tc>
          <w:tcPr>
            <w:tcW w:type="dxa" w:w="2304"/>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jc w:val="center"/>
            </w:pPr>
            <w:r>
              <w:rPr>
                <w:sz w:val="18"/>
              </w:rPr>
              <w:t>Giữ nguyên tổng điểm</w:t>
            </w:r>
          </w:p>
        </w:tc>
      </w:tr>
      <w:tr>
        <w:trPr>
          <w:cantSplit/>
        </w:trPr>
        <w:tc>
          <w:tcPr>
            <w:tcW w:type="dxa" w:w="1584"/>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3F7FB"/>
            <w:vAlign w:val="center"/>
          </w:tcPr>
          <w:p>
            <w:pPr>
              <w:spacing w:after="0" w:line="252" w:lineRule="auto"/>
              <w:jc w:val="center"/>
            </w:pPr>
            <w:r>
              <w:rPr>
                <w:sz w:val="18"/>
              </w:rPr>
              <w:t>Cảnh báo</w:t>
            </w:r>
          </w:p>
        </w:tc>
        <w:tc>
          <w:tcPr>
            <w:tcW w:type="dxa" w:w="5976"/>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3F7FB"/>
            <w:vAlign w:val="center"/>
          </w:tcPr>
          <w:p>
            <w:pPr>
              <w:spacing w:after="0" w:line="252" w:lineRule="auto"/>
              <w:jc w:val="left"/>
            </w:pPr>
            <w:r>
              <w:rPr>
                <w:sz w:val="18"/>
              </w:rPr>
              <w:t>Đệm vốn giảm trên 10%; hoặc khoảng cách tăng trưởng trên 20 điểm phần trăm trong hai quý liên tiếp</w:t>
            </w:r>
          </w:p>
        </w:tc>
        <w:tc>
          <w:tcPr>
            <w:tcW w:type="dxa" w:w="2304"/>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3F7FB"/>
            <w:vAlign w:val="center"/>
          </w:tcPr>
          <w:p>
            <w:pPr>
              <w:spacing w:after="0" w:line="252" w:lineRule="auto"/>
              <w:jc w:val="center"/>
            </w:pPr>
            <w:r>
              <w:rPr>
                <w:sz w:val="18"/>
              </w:rPr>
              <w:t>Tổng điểm tối đa 79</w:t>
            </w:r>
          </w:p>
        </w:tc>
      </w:tr>
      <w:tr>
        <w:trPr>
          <w:cantSplit/>
        </w:trPr>
        <w:tc>
          <w:tcPr>
            <w:tcW w:type="dxa" w:w="1584"/>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jc w:val="center"/>
            </w:pPr>
            <w:r>
              <w:rPr>
                <w:sz w:val="18"/>
              </w:rPr>
              <w:t>Rủi ro cao</w:t>
            </w:r>
          </w:p>
        </w:tc>
        <w:tc>
          <w:tcPr>
            <w:tcW w:type="dxa" w:w="5976"/>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jc w:val="left"/>
            </w:pPr>
            <w:r>
              <w:rPr>
                <w:sz w:val="18"/>
              </w:rPr>
              <w:t>Đệm vốn giảm trên 20% và VCSH cũng giảm YoY</w:t>
            </w:r>
          </w:p>
        </w:tc>
        <w:tc>
          <w:tcPr>
            <w:tcW w:type="dxa" w:w="2304"/>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jc w:val="center"/>
            </w:pPr>
            <w:r>
              <w:rPr>
                <w:sz w:val="18"/>
              </w:rPr>
              <w:t>Tổng điểm tối đa 59</w:t>
            </w:r>
          </w:p>
        </w:tc>
      </w:tr>
      <w:tr>
        <w:trPr>
          <w:cantSplit/>
        </w:trPr>
        <w:tc>
          <w:tcPr>
            <w:tcW w:type="dxa" w:w="1584"/>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3F7FB"/>
            <w:vAlign w:val="center"/>
          </w:tcPr>
          <w:p>
            <w:pPr>
              <w:spacing w:after="0" w:line="252" w:lineRule="auto"/>
              <w:jc w:val="center"/>
            </w:pPr>
            <w:r>
              <w:rPr>
                <w:sz w:val="18"/>
              </w:rPr>
              <w:t>Không đạt</w:t>
            </w:r>
          </w:p>
        </w:tc>
        <w:tc>
          <w:tcPr>
            <w:tcW w:type="dxa" w:w="5976"/>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3F7FB"/>
            <w:vAlign w:val="center"/>
          </w:tcPr>
          <w:p>
            <w:pPr>
              <w:spacing w:after="0" w:line="252" w:lineRule="auto"/>
              <w:jc w:val="left"/>
            </w:pPr>
            <w:r>
              <w:rPr>
                <w:sz w:val="18"/>
              </w:rPr>
              <w:t>Tổng VCSH bằng hoặc nhỏ hơn 0</w:t>
            </w:r>
          </w:p>
        </w:tc>
        <w:tc>
          <w:tcPr>
            <w:tcW w:type="dxa" w:w="2304"/>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3F7FB"/>
            <w:vAlign w:val="center"/>
          </w:tcPr>
          <w:p>
            <w:pPr>
              <w:spacing w:after="0" w:line="252" w:lineRule="auto"/>
              <w:jc w:val="center"/>
            </w:pPr>
            <w:r>
              <w:rPr>
                <w:sz w:val="18"/>
              </w:rPr>
              <w:t>Loại khỏi bảng xếp hạng</w:t>
            </w:r>
          </w:p>
        </w:tc>
      </w:tr>
    </w:tbl>
    <w:p>
      <w:pPr>
        <w:spacing w:after="40"/>
      </w:pPr>
    </w:p>
    <w:p>
      <w:r>
        <w:rPr>
          <w:b/>
        </w:rPr>
        <w:t xml:space="preserve">Thứ tự ưu tiên trạng thái. </w:t>
      </w:r>
      <w:r>
        <w:t>Không đạt cao hơn Rủi ro cao; Rủi ro cao cao hơn Cảnh báo; Cảnh báo cao hơn Đạt. Nếu nhiều điều kiện cùng xuất hiện, hệ thống lấy trạng thái nghiêm trọng nhất.</w:t>
      </w:r>
    </w:p>
    <w:p>
      <w:r>
        <w:rPr>
          <w:b/>
        </w:rPr>
        <w:t xml:space="preserve">Câu chữ hiển thị. </w:t>
      </w:r>
      <w:r>
        <w:t>Khi không có tín hiệu cảnh báo, dùng câu Chưa phát hiện cảnh báo vốn từ BCTC. Không dùng câu Doanh nghiệp an toàn vốn vì hệ thống chưa tính tỷ lệ khả năng thanh toán pháp lý.</w:t>
      </w:r>
    </w:p>
    <w:p>
      <w:pPr>
        <w:pStyle w:val="Heading1"/>
      </w:pPr>
      <w:r>
        <w:t>7 Lợi nhuận một lần và biến động dự phòng</w:t>
      </w:r>
    </w:p>
    <w:p>
      <w:r>
        <w:t>Khoản lợi nhuận một lần được xử lý ngoài năm tiêu chí chung để tránh một khoản thu nhập không lặp lại làm điểm EPS và tổng FA tăng sai bản chất.</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3744"/>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b/>
                <w:color w:val="FFFFFF"/>
                <w:sz w:val="18"/>
              </w:rPr>
              <w:t>Trường hợp</w:t>
            </w:r>
          </w:p>
        </w:tc>
        <w:tc>
          <w:tcPr>
            <w:tcW w:type="dxa" w:w="6120"/>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b/>
                <w:color w:val="FFFFFF"/>
                <w:sz w:val="18"/>
              </w:rPr>
              <w:t>Xử lý</w:t>
            </w:r>
          </w:p>
        </w:tc>
      </w:tr>
      <w:tr>
        <w:trPr>
          <w:cantSplit/>
        </w:trPr>
        <w:tc>
          <w:tcPr>
            <w:tcW w:type="dxa" w:w="3744"/>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jc w:val="left"/>
            </w:pPr>
            <w:r>
              <w:rPr>
                <w:sz w:val="18"/>
              </w:rPr>
              <w:t>Khoản bất thường có số tiền và bản chất xác định rõ</w:t>
            </w:r>
          </w:p>
        </w:tc>
        <w:tc>
          <w:tcPr>
            <w:tcW w:type="dxa" w:w="612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jc w:val="left"/>
            </w:pPr>
            <w:r>
              <w:rPr>
                <w:sz w:val="18"/>
              </w:rPr>
              <w:t>Tính lợi nhuận sau thuế điều chỉnh và áp dụng điểm trừ riêng theo quy tắc đã được phê duyệt</w:t>
            </w:r>
          </w:p>
        </w:tc>
      </w:tr>
      <w:tr>
        <w:trPr>
          <w:cantSplit/>
        </w:trPr>
        <w:tc>
          <w:tcPr>
            <w:tcW w:type="dxa" w:w="3744"/>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3F7FB"/>
            <w:vAlign w:val="center"/>
          </w:tcPr>
          <w:p>
            <w:pPr>
              <w:spacing w:after="0" w:line="252" w:lineRule="auto"/>
              <w:jc w:val="left"/>
            </w:pPr>
            <w:r>
              <w:rPr>
                <w:sz w:val="18"/>
              </w:rPr>
              <w:t>Lãi bán tài sản công ty con khoản đầu tư hoặc khoản đền bù một lần</w:t>
            </w:r>
          </w:p>
        </w:tc>
        <w:tc>
          <w:tcPr>
            <w:tcW w:type="dxa" w:w="612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3F7FB"/>
            <w:vAlign w:val="center"/>
          </w:tcPr>
          <w:p>
            <w:pPr>
              <w:spacing w:after="0" w:line="252" w:lineRule="auto"/>
              <w:jc w:val="left"/>
            </w:pPr>
            <w:r>
              <w:rPr>
                <w:sz w:val="18"/>
              </w:rPr>
              <w:t>Có thể xem xét loại trừ nếu BCTC thuyết minh đủ để tính lại</w:t>
            </w:r>
          </w:p>
        </w:tc>
      </w:tr>
      <w:tr>
        <w:trPr>
          <w:cantSplit/>
        </w:trPr>
        <w:tc>
          <w:tcPr>
            <w:tcW w:type="dxa" w:w="3744"/>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jc w:val="left"/>
            </w:pPr>
            <w:r>
              <w:rPr>
                <w:sz w:val="18"/>
              </w:rPr>
              <w:t>Biến động dự phòng toán học dự phòng bồi thường hoặc dự phòng lãi cam kết</w:t>
            </w:r>
          </w:p>
        </w:tc>
        <w:tc>
          <w:tcPr>
            <w:tcW w:type="dxa" w:w="612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jc w:val="left"/>
            </w:pPr>
            <w:r>
              <w:rPr>
                <w:sz w:val="18"/>
              </w:rPr>
              <w:t>Không trừ máy móc; chỉ cảnh báo vì đây là thành phần nghiệp vụ bảo hiểm liên quan nhiều dòng</w:t>
            </w:r>
          </w:p>
        </w:tc>
      </w:tr>
      <w:tr>
        <w:trPr>
          <w:cantSplit/>
        </w:trPr>
        <w:tc>
          <w:tcPr>
            <w:tcW w:type="dxa" w:w="3744"/>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3F7FB"/>
            <w:vAlign w:val="center"/>
          </w:tcPr>
          <w:p>
            <w:pPr>
              <w:spacing w:after="0" w:line="252" w:lineRule="auto"/>
              <w:jc w:val="left"/>
            </w:pPr>
            <w:r>
              <w:rPr>
                <w:sz w:val="18"/>
              </w:rPr>
              <w:t>Không bóc tách được số tiền</w:t>
            </w:r>
          </w:p>
        </w:tc>
        <w:tc>
          <w:tcPr>
            <w:tcW w:type="dxa" w:w="612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3F7FB"/>
            <w:vAlign w:val="center"/>
          </w:tcPr>
          <w:p>
            <w:pPr>
              <w:spacing w:after="0" w:line="252" w:lineRule="auto"/>
              <w:jc w:val="left"/>
            </w:pPr>
            <w:r>
              <w:rPr>
                <w:sz w:val="18"/>
              </w:rPr>
              <w:t>Không suy đoán và không tự động trừ; hiển thị cảnh báo nếu có bằng chứng định tính rõ</w:t>
            </w:r>
          </w:p>
        </w:tc>
      </w:tr>
    </w:tbl>
    <w:p>
      <w:pPr>
        <w:spacing w:after="40"/>
      </w:pPr>
    </w:p>
    <w:p>
      <w:pPr>
        <w:pStyle w:val="Heading1"/>
      </w:pPr>
      <w:r>
        <w:t>8 Xử lý từng phản hồi của IT</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880"/>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b/>
                <w:color w:val="FFFFFF"/>
                <w:sz w:val="18"/>
              </w:rPr>
              <w:t>Vấn đề</w:t>
            </w:r>
          </w:p>
        </w:tc>
        <w:tc>
          <w:tcPr>
            <w:tcW w:type="dxa" w:w="4032"/>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b/>
                <w:color w:val="FFFFFF"/>
                <w:sz w:val="18"/>
              </w:rPr>
              <w:t>Quyết định nghiệp vụ</w:t>
            </w:r>
          </w:p>
        </w:tc>
        <w:tc>
          <w:tcPr>
            <w:tcW w:type="dxa" w:w="2952"/>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b/>
                <w:color w:val="FFFFFF"/>
                <w:sz w:val="18"/>
              </w:rPr>
              <w:t>IT cần thực hiện</w:t>
            </w:r>
          </w:p>
        </w:tc>
      </w:tr>
      <w:tr>
        <w:trPr>
          <w:cantSplit/>
        </w:trPr>
        <w:tc>
          <w:tcPr>
            <w:tcW w:type="dxa" w:w="288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jc w:val="left"/>
            </w:pPr>
            <w:r>
              <w:rPr>
                <w:sz w:val="18"/>
              </w:rPr>
              <w:t>EPS chỉ có 9 quý</w:t>
            </w:r>
          </w:p>
        </w:tc>
        <w:tc>
          <w:tcPr>
            <w:tcW w:type="dxa" w:w="4032"/>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jc w:val="left"/>
            </w:pPr>
            <w:r>
              <w:rPr>
                <w:sz w:val="18"/>
              </w:rPr>
              <w:t>Không còn là điều kiện FAIL. Chín quý đủ cho điểm hiện tại và ΔFA</w:t>
            </w:r>
          </w:p>
        </w:tc>
        <w:tc>
          <w:tcPr>
            <w:tcW w:type="dxa" w:w="2952"/>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jc w:val="left"/>
            </w:pPr>
            <w:r>
              <w:rPr>
                <w:sz w:val="18"/>
              </w:rPr>
              <w:t>Giữ nguồn EPS chuẩn hóa; bỏ điều kiện bắt buộc 20 quý</w:t>
            </w:r>
          </w:p>
        </w:tc>
      </w:tr>
      <w:tr>
        <w:trPr>
          <w:cantSplit/>
        </w:trPr>
        <w:tc>
          <w:tcPr>
            <w:tcW w:type="dxa" w:w="288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3F7FB"/>
            <w:vAlign w:val="center"/>
          </w:tcPr>
          <w:p>
            <w:pPr>
              <w:spacing w:after="0" w:line="252" w:lineRule="auto"/>
              <w:jc w:val="left"/>
            </w:pPr>
            <w:r>
              <w:rPr>
                <w:sz w:val="18"/>
              </w:rPr>
              <w:t>ABI có thay đổi số cổ phiếu</w:t>
            </w:r>
          </w:p>
        </w:tc>
        <w:tc>
          <w:tcPr>
            <w:tcW w:type="dxa" w:w="4032"/>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3F7FB"/>
            <w:vAlign w:val="center"/>
          </w:tcPr>
          <w:p>
            <w:pPr>
              <w:spacing w:after="0" w:line="252" w:lineRule="auto"/>
              <w:jc w:val="left"/>
            </w:pPr>
            <w:r>
              <w:rPr>
                <w:sz w:val="18"/>
              </w:rPr>
              <w:t>Dùng bộ EPS chuẩn hóa đã thống nhất; không mở lại phương pháp trong hạng mục này</w:t>
            </w:r>
          </w:p>
        </w:tc>
        <w:tc>
          <w:tcPr>
            <w:tcW w:type="dxa" w:w="2952"/>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3F7FB"/>
            <w:vAlign w:val="center"/>
          </w:tcPr>
          <w:p>
            <w:pPr>
              <w:spacing w:after="0" w:line="252" w:lineRule="auto"/>
              <w:jc w:val="left"/>
            </w:pPr>
            <w:r>
              <w:rPr>
                <w:sz w:val="18"/>
              </w:rPr>
              <w:t>Không chặn triển khai tab Toàn ngành vì ABI</w:t>
            </w:r>
          </w:p>
        </w:tc>
      </w:tr>
      <w:tr>
        <w:trPr>
          <w:cantSplit/>
        </w:trPr>
        <w:tc>
          <w:tcPr>
            <w:tcW w:type="dxa" w:w="288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jc w:val="left"/>
            </w:pPr>
            <w:r>
              <w:rPr>
                <w:sz w:val="18"/>
              </w:rPr>
              <w:t>BLI tăng EPS 1.935,3%</w:t>
            </w:r>
          </w:p>
        </w:tc>
        <w:tc>
          <w:tcPr>
            <w:tcW w:type="dxa" w:w="4032"/>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jc w:val="left"/>
            </w:pPr>
            <w:r>
              <w:rPr>
                <w:sz w:val="18"/>
              </w:rPr>
              <w:t>Điểm bị chặn ở mức tối đa 10; thêm cảnh báo nền so sánh thấp</w:t>
            </w:r>
          </w:p>
        </w:tc>
        <w:tc>
          <w:tcPr>
            <w:tcW w:type="dxa" w:w="2952"/>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jc w:val="left"/>
            </w:pPr>
            <w:r>
              <w:rPr>
                <w:sz w:val="18"/>
              </w:rPr>
              <w:t>Hiển thị nhãn nhưng không tạo EPS thay thế</w:t>
            </w:r>
          </w:p>
        </w:tc>
      </w:tr>
      <w:tr>
        <w:trPr>
          <w:cantSplit/>
        </w:trPr>
        <w:tc>
          <w:tcPr>
            <w:tcW w:type="dxa" w:w="288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3F7FB"/>
            <w:vAlign w:val="center"/>
          </w:tcPr>
          <w:p>
            <w:pPr>
              <w:spacing w:after="0" w:line="252" w:lineRule="auto"/>
              <w:jc w:val="left"/>
            </w:pPr>
            <w:r>
              <w:rPr>
                <w:sz w:val="18"/>
              </w:rPr>
              <w:t>BVH dự phòng tăng 459 lần tại 2022 Q1</w:t>
            </w:r>
          </w:p>
        </w:tc>
        <w:tc>
          <w:tcPr>
            <w:tcW w:type="dxa" w:w="4032"/>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3F7FB"/>
            <w:vAlign w:val="center"/>
          </w:tcPr>
          <w:p>
            <w:pPr>
              <w:spacing w:after="0" w:line="252" w:lineRule="auto"/>
              <w:jc w:val="left"/>
            </w:pPr>
            <w:r>
              <w:rPr>
                <w:sz w:val="18"/>
              </w:rPr>
              <w:t>Xác định là lỗi phạm vi hoặc mapping, không phải biến động kinh doanh</w:t>
            </w:r>
          </w:p>
        </w:tc>
        <w:tc>
          <w:tcPr>
            <w:tcW w:type="dxa" w:w="2952"/>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3F7FB"/>
            <w:vAlign w:val="center"/>
          </w:tcPr>
          <w:p>
            <w:pPr>
              <w:spacing w:after="0" w:line="252" w:lineRule="auto"/>
              <w:jc w:val="left"/>
            </w:pPr>
            <w:r>
              <w:rPr>
                <w:sz w:val="18"/>
              </w:rPr>
              <w:t>Đối chiếu BCTC gốc và sửa chuỗi; không dùng kỳ sai để backtest</w:t>
            </w:r>
          </w:p>
        </w:tc>
      </w:tr>
      <w:tr>
        <w:trPr>
          <w:cantSplit/>
        </w:trPr>
        <w:tc>
          <w:tcPr>
            <w:tcW w:type="dxa" w:w="288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jc w:val="left"/>
            </w:pPr>
            <w:r>
              <w:rPr>
                <w:sz w:val="18"/>
              </w:rPr>
              <w:t>BHI chỉ có 14 quý</w:t>
            </w:r>
          </w:p>
        </w:tc>
        <w:tc>
          <w:tcPr>
            <w:tcW w:type="dxa" w:w="4032"/>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jc w:val="left"/>
            </w:pPr>
            <w:r>
              <w:rPr>
                <w:sz w:val="18"/>
              </w:rPr>
              <w:t>Không còn vướng vì công thức điểm hiện tại không cần 20 quý</w:t>
            </w:r>
          </w:p>
        </w:tc>
        <w:tc>
          <w:tcPr>
            <w:tcW w:type="dxa" w:w="2952"/>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jc w:val="left"/>
            </w:pPr>
            <w:r>
              <w:rPr>
                <w:sz w:val="18"/>
              </w:rPr>
              <w:t>Tính bình thường khi đủ số quý tối thiểu cho từng công thức</w:t>
            </w:r>
          </w:p>
        </w:tc>
      </w:tr>
      <w:tr>
        <w:trPr>
          <w:cantSplit/>
        </w:trPr>
        <w:tc>
          <w:tcPr>
            <w:tcW w:type="dxa" w:w="288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3F7FB"/>
            <w:vAlign w:val="center"/>
          </w:tcPr>
          <w:p>
            <w:pPr>
              <w:spacing w:after="0" w:line="252" w:lineRule="auto"/>
              <w:jc w:val="left"/>
            </w:pPr>
            <w:r>
              <w:rPr>
                <w:sz w:val="18"/>
              </w:rPr>
              <w:t>PRE tăng vốn mạnh</w:t>
            </w:r>
          </w:p>
        </w:tc>
        <w:tc>
          <w:tcPr>
            <w:tcW w:type="dxa" w:w="4032"/>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3F7FB"/>
            <w:vAlign w:val="center"/>
          </w:tcPr>
          <w:p>
            <w:pPr>
              <w:spacing w:after="0" w:line="252" w:lineRule="auto"/>
              <w:jc w:val="left"/>
            </w:pPr>
            <w:r>
              <w:rPr>
                <w:sz w:val="18"/>
              </w:rPr>
              <w:t>Đây là cải thiện vốn thật nhưng đến từ phát hành</w:t>
            </w:r>
          </w:p>
        </w:tc>
        <w:tc>
          <w:tcPr>
            <w:tcW w:type="dxa" w:w="2952"/>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3F7FB"/>
            <w:vAlign w:val="center"/>
          </w:tcPr>
          <w:p>
            <w:pPr>
              <w:spacing w:after="0" w:line="252" w:lineRule="auto"/>
              <w:jc w:val="left"/>
            </w:pPr>
            <w:r>
              <w:rPr>
                <w:sz w:val="18"/>
              </w:rPr>
              <w:t>Giữ số liệu và thêm chú thích tăng do phát hành vốn</w:t>
            </w:r>
          </w:p>
        </w:tc>
      </w:tr>
      <w:tr>
        <w:trPr>
          <w:cantSplit/>
        </w:trPr>
        <w:tc>
          <w:tcPr>
            <w:tcW w:type="dxa" w:w="288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jc w:val="left"/>
            </w:pPr>
            <w:r>
              <w:rPr>
                <w:sz w:val="18"/>
              </w:rPr>
              <w:t>IFA không có dữ liệu</w:t>
            </w:r>
          </w:p>
        </w:tc>
        <w:tc>
          <w:tcPr>
            <w:tcW w:type="dxa" w:w="4032"/>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jc w:val="left"/>
            </w:pPr>
            <w:r>
              <w:rPr>
                <w:sz w:val="18"/>
              </w:rPr>
              <w:t>Loại khỏi universe</w:t>
            </w:r>
          </w:p>
        </w:tc>
        <w:tc>
          <w:tcPr>
            <w:tcW w:type="dxa" w:w="2952"/>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jc w:val="left"/>
            </w:pPr>
            <w:r>
              <w:rPr>
                <w:sz w:val="18"/>
              </w:rPr>
              <w:t>Không hiển thị trong bảng làm việc</w:t>
            </w:r>
          </w:p>
        </w:tc>
      </w:tr>
      <w:tr>
        <w:trPr>
          <w:cantSplit/>
        </w:trPr>
        <w:tc>
          <w:tcPr>
            <w:tcW w:type="dxa" w:w="288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3F7FB"/>
            <w:vAlign w:val="center"/>
          </w:tcPr>
          <w:p>
            <w:pPr>
              <w:spacing w:after="0" w:line="252" w:lineRule="auto"/>
              <w:jc w:val="left"/>
            </w:pPr>
            <w:r>
              <w:rPr>
                <w:sz w:val="18"/>
              </w:rPr>
              <w:t>Không có doanh nghiệp nhân thọ thuần niêm yết</w:t>
            </w:r>
          </w:p>
        </w:tc>
        <w:tc>
          <w:tcPr>
            <w:tcW w:type="dxa" w:w="4032"/>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3F7FB"/>
            <w:vAlign w:val="center"/>
          </w:tcPr>
          <w:p>
            <w:pPr>
              <w:spacing w:after="0" w:line="252" w:lineRule="auto"/>
              <w:jc w:val="left"/>
            </w:pPr>
            <w:r>
              <w:rPr>
                <w:sz w:val="18"/>
              </w:rPr>
              <w:t>Giữ tab Nhân thọ nhưng chưa chấm mã nào</w:t>
            </w:r>
          </w:p>
        </w:tc>
        <w:tc>
          <w:tcPr>
            <w:tcW w:type="dxa" w:w="2952"/>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3F7FB"/>
            <w:vAlign w:val="center"/>
          </w:tcPr>
          <w:p>
            <w:pPr>
              <w:spacing w:after="0" w:line="252" w:lineRule="auto"/>
              <w:jc w:val="left"/>
            </w:pPr>
            <w:r>
              <w:rPr>
                <w:sz w:val="18"/>
              </w:rPr>
              <w:t>Hiển thị thông báo giải thích</w:t>
            </w:r>
          </w:p>
        </w:tc>
      </w:tr>
      <w:tr>
        <w:trPr>
          <w:cantSplit/>
        </w:trPr>
        <w:tc>
          <w:tcPr>
            <w:tcW w:type="dxa" w:w="288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jc w:val="left"/>
            </w:pPr>
            <w:r>
              <w:rPr>
                <w:sz w:val="18"/>
              </w:rPr>
              <w:t>PVI đang phân loại Phi nhân thọ</w:t>
            </w:r>
          </w:p>
        </w:tc>
        <w:tc>
          <w:tcPr>
            <w:tcW w:type="dxa" w:w="4032"/>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jc w:val="left"/>
            </w:pPr>
            <w:r>
              <w:rPr>
                <w:sz w:val="18"/>
              </w:rPr>
              <w:t>PVI là Holding Hỗn hợp ở tầng chấm hiệu quả đặc thù</w:t>
            </w:r>
          </w:p>
        </w:tc>
        <w:tc>
          <w:tcPr>
            <w:tcW w:type="dxa" w:w="2952"/>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jc w:val="left"/>
            </w:pPr>
            <w:r>
              <w:rPr>
                <w:sz w:val="18"/>
              </w:rPr>
              <w:t>Chuyển PVI sang module Holding Hỗn hợp</w:t>
            </w:r>
          </w:p>
        </w:tc>
      </w:tr>
      <w:tr>
        <w:trPr>
          <w:cantSplit/>
        </w:trPr>
        <w:tc>
          <w:tcPr>
            <w:tcW w:type="dxa" w:w="288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3F7FB"/>
            <w:vAlign w:val="center"/>
          </w:tcPr>
          <w:p>
            <w:pPr>
              <w:spacing w:after="0" w:line="252" w:lineRule="auto"/>
              <w:jc w:val="left"/>
            </w:pPr>
            <w:r>
              <w:rPr>
                <w:sz w:val="18"/>
              </w:rPr>
              <w:t>Mã bảo hiểm đang bị chấm theo Sản xuất</w:t>
            </w:r>
          </w:p>
        </w:tc>
        <w:tc>
          <w:tcPr>
            <w:tcW w:type="dxa" w:w="4032"/>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3F7FB"/>
            <w:vAlign w:val="center"/>
          </w:tcPr>
          <w:p>
            <w:pPr>
              <w:spacing w:after="0" w:line="252" w:lineRule="auto"/>
              <w:jc w:val="left"/>
            </w:pPr>
            <w:r>
              <w:rPr>
                <w:sz w:val="18"/>
              </w:rPr>
              <w:t>Kết quả đó không có ý nghĩa</w:t>
            </w:r>
          </w:p>
        </w:tc>
        <w:tc>
          <w:tcPr>
            <w:tcW w:type="dxa" w:w="2952"/>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3F7FB"/>
            <w:vAlign w:val="center"/>
          </w:tcPr>
          <w:p>
            <w:pPr>
              <w:spacing w:after="0" w:line="252" w:lineRule="auto"/>
              <w:jc w:val="left"/>
            </w:pPr>
            <w:r>
              <w:rPr>
                <w:sz w:val="18"/>
              </w:rPr>
              <w:t>Chặn toàn bộ mã BH khỏi bộ điểm Sản xuất</w:t>
            </w:r>
          </w:p>
        </w:tc>
      </w:tr>
      <w:tr>
        <w:trPr>
          <w:cantSplit/>
        </w:trPr>
        <w:tc>
          <w:tcPr>
            <w:tcW w:type="dxa" w:w="288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jc w:val="left"/>
            </w:pPr>
            <w:r>
              <w:rPr>
                <w:sz w:val="18"/>
              </w:rPr>
              <w:t>Ngưỡng thanh khoản 200.000 cổ phiếu</w:t>
            </w:r>
          </w:p>
        </w:tc>
        <w:tc>
          <w:tcPr>
            <w:tcW w:type="dxa" w:w="4032"/>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jc w:val="left"/>
            </w:pPr>
            <w:r>
              <w:rPr>
                <w:sz w:val="18"/>
              </w:rPr>
              <w:t>Ngoài phạm vi FA</w:t>
            </w:r>
          </w:p>
        </w:tc>
        <w:tc>
          <w:tcPr>
            <w:tcW w:type="dxa" w:w="2952"/>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jc w:val="left"/>
            </w:pPr>
            <w:r>
              <w:rPr>
                <w:sz w:val="18"/>
              </w:rPr>
              <w:t>Không xử lý và không đưa vào tài liệu triển khai này</w:t>
            </w:r>
          </w:p>
        </w:tc>
      </w:tr>
    </w:tbl>
    <w:p>
      <w:pPr>
        <w:spacing w:after="40"/>
      </w:pPr>
    </w:p>
    <w:p>
      <w:pPr>
        <w:pStyle w:val="Heading1"/>
      </w:pPr>
      <w:r>
        <w:t>9 Các lỗi dữ liệu IT phải đóng trước nghiệm thu</w:t>
      </w:r>
    </w:p>
    <w:p>
      <w:pPr>
        <w:pStyle w:val="Heading2"/>
      </w:pPr>
      <w:r>
        <w:t>9.1 Mapping dự phòng BVH</w:t>
      </w:r>
    </w:p>
    <w:p>
      <w:r>
        <w:t>IT phải đối chiếu BCTC gốc để lấy đúng tổng dự phòng nghiệp vụ bảo hiểm trước 2022 Q1. Nếu chưa thể phục hồi chuỗi cũ, cần đánh dấu khoảng dữ liệu không đồng nhất và loại khỏi backtest; không được dùng bước nhảy này làm tín hiệu suy giảm đệm vốn.</w:t>
      </w:r>
    </w:p>
    <w:p>
      <w:pPr>
        <w:pStyle w:val="Heading2"/>
      </w:pPr>
      <w:r>
        <w:t>9.2 Số liệu được trình bày lại</w:t>
      </w:r>
    </w:p>
    <w:p>
      <w:r>
        <w:t>Báo cáo IT phát hiện chênh lệch giữa tổng bốn quý và số năm tại BHI 2023, AIC 2023, BIC 2023 và BVH 2023. IT phải đối chiếu BCTC gốc để xác định số liệu có được trình bày lại hay không và cập nhật chuỗi so sánh theo bản công bố mới nhất.</w:t>
      </w:r>
    </w:p>
    <w:p>
      <w:pPr>
        <w:pStyle w:val="Heading2"/>
      </w:pPr>
      <w:r>
        <w:t>9.3 Phân loại doanh nghiệp</w:t>
      </w:r>
    </w:p>
    <w:p>
      <w:r>
        <w:t>IT phải sửa PVI sang Holding Hỗn hợp ở tầng hiệu quả bảo hiểm và loại IFA khỏi universe làm việc. Tab Toàn ngành vẫn hiển thị PVI vì năm tiêu chí chung áp dụng cho mọi doanh nghiệp bảo hiểm.</w:t>
      </w:r>
    </w:p>
    <w:p>
      <w:pPr>
        <w:pStyle w:val="Heading2"/>
      </w:pPr>
      <w:r>
        <w:t>9.4 Kiểm tra chéo trường dữ liệu</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232"/>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b/>
                <w:color w:val="FFFFFF"/>
                <w:sz w:val="18"/>
              </w:rPr>
              <w:t>Biến chuẩn</w:t>
            </w:r>
          </w:p>
        </w:tc>
        <w:tc>
          <w:tcPr>
            <w:tcW w:type="dxa" w:w="5256"/>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b/>
                <w:color w:val="FFFFFF"/>
                <w:sz w:val="18"/>
              </w:rPr>
              <w:t>Nguồn hoặc cách tính</w:t>
            </w:r>
          </w:p>
        </w:tc>
        <w:tc>
          <w:tcPr>
            <w:tcW w:type="dxa" w:w="2376"/>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b/>
                <w:color w:val="FFFFFF"/>
                <w:sz w:val="18"/>
              </w:rPr>
              <w:t>Trạng thái yêu cầu</w:t>
            </w:r>
          </w:p>
        </w:tc>
      </w:tr>
      <w:tr>
        <w:trPr>
          <w:cantSplit/>
        </w:trP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jc w:val="center"/>
            </w:pPr>
            <w:r>
              <w:rPr>
                <w:sz w:val="18"/>
              </w:rPr>
              <w:t>EPS STD</w:t>
            </w:r>
          </w:p>
        </w:tc>
        <w:tc>
          <w:tcPr>
            <w:tcW w:type="dxa" w:w="5256"/>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jc w:val="left"/>
            </w:pPr>
            <w:r>
              <w:rPr>
                <w:sz w:val="18"/>
              </w:rPr>
              <w:t>Bộ EPS chuẩn hóa thống nhất với bảng Sản xuất</w:t>
            </w:r>
          </w:p>
        </w:tc>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jc w:val="center"/>
            </w:pPr>
            <w:r>
              <w:rPr>
                <w:sz w:val="18"/>
              </w:rPr>
              <w:t>Dùng duy nhất một nguồn</w:t>
            </w:r>
          </w:p>
        </w:tc>
      </w:tr>
      <w:tr>
        <w:trPr>
          <w:cantSplit/>
        </w:trP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3F7FB"/>
            <w:vAlign w:val="center"/>
          </w:tcPr>
          <w:p>
            <w:pPr>
              <w:spacing w:after="0" w:line="252" w:lineRule="auto"/>
              <w:jc w:val="center"/>
            </w:pPr>
            <w:r>
              <w:rPr>
                <w:sz w:val="18"/>
              </w:rPr>
              <w:t>INS REV NET</w:t>
            </w:r>
          </w:p>
        </w:tc>
        <w:tc>
          <w:tcPr>
            <w:tcW w:type="dxa" w:w="5256"/>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3F7FB"/>
            <w:vAlign w:val="center"/>
          </w:tcPr>
          <w:p>
            <w:pPr>
              <w:spacing w:after="0" w:line="252" w:lineRule="auto"/>
              <w:jc w:val="left"/>
            </w:pPr>
            <w:r>
              <w:rPr>
                <w:sz w:val="18"/>
              </w:rPr>
              <w:t>Doanh thu thuần hoạt động kinh doanh bảo hiểm</w:t>
            </w:r>
          </w:p>
        </w:tc>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3F7FB"/>
            <w:vAlign w:val="center"/>
          </w:tcPr>
          <w:p>
            <w:pPr>
              <w:spacing w:after="0" w:line="252" w:lineRule="auto"/>
              <w:jc w:val="center"/>
            </w:pPr>
            <w:r>
              <w:rPr>
                <w:sz w:val="18"/>
              </w:rPr>
              <w:t>Lấy trực tiếp</w:t>
            </w:r>
          </w:p>
        </w:tc>
      </w:tr>
      <w:tr>
        <w:trPr>
          <w:cantSplit/>
        </w:trP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jc w:val="center"/>
            </w:pPr>
            <w:r>
              <w:rPr>
                <w:sz w:val="18"/>
              </w:rPr>
              <w:t>NP PARENT</w:t>
            </w:r>
          </w:p>
        </w:tc>
        <w:tc>
          <w:tcPr>
            <w:tcW w:type="dxa" w:w="5256"/>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jc w:val="left"/>
            </w:pPr>
            <w:r>
              <w:rPr>
                <w:sz w:val="18"/>
              </w:rPr>
              <w:t>LNST thuộc cổ đông công ty mẹ</w:t>
            </w:r>
          </w:p>
        </w:tc>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jc w:val="center"/>
            </w:pPr>
            <w:r>
              <w:rPr>
                <w:sz w:val="18"/>
              </w:rPr>
              <w:t>Lấy trực tiếp</w:t>
            </w:r>
          </w:p>
        </w:tc>
      </w:tr>
      <w:tr>
        <w:trPr>
          <w:cantSplit/>
        </w:trP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3F7FB"/>
            <w:vAlign w:val="center"/>
          </w:tcPr>
          <w:p>
            <w:pPr>
              <w:spacing w:after="0" w:line="252" w:lineRule="auto"/>
              <w:jc w:val="center"/>
            </w:pPr>
            <w:r>
              <w:rPr>
                <w:sz w:val="18"/>
              </w:rPr>
              <w:t>TOTAL EQUITY</w:t>
            </w:r>
          </w:p>
        </w:tc>
        <w:tc>
          <w:tcPr>
            <w:tcW w:type="dxa" w:w="5256"/>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3F7FB"/>
            <w:vAlign w:val="center"/>
          </w:tcPr>
          <w:p>
            <w:pPr>
              <w:spacing w:after="0" w:line="252" w:lineRule="auto"/>
              <w:jc w:val="left"/>
            </w:pPr>
            <w:r>
              <w:rPr>
                <w:sz w:val="18"/>
              </w:rPr>
              <w:t>Tổng vốn chủ sở hữu</w:t>
            </w:r>
          </w:p>
        </w:tc>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3F7FB"/>
            <w:vAlign w:val="center"/>
          </w:tcPr>
          <w:p>
            <w:pPr>
              <w:spacing w:after="0" w:line="252" w:lineRule="auto"/>
              <w:jc w:val="center"/>
            </w:pPr>
            <w:r>
              <w:rPr>
                <w:sz w:val="18"/>
              </w:rPr>
              <w:t>Lấy trực tiếp</w:t>
            </w:r>
          </w:p>
        </w:tc>
      </w:tr>
      <w:tr>
        <w:trPr>
          <w:cantSplit/>
        </w:trP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jc w:val="center"/>
            </w:pPr>
            <w:r>
              <w:rPr>
                <w:sz w:val="18"/>
              </w:rPr>
              <w:t>PARENT EQUITY</w:t>
            </w:r>
          </w:p>
        </w:tc>
        <w:tc>
          <w:tcPr>
            <w:tcW w:type="dxa" w:w="5256"/>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jc w:val="left"/>
            </w:pPr>
            <w:r>
              <w:rPr>
                <w:sz w:val="18"/>
              </w:rPr>
              <w:t>Tổng VCSH trừ lợi ích cổ đông không kiểm soát</w:t>
            </w:r>
          </w:p>
        </w:tc>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jc w:val="center"/>
            </w:pPr>
            <w:r>
              <w:rPr>
                <w:sz w:val="18"/>
              </w:rPr>
              <w:t>Tính lại</w:t>
            </w:r>
          </w:p>
        </w:tc>
      </w:tr>
      <w:tr>
        <w:trPr>
          <w:cantSplit/>
        </w:trP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3F7FB"/>
            <w:vAlign w:val="center"/>
          </w:tcPr>
          <w:p>
            <w:pPr>
              <w:spacing w:after="0" w:line="252" w:lineRule="auto"/>
              <w:jc w:val="center"/>
            </w:pPr>
            <w:r>
              <w:rPr>
                <w:sz w:val="18"/>
              </w:rPr>
              <w:t>TECH RESERVE GROSS</w:t>
            </w:r>
          </w:p>
        </w:tc>
        <w:tc>
          <w:tcPr>
            <w:tcW w:type="dxa" w:w="5256"/>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3F7FB"/>
            <w:vAlign w:val="center"/>
          </w:tcPr>
          <w:p>
            <w:pPr>
              <w:spacing w:after="0" w:line="252" w:lineRule="auto"/>
              <w:jc w:val="left"/>
            </w:pPr>
            <w:r>
              <w:rPr>
                <w:sz w:val="18"/>
              </w:rPr>
              <w:t>Tổng dự phòng nghiệp vụ bảo hiểm gộp</w:t>
            </w:r>
          </w:p>
        </w:tc>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3F7FB"/>
            <w:vAlign w:val="center"/>
          </w:tcPr>
          <w:p>
            <w:pPr>
              <w:spacing w:after="0" w:line="252" w:lineRule="auto"/>
              <w:jc w:val="center"/>
            </w:pPr>
            <w:r>
              <w:rPr>
                <w:sz w:val="18"/>
              </w:rPr>
              <w:t>Lấy trực tiếp; không cộng lại thành phần</w:t>
            </w:r>
          </w:p>
        </w:tc>
      </w:tr>
    </w:tbl>
    <w:p>
      <w:pPr>
        <w:spacing w:after="40"/>
      </w:pPr>
    </w:p>
    <w:p>
      <w:pPr>
        <w:pStyle w:val="Heading1"/>
      </w:pPr>
      <w:r>
        <w:t>10 Dữ liệu đầu ra IT phải bàn giao</w:t>
      </w:r>
    </w:p>
    <w:p>
      <w:r>
        <w:t>IT cần xuất một bảng kiểm tra theo từng mã và từng quý. Mỗi trường phải có giá trị, công thức, kỳ so sánh và trạng thái kiểm tra nguồn.</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800"/>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b/>
                <w:color w:val="FFFFFF"/>
                <w:sz w:val="18"/>
              </w:rPr>
              <w:t>Nhóm</w:t>
            </w:r>
          </w:p>
        </w:tc>
        <w:tc>
          <w:tcPr>
            <w:tcW w:type="dxa" w:w="6552"/>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b/>
                <w:color w:val="FFFFFF"/>
                <w:sz w:val="18"/>
              </w:rPr>
              <w:t>Trường đầu ra bắt buộc</w:t>
            </w:r>
          </w:p>
        </w:tc>
        <w:tc>
          <w:tcPr>
            <w:tcW w:type="dxa" w:w="1512"/>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b/>
                <w:color w:val="FFFFFF"/>
                <w:sz w:val="18"/>
              </w:rPr>
              <w:t>Đơn vị</w:t>
            </w:r>
          </w:p>
        </w:tc>
      </w:tr>
      <w:tr>
        <w:trPr>
          <w:cantSplit/>
        </w:trP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jc w:val="left"/>
            </w:pPr>
            <w:r>
              <w:rPr>
                <w:sz w:val="18"/>
              </w:rPr>
              <w:t>Nhận diện</w:t>
            </w:r>
          </w:p>
        </w:tc>
        <w:tc>
          <w:tcPr>
            <w:tcW w:type="dxa" w:w="6552"/>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jc w:val="left"/>
            </w:pPr>
            <w:r>
              <w:rPr>
                <w:sz w:val="18"/>
              </w:rPr>
              <w:t>Quý Mã Loại hình Ngày công bố BCTC</w:t>
            </w:r>
          </w:p>
        </w:tc>
        <w:tc>
          <w:tcPr>
            <w:tcW w:type="dxa" w:w="1512"/>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jc w:val="center"/>
            </w:pPr>
            <w:r>
              <w:rPr>
                <w:sz w:val="18"/>
              </w:rPr>
              <w:t>Văn bản ngày</w:t>
            </w:r>
          </w:p>
        </w:tc>
      </w:tr>
      <w:tr>
        <w:trPr>
          <w:cantSplit/>
        </w:trP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3F7FB"/>
            <w:vAlign w:val="center"/>
          </w:tcPr>
          <w:p>
            <w:pPr>
              <w:spacing w:after="0" w:line="252" w:lineRule="auto"/>
              <w:jc w:val="left"/>
            </w:pPr>
            <w:r>
              <w:rPr>
                <w:sz w:val="18"/>
              </w:rPr>
              <w:t>EPS</w:t>
            </w:r>
          </w:p>
        </w:tc>
        <w:tc>
          <w:tcPr>
            <w:tcW w:type="dxa" w:w="6552"/>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3F7FB"/>
            <w:vAlign w:val="center"/>
          </w:tcPr>
          <w:p>
            <w:pPr>
              <w:spacing w:after="0" w:line="252" w:lineRule="auto"/>
              <w:jc w:val="left"/>
            </w:pPr>
            <w:r>
              <w:rPr>
                <w:sz w:val="18"/>
              </w:rPr>
              <w:t>EPS t EPS t-4 EPS YoY Số quý EPS tăng trong 3 quý Điểm C1 Điểm C2</w:t>
            </w:r>
          </w:p>
        </w:tc>
        <w:tc>
          <w:tcPr>
            <w:tcW w:type="dxa" w:w="1512"/>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3F7FB"/>
            <w:vAlign w:val="center"/>
          </w:tcPr>
          <w:p>
            <w:pPr>
              <w:spacing w:after="0" w:line="252" w:lineRule="auto"/>
              <w:jc w:val="center"/>
            </w:pPr>
            <w:r>
              <w:rPr>
                <w:sz w:val="18"/>
              </w:rPr>
              <w:t>Đồng cp phần trăm điểm</w:t>
            </w:r>
          </w:p>
        </w:tc>
      </w:tr>
      <w:tr>
        <w:trPr>
          <w:cantSplit/>
        </w:trP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jc w:val="left"/>
            </w:pPr>
            <w:r>
              <w:rPr>
                <w:sz w:val="18"/>
              </w:rPr>
              <w:t>Doanh thu</w:t>
            </w:r>
          </w:p>
        </w:tc>
        <w:tc>
          <w:tcPr>
            <w:tcW w:type="dxa" w:w="6552"/>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jc w:val="left"/>
            </w:pPr>
            <w:r>
              <w:rPr>
                <w:sz w:val="18"/>
              </w:rPr>
              <w:t>INS REV NET t INS REV NET t-4 Doanh thu BH YoY Điểm C3</w:t>
            </w:r>
          </w:p>
        </w:tc>
        <w:tc>
          <w:tcPr>
            <w:tcW w:type="dxa" w:w="1512"/>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jc w:val="center"/>
            </w:pPr>
            <w:r>
              <w:rPr>
                <w:sz w:val="18"/>
              </w:rPr>
              <w:t>Tỷ đồng phần trăm điểm</w:t>
            </w:r>
          </w:p>
        </w:tc>
      </w:tr>
      <w:tr>
        <w:trPr>
          <w:cantSplit/>
        </w:trP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3F7FB"/>
            <w:vAlign w:val="center"/>
          </w:tcPr>
          <w:p>
            <w:pPr>
              <w:spacing w:after="0" w:line="252" w:lineRule="auto"/>
              <w:jc w:val="left"/>
            </w:pPr>
            <w:r>
              <w:rPr>
                <w:sz w:val="18"/>
              </w:rPr>
              <w:t>ROE</w:t>
            </w:r>
          </w:p>
        </w:tc>
        <w:tc>
          <w:tcPr>
            <w:tcW w:type="dxa" w:w="6552"/>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3F7FB"/>
            <w:vAlign w:val="center"/>
          </w:tcPr>
          <w:p>
            <w:pPr>
              <w:spacing w:after="0" w:line="252" w:lineRule="auto"/>
              <w:jc w:val="left"/>
            </w:pPr>
            <w:r>
              <w:rPr>
                <w:sz w:val="18"/>
              </w:rPr>
              <w:t>LNST mẹ TTM VCSH mẹ t VCSH mẹ t-4 ROE TTM Điểm C4</w:t>
            </w:r>
          </w:p>
        </w:tc>
        <w:tc>
          <w:tcPr>
            <w:tcW w:type="dxa" w:w="1512"/>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3F7FB"/>
            <w:vAlign w:val="center"/>
          </w:tcPr>
          <w:p>
            <w:pPr>
              <w:spacing w:after="0" w:line="252" w:lineRule="auto"/>
              <w:jc w:val="center"/>
            </w:pPr>
            <w:r>
              <w:rPr>
                <w:sz w:val="18"/>
              </w:rPr>
              <w:t>Tỷ đồng phần trăm điểm</w:t>
            </w:r>
          </w:p>
        </w:tc>
      </w:tr>
      <w:tr>
        <w:trPr>
          <w:cantSplit/>
        </w:trP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jc w:val="left"/>
            </w:pPr>
            <w:r>
              <w:rPr>
                <w:sz w:val="18"/>
              </w:rPr>
              <w:t>Đệm vốn</w:t>
            </w:r>
          </w:p>
        </w:tc>
        <w:tc>
          <w:tcPr>
            <w:tcW w:type="dxa" w:w="6552"/>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jc w:val="left"/>
            </w:pPr>
            <w:r>
              <w:rPr>
                <w:sz w:val="18"/>
              </w:rPr>
              <w:t>Tổng VCSH Tổng dự phòng Đệm vốn t Đệm vốn t-4 Δ đệm vốn YoY Điểm C5</w:t>
            </w:r>
          </w:p>
        </w:tc>
        <w:tc>
          <w:tcPr>
            <w:tcW w:type="dxa" w:w="1512"/>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jc w:val="center"/>
            </w:pPr>
            <w:r>
              <w:rPr>
                <w:sz w:val="18"/>
              </w:rPr>
              <w:t>Tỷ đồng lần phần trăm điểm</w:t>
            </w:r>
          </w:p>
        </w:tc>
      </w:tr>
      <w:tr>
        <w:trPr>
          <w:cantSplit/>
        </w:trP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3F7FB"/>
            <w:vAlign w:val="center"/>
          </w:tcPr>
          <w:p>
            <w:pPr>
              <w:spacing w:after="0" w:line="252" w:lineRule="auto"/>
              <w:jc w:val="left"/>
            </w:pPr>
            <w:r>
              <w:rPr>
                <w:sz w:val="18"/>
              </w:rPr>
              <w:t>Cổng vốn</w:t>
            </w:r>
          </w:p>
        </w:tc>
        <w:tc>
          <w:tcPr>
            <w:tcW w:type="dxa" w:w="6552"/>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3F7FB"/>
            <w:vAlign w:val="center"/>
          </w:tcPr>
          <w:p>
            <w:pPr>
              <w:spacing w:after="0" w:line="252" w:lineRule="auto"/>
              <w:jc w:val="left"/>
            </w:pPr>
            <w:r>
              <w:rPr>
                <w:sz w:val="18"/>
              </w:rPr>
              <w:t>VCSH YoY Khoảng cách tăng trưởng Cờ hai quý Trạng thái cổng Mức trần điểm</w:t>
            </w:r>
          </w:p>
        </w:tc>
        <w:tc>
          <w:tcPr>
            <w:tcW w:type="dxa" w:w="1512"/>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3F7FB"/>
            <w:vAlign w:val="center"/>
          </w:tcPr>
          <w:p>
            <w:pPr>
              <w:spacing w:after="0" w:line="252" w:lineRule="auto"/>
              <w:jc w:val="center"/>
            </w:pPr>
            <w:r>
              <w:rPr>
                <w:sz w:val="18"/>
              </w:rPr>
              <w:t>Phần trăm điểm phần trăm trạng thái điểm</w:t>
            </w:r>
          </w:p>
        </w:tc>
      </w:tr>
      <w:tr>
        <w:trPr>
          <w:cantSplit/>
        </w:trP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jc w:val="left"/>
            </w:pPr>
            <w:r>
              <w:rPr>
                <w:sz w:val="18"/>
              </w:rPr>
              <w:t>Tổng hợp</w:t>
            </w:r>
          </w:p>
        </w:tc>
        <w:tc>
          <w:tcPr>
            <w:tcW w:type="dxa" w:w="6552"/>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jc w:val="left"/>
            </w:pPr>
            <w:r>
              <w:rPr>
                <w:sz w:val="18"/>
              </w:rPr>
              <w:t>Điểm 50 Điểm hiệu quả 30 Điểm định giá 20 Điểm trừ một lần Tổng điểm trước và sau cổng ΔFA</w:t>
            </w:r>
          </w:p>
        </w:tc>
        <w:tc>
          <w:tcPr>
            <w:tcW w:type="dxa" w:w="1512"/>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jc w:val="center"/>
            </w:pPr>
            <w:r>
              <w:rPr>
                <w:sz w:val="18"/>
              </w:rPr>
              <w:t>Điểm phần trăm</w:t>
            </w:r>
          </w:p>
        </w:tc>
      </w:tr>
    </w:tbl>
    <w:p>
      <w:pPr>
        <w:spacing w:after="40"/>
      </w:pPr>
    </w:p>
    <w:p>
      <w:pPr>
        <w:pStyle w:val="Heading1"/>
      </w:pPr>
      <w:r>
        <w:t>11 Quy tắc tính ΔFA</w:t>
      </w:r>
    </w:p>
    <w:p>
      <w:pPr>
        <w:spacing w:before="80" w:after="160"/>
        <w:jc w:val="center"/>
      </w:pPr>
      <m:oMathPara>
        <m:oMath>
          <m:r>
            <m:rPr>
              <m:sty m:val="p"/>
            </m:rPr>
            <m:t>ΔFA quý (%) = (Điểm FAₜ − Điểm FAₜ₋₁) ÷ Điểm FAₜ₋₁ × 100%</m:t>
          </m:r>
        </m:oMath>
      </m:oMathPara>
    </w:p>
    <w:p>
      <w:pPr>
        <w:pStyle w:val="ListBullet"/>
        <w:spacing w:after="60"/>
      </w:pPr>
      <w:r>
        <w:t>Đơn vị hiển thị: phần trăm.</w:t>
      </w:r>
    </w:p>
    <w:p>
      <w:pPr>
        <w:pStyle w:val="ListBullet"/>
        <w:spacing w:after="60"/>
      </w:pPr>
      <w:r>
        <w:t>Điểm FA của cả hai quý phải được tính bằng cùng phiên bản công thức và cùng phạm vi dữ liệu.</w:t>
      </w:r>
    </w:p>
    <w:p>
      <w:pPr>
        <w:pStyle w:val="ListBullet"/>
        <w:spacing w:after="60"/>
      </w:pPr>
      <w:r>
        <w:t>Cần lưu đồng thời điểm trước cổng và điểm sau cổng để giải thích vì sao tổng điểm bị giới hạn.</w:t>
      </w:r>
    </w:p>
    <w:p>
      <w:pPr>
        <w:pStyle w:val="ListBullet"/>
        <w:spacing w:after="60"/>
      </w:pPr>
      <w:r>
        <w:t>ΔFA là kết quả đầu ra phản ánh tốc độ thay đổi, không phải một tiêu chí cộng điểm độc lập.</w:t>
      </w:r>
    </w:p>
    <w:p>
      <w:pPr>
        <w:pStyle w:val="Heading1"/>
      </w:pPr>
      <w:r>
        <w:t>12 Bố cục cột đề nghị</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1224"/>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b/>
                <w:color w:val="FFFFFF"/>
                <w:sz w:val="18"/>
              </w:rPr>
              <w:t>Thứ tự</w:t>
            </w:r>
          </w:p>
        </w:tc>
        <w:tc>
          <w:tcPr>
            <w:tcW w:type="dxa" w:w="8136"/>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b/>
                <w:color w:val="FFFFFF"/>
                <w:sz w:val="18"/>
              </w:rPr>
              <w:t>Cột hiển thị</w:t>
            </w:r>
          </w:p>
        </w:tc>
      </w:tr>
      <w:tr>
        <w:trPr>
          <w:cantSplit/>
        </w:trPr>
        <w:tc>
          <w:tcPr>
            <w:tcW w:type="dxa" w:w="1224"/>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jc w:val="center"/>
            </w:pPr>
            <w:r>
              <w:rPr>
                <w:sz w:val="18"/>
              </w:rPr>
              <w:t>1</w:t>
            </w:r>
          </w:p>
        </w:tc>
        <w:tc>
          <w:tcPr>
            <w:tcW w:type="dxa" w:w="8136"/>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jc w:val="left"/>
            </w:pPr>
            <w:r>
              <w:rPr>
                <w:sz w:val="18"/>
              </w:rPr>
              <w:t>Ngày công bố BCTC</w:t>
            </w:r>
          </w:p>
        </w:tc>
      </w:tr>
      <w:tr>
        <w:trPr>
          <w:cantSplit/>
        </w:trPr>
        <w:tc>
          <w:tcPr>
            <w:tcW w:type="dxa" w:w="1224"/>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3F7FB"/>
            <w:vAlign w:val="center"/>
          </w:tcPr>
          <w:p>
            <w:pPr>
              <w:spacing w:after="0" w:line="252" w:lineRule="auto"/>
              <w:jc w:val="center"/>
            </w:pPr>
            <w:r>
              <w:rPr>
                <w:sz w:val="18"/>
              </w:rPr>
              <w:t>2</w:t>
            </w:r>
          </w:p>
        </w:tc>
        <w:tc>
          <w:tcPr>
            <w:tcW w:type="dxa" w:w="8136"/>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3F7FB"/>
            <w:vAlign w:val="center"/>
          </w:tcPr>
          <w:p>
            <w:pPr>
              <w:spacing w:after="0" w:line="252" w:lineRule="auto"/>
              <w:jc w:val="left"/>
            </w:pPr>
            <w:r>
              <w:rPr>
                <w:sz w:val="18"/>
              </w:rPr>
              <w:t>Mã và loại hình</w:t>
            </w:r>
          </w:p>
        </w:tc>
      </w:tr>
      <w:tr>
        <w:trPr>
          <w:cantSplit/>
        </w:trPr>
        <w:tc>
          <w:tcPr>
            <w:tcW w:type="dxa" w:w="1224"/>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jc w:val="center"/>
            </w:pPr>
            <w:r>
              <w:rPr>
                <w:sz w:val="18"/>
              </w:rPr>
              <w:t>3</w:t>
            </w:r>
          </w:p>
        </w:tc>
        <w:tc>
          <w:tcPr>
            <w:tcW w:type="dxa" w:w="8136"/>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jc w:val="left"/>
            </w:pPr>
            <w:r>
              <w:rPr>
                <w:sz w:val="18"/>
              </w:rPr>
              <w:t>Tổng điểm trên 100</w:t>
            </w:r>
          </w:p>
        </w:tc>
      </w:tr>
      <w:tr>
        <w:trPr>
          <w:cantSplit/>
        </w:trPr>
        <w:tc>
          <w:tcPr>
            <w:tcW w:type="dxa" w:w="1224"/>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3F7FB"/>
            <w:vAlign w:val="center"/>
          </w:tcPr>
          <w:p>
            <w:pPr>
              <w:spacing w:after="0" w:line="252" w:lineRule="auto"/>
              <w:jc w:val="center"/>
            </w:pPr>
            <w:r>
              <w:rPr>
                <w:sz w:val="18"/>
              </w:rPr>
              <w:t>4</w:t>
            </w:r>
          </w:p>
        </w:tc>
        <w:tc>
          <w:tcPr>
            <w:tcW w:type="dxa" w:w="8136"/>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3F7FB"/>
            <w:vAlign w:val="center"/>
          </w:tcPr>
          <w:p>
            <w:pPr>
              <w:spacing w:after="0" w:line="252" w:lineRule="auto"/>
              <w:jc w:val="left"/>
            </w:pPr>
            <w:r>
              <w:rPr>
                <w:sz w:val="18"/>
              </w:rPr>
              <w:t>ΔFA so với quý trước phần trăm</w:t>
            </w:r>
          </w:p>
        </w:tc>
      </w:tr>
      <w:tr>
        <w:trPr>
          <w:cantSplit/>
        </w:trPr>
        <w:tc>
          <w:tcPr>
            <w:tcW w:type="dxa" w:w="1224"/>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jc w:val="center"/>
            </w:pPr>
            <w:r>
              <w:rPr>
                <w:sz w:val="18"/>
              </w:rPr>
              <w:t>5</w:t>
            </w:r>
          </w:p>
        </w:tc>
        <w:tc>
          <w:tcPr>
            <w:tcW w:type="dxa" w:w="8136"/>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jc w:val="left"/>
            </w:pPr>
            <w:r>
              <w:rPr>
                <w:sz w:val="18"/>
              </w:rPr>
              <w:t>EPS YoY trên 10</w:t>
            </w:r>
          </w:p>
        </w:tc>
      </w:tr>
      <w:tr>
        <w:trPr>
          <w:cantSplit/>
        </w:trPr>
        <w:tc>
          <w:tcPr>
            <w:tcW w:type="dxa" w:w="1224"/>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3F7FB"/>
            <w:vAlign w:val="center"/>
          </w:tcPr>
          <w:p>
            <w:pPr>
              <w:spacing w:after="0" w:line="252" w:lineRule="auto"/>
              <w:jc w:val="center"/>
            </w:pPr>
            <w:r>
              <w:rPr>
                <w:sz w:val="18"/>
              </w:rPr>
              <w:t>6</w:t>
            </w:r>
          </w:p>
        </w:tc>
        <w:tc>
          <w:tcPr>
            <w:tcW w:type="dxa" w:w="8136"/>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3F7FB"/>
            <w:vAlign w:val="center"/>
          </w:tcPr>
          <w:p>
            <w:pPr>
              <w:spacing w:after="0" w:line="252" w:lineRule="auto"/>
              <w:jc w:val="left"/>
            </w:pPr>
            <w:r>
              <w:rPr>
                <w:sz w:val="18"/>
              </w:rPr>
              <w:t>Số quý EPS tăng trên 10</w:t>
            </w:r>
          </w:p>
        </w:tc>
      </w:tr>
      <w:tr>
        <w:trPr>
          <w:cantSplit/>
        </w:trPr>
        <w:tc>
          <w:tcPr>
            <w:tcW w:type="dxa" w:w="1224"/>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jc w:val="center"/>
            </w:pPr>
            <w:r>
              <w:rPr>
                <w:sz w:val="18"/>
              </w:rPr>
              <w:t>7</w:t>
            </w:r>
          </w:p>
        </w:tc>
        <w:tc>
          <w:tcPr>
            <w:tcW w:type="dxa" w:w="8136"/>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jc w:val="left"/>
            </w:pPr>
            <w:r>
              <w:rPr>
                <w:sz w:val="18"/>
              </w:rPr>
              <w:t>Doanh thu BH YoY trên 10</w:t>
            </w:r>
          </w:p>
        </w:tc>
      </w:tr>
      <w:tr>
        <w:trPr>
          <w:cantSplit/>
        </w:trPr>
        <w:tc>
          <w:tcPr>
            <w:tcW w:type="dxa" w:w="1224"/>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3F7FB"/>
            <w:vAlign w:val="center"/>
          </w:tcPr>
          <w:p>
            <w:pPr>
              <w:spacing w:after="0" w:line="252" w:lineRule="auto"/>
              <w:jc w:val="center"/>
            </w:pPr>
            <w:r>
              <w:rPr>
                <w:sz w:val="18"/>
              </w:rPr>
              <w:t>8</w:t>
            </w:r>
          </w:p>
        </w:tc>
        <w:tc>
          <w:tcPr>
            <w:tcW w:type="dxa" w:w="8136"/>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3F7FB"/>
            <w:vAlign w:val="center"/>
          </w:tcPr>
          <w:p>
            <w:pPr>
              <w:spacing w:after="0" w:line="252" w:lineRule="auto"/>
              <w:jc w:val="left"/>
            </w:pPr>
            <w:r>
              <w:rPr>
                <w:sz w:val="18"/>
              </w:rPr>
              <w:t>ROE TTM trên 10</w:t>
            </w:r>
          </w:p>
        </w:tc>
      </w:tr>
      <w:tr>
        <w:trPr>
          <w:cantSplit/>
        </w:trPr>
        <w:tc>
          <w:tcPr>
            <w:tcW w:type="dxa" w:w="1224"/>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jc w:val="center"/>
            </w:pPr>
            <w:r>
              <w:rPr>
                <w:sz w:val="18"/>
              </w:rPr>
              <w:t>9</w:t>
            </w:r>
          </w:p>
        </w:tc>
        <w:tc>
          <w:tcPr>
            <w:tcW w:type="dxa" w:w="8136"/>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jc w:val="left"/>
            </w:pPr>
            <w:r>
              <w:rPr>
                <w:sz w:val="18"/>
              </w:rPr>
              <w:t>Xu hướng đệm vốn trên 10</w:t>
            </w:r>
          </w:p>
        </w:tc>
      </w:tr>
      <w:tr>
        <w:trPr>
          <w:cantSplit/>
        </w:trPr>
        <w:tc>
          <w:tcPr>
            <w:tcW w:type="dxa" w:w="1224"/>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3F7FB"/>
            <w:vAlign w:val="center"/>
          </w:tcPr>
          <w:p>
            <w:pPr>
              <w:spacing w:after="0" w:line="252" w:lineRule="auto"/>
              <w:jc w:val="center"/>
            </w:pPr>
            <w:r>
              <w:rPr>
                <w:sz w:val="18"/>
              </w:rPr>
              <w:t>10</w:t>
            </w:r>
          </w:p>
        </w:tc>
        <w:tc>
          <w:tcPr>
            <w:tcW w:type="dxa" w:w="8136"/>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3F7FB"/>
            <w:vAlign w:val="center"/>
          </w:tcPr>
          <w:p>
            <w:pPr>
              <w:spacing w:after="0" w:line="252" w:lineRule="auto"/>
              <w:jc w:val="left"/>
            </w:pPr>
            <w:r>
              <w:rPr>
                <w:sz w:val="18"/>
              </w:rPr>
              <w:t>Hiệu quả bảo hiểm trên 30</w:t>
            </w:r>
          </w:p>
        </w:tc>
      </w:tr>
      <w:tr>
        <w:trPr>
          <w:cantSplit/>
        </w:trPr>
        <w:tc>
          <w:tcPr>
            <w:tcW w:type="dxa" w:w="1224"/>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jc w:val="center"/>
            </w:pPr>
            <w:r>
              <w:rPr>
                <w:sz w:val="18"/>
              </w:rPr>
              <w:t>11</w:t>
            </w:r>
          </w:p>
        </w:tc>
        <w:tc>
          <w:tcPr>
            <w:tcW w:type="dxa" w:w="8136"/>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jc w:val="left"/>
            </w:pPr>
            <w:r>
              <w:rPr>
                <w:sz w:val="18"/>
              </w:rPr>
              <w:t>Định giá trên 20</w:t>
            </w:r>
          </w:p>
        </w:tc>
      </w:tr>
      <w:tr>
        <w:trPr>
          <w:cantSplit/>
        </w:trPr>
        <w:tc>
          <w:tcPr>
            <w:tcW w:type="dxa" w:w="1224"/>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3F7FB"/>
            <w:vAlign w:val="center"/>
          </w:tcPr>
          <w:p>
            <w:pPr>
              <w:spacing w:after="0" w:line="252" w:lineRule="auto"/>
              <w:jc w:val="center"/>
            </w:pPr>
            <w:r>
              <w:rPr>
                <w:sz w:val="18"/>
              </w:rPr>
              <w:t>12</w:t>
            </w:r>
          </w:p>
        </w:tc>
        <w:tc>
          <w:tcPr>
            <w:tcW w:type="dxa" w:w="8136"/>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3F7FB"/>
            <w:vAlign w:val="center"/>
          </w:tcPr>
          <w:p>
            <w:pPr>
              <w:spacing w:after="0" w:line="252" w:lineRule="auto"/>
              <w:jc w:val="left"/>
            </w:pPr>
            <w:r>
              <w:rPr>
                <w:sz w:val="18"/>
              </w:rPr>
              <w:t>Lợi nhuận một lần và điểm trừ</w:t>
            </w:r>
          </w:p>
        </w:tc>
      </w:tr>
      <w:tr>
        <w:trPr>
          <w:cantSplit/>
        </w:trPr>
        <w:tc>
          <w:tcPr>
            <w:tcW w:type="dxa" w:w="1224"/>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jc w:val="center"/>
            </w:pPr>
            <w:r>
              <w:rPr>
                <w:sz w:val="18"/>
              </w:rPr>
              <w:t>13</w:t>
            </w:r>
          </w:p>
        </w:tc>
        <w:tc>
          <w:tcPr>
            <w:tcW w:type="dxa" w:w="8136"/>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jc w:val="left"/>
            </w:pPr>
            <w:r>
              <w:rPr>
                <w:sz w:val="18"/>
              </w:rPr>
              <w:t>Cổng an toàn vốn</w:t>
            </w:r>
          </w:p>
        </w:tc>
      </w:tr>
      <w:tr>
        <w:trPr>
          <w:cantSplit/>
        </w:trPr>
        <w:tc>
          <w:tcPr>
            <w:tcW w:type="dxa" w:w="1224"/>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3F7FB"/>
            <w:vAlign w:val="center"/>
          </w:tcPr>
          <w:p>
            <w:pPr>
              <w:spacing w:after="0" w:line="252" w:lineRule="auto"/>
              <w:jc w:val="center"/>
            </w:pPr>
            <w:r>
              <w:rPr>
                <w:sz w:val="18"/>
              </w:rPr>
              <w:t>14</w:t>
            </w:r>
          </w:p>
        </w:tc>
        <w:tc>
          <w:tcPr>
            <w:tcW w:type="dxa" w:w="8136"/>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3F7FB"/>
            <w:vAlign w:val="center"/>
          </w:tcPr>
          <w:p>
            <w:pPr>
              <w:spacing w:after="0" w:line="252" w:lineRule="auto"/>
              <w:jc w:val="left"/>
            </w:pPr>
            <w:r>
              <w:rPr>
                <w:sz w:val="18"/>
              </w:rPr>
              <w:t>Trạng thái FA</w:t>
            </w:r>
          </w:p>
        </w:tc>
      </w:tr>
    </w:tbl>
    <w:p>
      <w:pPr>
        <w:spacing w:after="40"/>
      </w:pPr>
    </w:p>
    <w:p>
      <w:pPr>
        <w:pStyle w:val="Heading1"/>
      </w:pPr>
      <w:r>
        <w:t>13 Điều kiện nghiệm thu</w:t>
      </w:r>
    </w:p>
    <w:p>
      <w:r>
        <w:t>Tab Toàn ngành chỉ được nghiệm thu khi toàn bộ điều kiện dưới đây đạt.</w:t>
      </w:r>
    </w:p>
    <w:p>
      <w:pPr>
        <w:ind w:left="216" w:hanging="216"/>
      </w:pPr>
      <w:r>
        <w:rPr>
          <w:b/>
        </w:rPr>
        <w:t xml:space="preserve">☐ </w:t>
      </w:r>
      <w:r>
        <w:t>Mười ba mã trong universe tính được đủ năm tiêu chí tại quý 2026 Q2.</w:t>
      </w:r>
    </w:p>
    <w:p>
      <w:pPr>
        <w:ind w:left="216" w:hanging="216"/>
      </w:pPr>
      <w:r>
        <w:rPr>
          <w:b/>
        </w:rPr>
        <w:t xml:space="preserve">☐ </w:t>
      </w:r>
      <w:r>
        <w:t>Không có ô N/A trong năm tiêu chí chung đối với doanh nghiệp đủ điều kiện universe.</w:t>
      </w:r>
    </w:p>
    <w:p>
      <w:pPr>
        <w:ind w:left="216" w:hanging="216"/>
      </w:pPr>
      <w:r>
        <w:rPr>
          <w:b/>
        </w:rPr>
        <w:t xml:space="preserve">☐ </w:t>
      </w:r>
      <w:r>
        <w:t>Kết quả EPS sử dụng đúng bộ EPS chuẩn hóa đã thống nhất.</w:t>
      </w:r>
    </w:p>
    <w:p>
      <w:pPr>
        <w:ind w:left="216" w:hanging="216"/>
      </w:pPr>
      <w:r>
        <w:rPr>
          <w:b/>
        </w:rPr>
        <w:t xml:space="preserve">☐ </w:t>
      </w:r>
      <w:r>
        <w:t>Doanh thu dùng đúng dòng doanh thu thuần hoạt động kinh doanh bảo hiểm.</w:t>
      </w:r>
    </w:p>
    <w:p>
      <w:pPr>
        <w:ind w:left="216" w:hanging="216"/>
      </w:pPr>
      <w:r>
        <w:rPr>
          <w:b/>
        </w:rPr>
        <w:t xml:space="preserve">☐ </w:t>
      </w:r>
      <w:r>
        <w:t>ROE dùng LNST và VCSH thuộc cổ đông công ty mẹ.</w:t>
      </w:r>
    </w:p>
    <w:p>
      <w:pPr>
        <w:ind w:left="216" w:hanging="216"/>
      </w:pPr>
      <w:r>
        <w:rPr>
          <w:b/>
        </w:rPr>
        <w:t xml:space="preserve">☐ </w:t>
      </w:r>
      <w:r>
        <w:t>Đệm vốn dùng tổng VCSH và tổng dự phòng nghiệp vụ gộp; không so mức tuyệt đối giữa các mã.</w:t>
      </w:r>
    </w:p>
    <w:p>
      <w:pPr>
        <w:ind w:left="216" w:hanging="216"/>
      </w:pPr>
      <w:r>
        <w:rPr>
          <w:b/>
        </w:rPr>
        <w:t xml:space="preserve">☐ </w:t>
      </w:r>
      <w:r>
        <w:t>Cổng an toàn vốn trả về đúng bốn trạng thái và áp đúng mức trần điểm.</w:t>
      </w:r>
    </w:p>
    <w:p>
      <w:pPr>
        <w:ind w:left="216" w:hanging="216"/>
      </w:pPr>
      <w:r>
        <w:rPr>
          <w:b/>
        </w:rPr>
        <w:t xml:space="preserve">☐ </w:t>
      </w:r>
      <w:r>
        <w:t>BVH không còn bước nhảy dự phòng sai phạm vi trong dữ liệu dùng để backtest.</w:t>
      </w:r>
    </w:p>
    <w:p>
      <w:pPr>
        <w:ind w:left="216" w:hanging="216"/>
      </w:pPr>
      <w:r>
        <w:rPr>
          <w:b/>
        </w:rPr>
        <w:t xml:space="preserve">☐ </w:t>
      </w:r>
      <w:r>
        <w:t>Bốn trường hợp có dấu hiệu trình bày lại năm 2023 đã được đối chiếu BCTC gốc.</w:t>
      </w:r>
    </w:p>
    <w:p>
      <w:pPr>
        <w:ind w:left="216" w:hanging="216"/>
      </w:pPr>
      <w:r>
        <w:rPr>
          <w:b/>
        </w:rPr>
        <w:t xml:space="preserve">☐ </w:t>
      </w:r>
      <w:r>
        <w:t>PVI được phân loại Holding Hỗn hợp; IFA bị loại khỏi universe.</w:t>
      </w:r>
    </w:p>
    <w:p>
      <w:pPr>
        <w:ind w:left="216" w:hanging="216"/>
      </w:pPr>
      <w:r>
        <w:rPr>
          <w:b/>
        </w:rPr>
        <w:t xml:space="preserve">☐ </w:t>
      </w:r>
      <w:r>
        <w:t>Mã bảo hiểm không còn nhận điểm từ bộ tiêu chí Sản xuất.</w:t>
      </w:r>
    </w:p>
    <w:p>
      <w:pPr>
        <w:ind w:left="216" w:hanging="216"/>
      </w:pPr>
      <w:r>
        <w:rPr>
          <w:b/>
        </w:rPr>
        <w:t xml:space="preserve">☐ </w:t>
      </w:r>
      <w:r>
        <w:t>Thanh khoản TA dòng tiền và điểm mua không xuất hiện trong bảng FA.</w:t>
      </w:r>
    </w:p>
    <w:p>
      <w:pPr>
        <w:pStyle w:val="Heading1"/>
      </w:pPr>
      <w:r>
        <w:t>14 Thứ tự triển khai đề nghị</w:t>
      </w:r>
    </w:p>
    <w:p>
      <w:pPr>
        <w:pStyle w:val="ListNumber"/>
        <w:spacing w:after="60"/>
      </w:pPr>
      <w:r>
        <w:t>Chặn mã bảo hiểm khỏi bộ tiêu chí Sản xuất.</w:t>
      </w:r>
    </w:p>
    <w:p>
      <w:pPr>
        <w:pStyle w:val="ListNumber"/>
        <w:spacing w:after="60"/>
      </w:pPr>
      <w:r>
        <w:t>Sửa universe và phân loại IFA PVI.</w:t>
      </w:r>
    </w:p>
    <w:p>
      <w:pPr>
        <w:pStyle w:val="ListNumber"/>
        <w:spacing w:after="60"/>
      </w:pPr>
      <w:r>
        <w:t>Sửa mapping dự phòng BVH và đối chiếu số liệu trình bày lại.</w:t>
      </w:r>
    </w:p>
    <w:p>
      <w:pPr>
        <w:pStyle w:val="ListNumber"/>
        <w:spacing w:after="60"/>
      </w:pPr>
      <w:r>
        <w:t>Tính lại năm tiêu chí chung theo công thức trong tài liệu này.</w:t>
      </w:r>
    </w:p>
    <w:p>
      <w:pPr>
        <w:pStyle w:val="ListNumber"/>
        <w:spacing w:after="60"/>
      </w:pPr>
      <w:r>
        <w:t>Chạy Cổng an toàn vốn và xuất bảng nguyên nhân theo từng mã.</w:t>
      </w:r>
    </w:p>
    <w:p>
      <w:pPr>
        <w:pStyle w:val="ListNumber"/>
        <w:spacing w:after="60"/>
      </w:pPr>
      <w:r>
        <w:t>Đối chiếu thủ công tối thiểu một mã Phi nhân thọ một mã Tái bảo hiểm và BVH với BCTC gốc.</w:t>
      </w:r>
    </w:p>
    <w:p>
      <w:pPr>
        <w:pStyle w:val="ListNumber"/>
        <w:spacing w:after="60"/>
      </w:pPr>
      <w:r>
        <w:t>Chỉ sau khi dữ liệu PASS mới lập trình giao diện và trạng thái FA.</w:t>
      </w:r>
    </w:p>
    <w:p>
      <w:pPr>
        <w:pStyle w:val="Heading1"/>
      </w:pPr>
      <w:r>
        <w:t>15 Nội dung IT cần phản hồi</w:t>
      </w:r>
    </w:p>
    <w:p>
      <w:r>
        <w:t>IT phản hồi bằng một bảng ngắn, không chỉ trả lời có hoặc không. Mỗi vấn đề phải kèm số liệu hoặc bằng chứng kiểm tra.</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3888"/>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b/>
                <w:color w:val="FFFFFF"/>
                <w:sz w:val="18"/>
              </w:rPr>
              <w:t>Câu hỏi</w:t>
            </w:r>
          </w:p>
        </w:tc>
        <w:tc>
          <w:tcPr>
            <w:tcW w:type="dxa" w:w="5976"/>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b/>
                <w:color w:val="FFFFFF"/>
                <w:sz w:val="18"/>
              </w:rPr>
              <w:t>Đầu ra cần trả</w:t>
            </w:r>
          </w:p>
        </w:tc>
      </w:tr>
      <w:tr>
        <w:trPr>
          <w:cantSplit/>
        </w:trPr>
        <w:tc>
          <w:tcPr>
            <w:tcW w:type="dxa" w:w="388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jc w:val="left"/>
            </w:pPr>
            <w:r>
              <w:rPr>
                <w:sz w:val="18"/>
              </w:rPr>
              <w:t>BVH đã sửa đúng tổng dự phòng chưa</w:t>
            </w:r>
          </w:p>
        </w:tc>
        <w:tc>
          <w:tcPr>
            <w:tcW w:type="dxa" w:w="5976"/>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jc w:val="left"/>
            </w:pPr>
            <w:r>
              <w:rPr>
                <w:sz w:val="18"/>
              </w:rPr>
              <w:t>Giá trị trước và sau sửa; dòng BCTC gốc; các quý bị ảnh hưởng</w:t>
            </w:r>
          </w:p>
        </w:tc>
      </w:tr>
      <w:tr>
        <w:trPr>
          <w:cantSplit/>
        </w:trPr>
        <w:tc>
          <w:tcPr>
            <w:tcW w:type="dxa" w:w="388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3F7FB"/>
            <w:vAlign w:val="center"/>
          </w:tcPr>
          <w:p>
            <w:pPr>
              <w:spacing w:after="0" w:line="252" w:lineRule="auto"/>
              <w:jc w:val="left"/>
            </w:pPr>
            <w:r>
              <w:rPr>
                <w:sz w:val="18"/>
              </w:rPr>
              <w:t>Bốn mã năm 2023 có trình bày lại không</w:t>
            </w:r>
          </w:p>
        </w:tc>
        <w:tc>
          <w:tcPr>
            <w:tcW w:type="dxa" w:w="5976"/>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3F7FB"/>
            <w:vAlign w:val="center"/>
          </w:tcPr>
          <w:p>
            <w:pPr>
              <w:spacing w:after="0" w:line="252" w:lineRule="auto"/>
              <w:jc w:val="left"/>
            </w:pPr>
            <w:r>
              <w:rPr>
                <w:sz w:val="18"/>
              </w:rPr>
              <w:t>Nguyên nhân chênh lệch và số liệu cuối cùng hệ thống sử dụng</w:t>
            </w:r>
          </w:p>
        </w:tc>
      </w:tr>
      <w:tr>
        <w:trPr>
          <w:cantSplit/>
        </w:trPr>
        <w:tc>
          <w:tcPr>
            <w:tcW w:type="dxa" w:w="388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jc w:val="left"/>
            </w:pPr>
            <w:r>
              <w:rPr>
                <w:sz w:val="18"/>
              </w:rPr>
              <w:t>Cổng an toàn vốn chạy ra sao</w:t>
            </w:r>
          </w:p>
        </w:tc>
        <w:tc>
          <w:tcPr>
            <w:tcW w:type="dxa" w:w="5976"/>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jc w:val="left"/>
            </w:pPr>
            <w:r>
              <w:rPr>
                <w:sz w:val="18"/>
              </w:rPr>
              <w:t>Bảng 13 mã với từng biến đầu vào trạng thái và mức trần</w:t>
            </w:r>
          </w:p>
        </w:tc>
      </w:tr>
      <w:tr>
        <w:trPr>
          <w:cantSplit/>
        </w:trPr>
        <w:tc>
          <w:tcPr>
            <w:tcW w:type="dxa" w:w="388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3F7FB"/>
            <w:vAlign w:val="center"/>
          </w:tcPr>
          <w:p>
            <w:pPr>
              <w:spacing w:after="0" w:line="252" w:lineRule="auto"/>
              <w:jc w:val="left"/>
            </w:pPr>
            <w:r>
              <w:rPr>
                <w:sz w:val="18"/>
              </w:rPr>
              <w:t>Có còn N/A trong năm tiêu chí không</w:t>
            </w:r>
          </w:p>
        </w:tc>
        <w:tc>
          <w:tcPr>
            <w:tcW w:type="dxa" w:w="5976"/>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3F7FB"/>
            <w:vAlign w:val="center"/>
          </w:tcPr>
          <w:p>
            <w:pPr>
              <w:spacing w:after="0" w:line="252" w:lineRule="auto"/>
              <w:jc w:val="left"/>
            </w:pPr>
            <w:r>
              <w:rPr>
                <w:sz w:val="18"/>
              </w:rPr>
              <w:t>Danh sách ngoại lệ; không dùng số 0 để che dữ liệu thiếu</w:t>
            </w:r>
          </w:p>
        </w:tc>
      </w:tr>
      <w:tr>
        <w:trPr>
          <w:cantSplit/>
        </w:trPr>
        <w:tc>
          <w:tcPr>
            <w:tcW w:type="dxa" w:w="388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jc w:val="left"/>
            </w:pPr>
            <w:r>
              <w:rPr>
                <w:sz w:val="18"/>
              </w:rPr>
              <w:t>Kết quả có tái lập được không</w:t>
            </w:r>
          </w:p>
        </w:tc>
        <w:tc>
          <w:tcPr>
            <w:tcW w:type="dxa" w:w="5976"/>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jc w:val="left"/>
            </w:pPr>
            <w:r>
              <w:rPr>
                <w:sz w:val="18"/>
              </w:rPr>
              <w:t>File dữ liệu đầu ra và script hoặc truy vấn tái lập</w:t>
            </w:r>
          </w:p>
        </w:tc>
      </w:tr>
    </w:tbl>
    <w:p>
      <w:pPr>
        <w:spacing w:after="40"/>
      </w:pPr>
    </w:p>
    <w:p>
      <w:pPr>
        <w:spacing w:before="200"/>
      </w:pPr>
      <w:r>
        <w:rPr>
          <w:b/>
        </w:rPr>
        <w:t xml:space="preserve">Điểm chốt cuối cùng: </w:t>
      </w:r>
      <w:r>
        <w:t>tab Toàn ngành là bộ kiểm tra FA chung, không cố thay thế phân tích chuyên sâu từng mô hình. Năm tiêu chí phải đơn giản, có thể tái lập và lấy được từ BCTC; các tỷ lệ nghiệp vụ chuyên sâu chỉ triển khai ở tab riêng khi dữ liệu đủ đồng nhất.</w:t>
      </w:r>
    </w:p>
    <w:sectPr w:rsidR="00FC693F" w:rsidRPr="0006063C" w:rsidSect="00034616">
      <w:footerReference w:type="default" r:id="rId9"/>
      <w:pgSz w:w="12240" w:h="15840"/>
      <w:pgMar w:top="979"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 xml:space="preserve">Đặc tả tab Toàn ngành bảo hiểm  |  </w:t>
    </w: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Display" w:hAnsi="Aptos Display"/>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Aptos Display" w:hAnsi="Aptos Display"/>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Aptos Display" w:hAnsi="Aptos Display"/>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40" w:lineRule="auto"/>
      <w:contextualSpacing/>
    </w:pPr>
    <w:rPr>
      <w:rFonts w:asciiTheme="majorHAnsi" w:eastAsiaTheme="majorEastAsia" w:hAnsiTheme="majorHAnsi" w:cstheme="majorBidi" w:ascii="Aptos Display" w:hAnsi="Aptos Display"/>
      <w:b/>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ptos" w:hAnsi="Aptos"/>
      <w:sz w:val="21"/>
    </w:rPr>
  </w:style>
  <w:style w:type="paragraph" w:styleId="ListBullet2">
    <w:name w:val="List Bullet 2"/>
    <w:basedOn w:val="Normal"/>
    <w:uiPriority w:val="99"/>
    <w:unhideWhenUsed/>
    <w:rsid w:val="00326F90"/>
    <w:pPr>
      <w:numPr>
        <w:numId w:val="2"/>
      </w:numPr>
      <w:contextualSpacing/>
    </w:pPr>
    <w:rPr>
      <w:rFonts w:ascii="Aptos" w:hAnsi="Aptos"/>
      <w:sz w:val="21"/>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ptos" w:hAnsi="Aptos"/>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Đặc tả triển khai tab Toàn ngành bảo hiểm</dc:title>
  <dc:subject>Yêu cầu dữ liệu và logic chấm điểm cho IT</dc:subject>
  <dc:creator>Dự án Lọc Tín Hiệu</dc:creator>
  <cp:keywords>bảo hiểm, FA, đặc tả, IT, đệm vốn, EPS, ROE</cp:keywords>
  <dc:description>generated by python-docx</dc:description>
  <cp:lastModifiedBy/>
  <cp:revision>1</cp:revision>
  <dcterms:created xsi:type="dcterms:W3CDTF">2013-12-23T23:15:00Z</dcterms:created>
  <dcterms:modified xsi:type="dcterms:W3CDTF">2013-12-23T23:15:00Z</dcterms:modified>
  <cp:category/>
</cp:coreProperties>
</file>