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5496"/>
          <w:sz w:val="40"/>
          <w:szCs w:val="40"/>
        </w:rPr>
        <w:t xml:space="preserve">Bug Report</w:t>
      </w:r>
    </w:p>
    <w:p>
      <w:pPr>
        <w:spacing w:after="100"/>
      </w:pPr>
      <w:r>
        <w:rPr>
          <w:i/>
          <w:iCs/>
          <w:color w:val="666666"/>
          <w:sz w:val="24"/>
          <w:szCs w:val="24"/>
        </w:rPr>
        <w:t xml:space="preserve">Department 3 – HisabDo Website Enhancement | SQA Team</w:t>
      </w:r>
    </w:p>
    <w:p>
      <w:pPr>
        <w:spacing w:after="300"/>
      </w:pPr>
      <w:r>
        <w:rPr>
          <w:color w:val="666666"/>
          <w:sz w:val="22"/>
          <w:szCs w:val="22"/>
        </w:rPr>
        <w:t xml:space="preserve">Website: hisabdo.app | Consolidated Bug List (as of Aug 24, 2026)</w:t>
      </w:r>
    </w:p>
    <w:p>
      <w:pPr>
        <w:pStyle w:val="Heading1"/>
        <w:spacing w:after="150" w:before="300"/>
      </w:pPr>
      <w:r>
        <w:rPr>
          <w:b/>
          <w:bCs/>
          <w:color w:val="2F5496"/>
        </w:rPr>
        <w:t xml:space="preserve">1. Overview</w:t>
      </w:r>
    </w:p>
    <w:p>
      <w:pPr>
        <w:spacing w:after="150"/>
      </w:pPr>
      <w:r>
        <w:rPr>
          <w:sz w:val="22"/>
          <w:szCs w:val="22"/>
        </w:rPr>
        <w:t xml:space="preserve">This report consolidates all bugs identified during SQA testing of the HisabDo website, including the initial testing cycle and the retest performed after MERN's first round of fixes. All items below require developer attention before final sign-off.</w:t>
      </w:r>
    </w:p>
    <w:p>
      <w:pPr>
        <w:pStyle w:val="Heading1"/>
        <w:spacing w:after="150" w:before="300"/>
      </w:pPr>
      <w:r>
        <w:rPr>
          <w:b/>
          <w:bCs/>
          <w:color w:val="2F5496"/>
        </w:rPr>
        <w:t xml:space="preserve">2. Bug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200"/>
        <w:gridCol w:w="1300"/>
        <w:gridCol w:w="1000"/>
      </w:tblGrid>
      <w:tr>
        <w:tc>
          <w:tcPr>
            <w:tcW w:type="dxa" w:w="800"/>
            <w:shd w:fill="2F5496" w:val="clear"/>
          </w:tcPr>
          <w:p>
            <w:r>
              <w:rPr>
                <w:b/>
                <w:bCs/>
                <w:color w:val="FFFFFF"/>
                <w:sz w:val="20"/>
                <w:szCs w:val="20"/>
              </w:rPr>
              <w:t xml:space="preserve">ID</w:t>
            </w:r>
          </w:p>
        </w:tc>
        <w:tc>
          <w:tcPr>
            <w:tcW w:type="dxa" w:w="1700"/>
            <w:shd w:fill="2F5496" w:val="clear"/>
          </w:tcPr>
          <w:p>
            <w:r>
              <w:rPr>
                <w:b/>
                <w:bCs/>
                <w:color w:val="FFFFFF"/>
                <w:sz w:val="20"/>
                <w:szCs w:val="20"/>
              </w:rPr>
              <w:t xml:space="preserve">Area</w:t>
            </w:r>
          </w:p>
        </w:tc>
        <w:tc>
          <w:tcPr>
            <w:tcW w:type="dxa" w:w="4200"/>
            <w:shd w:fill="2F5496" w:val="clear"/>
          </w:tcPr>
          <w:p>
            <w:r>
              <w:rPr>
                <w:b/>
                <w:bCs/>
                <w:color w:val="FFFFFF"/>
                <w:sz w:val="20"/>
                <w:szCs w:val="20"/>
              </w:rPr>
              <w:t xml:space="preserve">Description</w:t>
            </w:r>
          </w:p>
        </w:tc>
        <w:tc>
          <w:tcPr>
            <w:tcW w:type="dxa" w:w="1300"/>
            <w:shd w:fill="2F5496" w:val="clear"/>
          </w:tcPr>
          <w:p>
            <w:r>
              <w:rPr>
                <w:b/>
                <w:bCs/>
                <w:color w:val="FFFFFF"/>
                <w:sz w:val="20"/>
                <w:szCs w:val="20"/>
              </w:rPr>
              <w:t xml:space="preserve">Severity</w:t>
            </w:r>
          </w:p>
        </w:tc>
        <w:tc>
          <w:tcPr>
            <w:tcW w:type="dxa" w:w="1000"/>
            <w:shd w:fill="2F5496" w:val="clear"/>
          </w:tcPr>
          <w:p>
            <w:r>
              <w:rPr>
                <w:b/>
                <w:bCs/>
                <w:color w:val="FFFFFF"/>
                <w:sz w:val="20"/>
                <w:szCs w:val="20"/>
              </w:rPr>
              <w:t xml:space="preserve">Status</w:t>
            </w:r>
          </w:p>
        </w:tc>
      </w:tr>
      <w:tr>
        <w:tc>
          <w:tcPr>
            <w:tcW w:type="dxa" w:w="800"/>
          </w:tcPr>
          <w:p>
            <w:r>
              <w:rPr>
                <w:b/>
                <w:bCs/>
                <w:sz w:val="20"/>
                <w:szCs w:val="20"/>
              </w:rPr>
              <w:t xml:space="preserve">ISS-01</w:t>
            </w:r>
          </w:p>
        </w:tc>
        <w:tc>
          <w:tcPr>
            <w:tcW w:type="dxa" w:w="1700"/>
          </w:tcPr>
          <w:p>
            <w:r>
              <w:rPr>
                <w:b w:val="false"/>
                <w:bCs w:val="false"/>
                <w:sz w:val="20"/>
                <w:szCs w:val="20"/>
              </w:rPr>
              <w:t xml:space="preserve">Broken Link</w:t>
            </w:r>
          </w:p>
        </w:tc>
        <w:tc>
          <w:tcPr>
            <w:tcW w:type="dxa" w:w="4200"/>
          </w:tcPr>
          <w:p>
            <w:r>
              <w:rPr>
                <w:b w:val="false"/>
                <w:bCs w:val="false"/>
                <w:sz w:val="20"/>
                <w:szCs w:val="20"/>
              </w:rPr>
              <w:t xml:space="preserve">GitHub link in Mian Usman Khalid's founder profile section returns 404 Not Found.</w:t>
            </w:r>
          </w:p>
        </w:tc>
        <w:tc>
          <w:tcPr>
            <w:tcW w:type="dxa" w:w="1300"/>
            <w:shd w:fill="FFC7CE" w:val="clear"/>
          </w:tcPr>
          <w:p>
            <w:r>
              <w:rPr>
                <w:b/>
                <w:bCs/>
                <w:sz w:val="20"/>
                <w:szCs w:val="20"/>
              </w:rPr>
              <w:t xml:space="preserve">High</w:t>
            </w:r>
          </w:p>
        </w:tc>
        <w:tc>
          <w:tcPr>
            <w:tcW w:type="dxa" w:w="1000"/>
          </w:tcPr>
          <w:p>
            <w:r>
              <w:rPr>
                <w:b w:val="false"/>
                <w:bCs w:val="false"/>
                <w:sz w:val="20"/>
                <w:szCs w:val="20"/>
              </w:rPr>
              <w:t xml:space="preserve">Open</w:t>
            </w:r>
          </w:p>
        </w:tc>
      </w:tr>
      <w:tr>
        <w:tc>
          <w:tcPr>
            <w:tcW w:type="dxa" w:w="800"/>
          </w:tcPr>
          <w:p>
            <w:r>
              <w:rPr>
                <w:b/>
                <w:bCs/>
                <w:sz w:val="20"/>
                <w:szCs w:val="20"/>
              </w:rPr>
              <w:t xml:space="preserve">ISS-02</w:t>
            </w:r>
          </w:p>
        </w:tc>
        <w:tc>
          <w:tcPr>
            <w:tcW w:type="dxa" w:w="1700"/>
          </w:tcPr>
          <w:p>
            <w:r>
              <w:rPr>
                <w:b w:val="false"/>
                <w:bCs w:val="false"/>
                <w:sz w:val="20"/>
                <w:szCs w:val="20"/>
              </w:rPr>
              <w:t xml:space="preserve">Performance</w:t>
            </w:r>
          </w:p>
        </w:tc>
        <w:tc>
          <w:tcPr>
            <w:tcW w:type="dxa" w:w="4200"/>
          </w:tcPr>
          <w:p>
            <w:r>
              <w:rPr>
                <w:b w:val="false"/>
                <w:bCs w:val="false"/>
                <w:sz w:val="20"/>
                <w:szCs w:val="20"/>
              </w:rPr>
              <w:t xml:space="preserve">Total page payload ~4,848 KiB causes LCP of 21.0s on mobile/slow network (threshold: 2.5s).</w:t>
            </w:r>
          </w:p>
        </w:tc>
        <w:tc>
          <w:tcPr>
            <w:tcW w:type="dxa" w:w="1300"/>
            <w:shd w:fill="FFC7CE" w:val="clear"/>
          </w:tcPr>
          <w:p>
            <w:r>
              <w:rPr>
                <w:b/>
                <w:bCs/>
                <w:sz w:val="20"/>
                <w:szCs w:val="20"/>
              </w:rPr>
              <w:t xml:space="preserve">High</w:t>
            </w:r>
          </w:p>
        </w:tc>
        <w:tc>
          <w:tcPr>
            <w:tcW w:type="dxa" w:w="1000"/>
          </w:tcPr>
          <w:p>
            <w:r>
              <w:rPr>
                <w:b w:val="false"/>
                <w:bCs w:val="false"/>
                <w:sz w:val="20"/>
                <w:szCs w:val="20"/>
              </w:rPr>
              <w:t xml:space="preserve">Open</w:t>
            </w:r>
          </w:p>
        </w:tc>
      </w:tr>
      <w:tr>
        <w:tc>
          <w:tcPr>
            <w:tcW w:type="dxa" w:w="800"/>
          </w:tcPr>
          <w:p>
            <w:r>
              <w:rPr>
                <w:b/>
                <w:bCs/>
                <w:sz w:val="20"/>
                <w:szCs w:val="20"/>
              </w:rPr>
              <w:t xml:space="preserve">ISS-03</w:t>
            </w:r>
          </w:p>
        </w:tc>
        <w:tc>
          <w:tcPr>
            <w:tcW w:type="dxa" w:w="1700"/>
          </w:tcPr>
          <w:p>
            <w:r>
              <w:rPr>
                <w:b w:val="false"/>
                <w:bCs w:val="false"/>
                <w:sz w:val="20"/>
                <w:szCs w:val="20"/>
              </w:rPr>
              <w:t xml:space="preserve">Performance/Layout</w:t>
            </w:r>
          </w:p>
        </w:tc>
        <w:tc>
          <w:tcPr>
            <w:tcW w:type="dxa" w:w="4200"/>
          </w:tcPr>
          <w:p>
            <w:r>
              <w:rPr>
                <w:b w:val="false"/>
                <w:bCs w:val="false"/>
                <w:sz w:val="20"/>
                <w:szCs w:val="20"/>
              </w:rPr>
              <w:t xml:space="preserve">Cumulative Layout Shift (CLS) 0.874 due to images missing width/height attributes.</w:t>
            </w:r>
          </w:p>
        </w:tc>
        <w:tc>
          <w:tcPr>
            <w:tcW w:type="dxa" w:w="1300"/>
            <w:shd w:fill="FFC7CE" w:val="clear"/>
          </w:tcPr>
          <w:p>
            <w:r>
              <w:rPr>
                <w:b/>
                <w:bCs/>
                <w:sz w:val="20"/>
                <w:szCs w:val="20"/>
              </w:rPr>
              <w:t xml:space="preserve">High</w:t>
            </w:r>
          </w:p>
        </w:tc>
        <w:tc>
          <w:tcPr>
            <w:tcW w:type="dxa" w:w="1000"/>
          </w:tcPr>
          <w:p>
            <w:r>
              <w:rPr>
                <w:b w:val="false"/>
                <w:bCs w:val="false"/>
                <w:sz w:val="20"/>
                <w:szCs w:val="20"/>
              </w:rPr>
              <w:t xml:space="preserve">Open</w:t>
            </w:r>
          </w:p>
        </w:tc>
      </w:tr>
      <w:tr>
        <w:tc>
          <w:tcPr>
            <w:tcW w:type="dxa" w:w="800"/>
          </w:tcPr>
          <w:p>
            <w:r>
              <w:rPr>
                <w:b/>
                <w:bCs/>
                <w:sz w:val="20"/>
                <w:szCs w:val="20"/>
              </w:rPr>
              <w:t xml:space="preserve">ISS-04</w:t>
            </w:r>
          </w:p>
        </w:tc>
        <w:tc>
          <w:tcPr>
            <w:tcW w:type="dxa" w:w="1700"/>
          </w:tcPr>
          <w:p>
            <w:r>
              <w:rPr>
                <w:b w:val="false"/>
                <w:bCs w:val="false"/>
                <w:sz w:val="20"/>
                <w:szCs w:val="20"/>
              </w:rPr>
              <w:t xml:space="preserve">Performance</w:t>
            </w:r>
          </w:p>
        </w:tc>
        <w:tc>
          <w:tcPr>
            <w:tcW w:type="dxa" w:w="4200"/>
          </w:tcPr>
          <w:p>
            <w:r>
              <w:rPr>
                <w:b w:val="false"/>
                <w:bCs w:val="false"/>
                <w:sz w:val="20"/>
                <w:szCs w:val="20"/>
              </w:rPr>
              <w:t xml:space="preserve">151 KiB unused JavaScript and 18 KiB unused CSS shipped unnecessarily.</w:t>
            </w:r>
          </w:p>
        </w:tc>
        <w:tc>
          <w:tcPr>
            <w:tcW w:type="dxa" w:w="1300"/>
            <w:shd w:fill="FFEB9C" w:val="clear"/>
          </w:tcPr>
          <w:p>
            <w:r>
              <w:rPr>
                <w:b/>
                <w:bCs/>
                <w:sz w:val="20"/>
                <w:szCs w:val="20"/>
              </w:rPr>
              <w:t xml:space="preserve">Medium</w:t>
            </w:r>
          </w:p>
        </w:tc>
        <w:tc>
          <w:tcPr>
            <w:tcW w:type="dxa" w:w="1000"/>
          </w:tcPr>
          <w:p>
            <w:r>
              <w:rPr>
                <w:b w:val="false"/>
                <w:bCs w:val="false"/>
                <w:sz w:val="20"/>
                <w:szCs w:val="20"/>
              </w:rPr>
              <w:t xml:space="preserve">Open</w:t>
            </w:r>
          </w:p>
        </w:tc>
      </w:tr>
      <w:tr>
        <w:tc>
          <w:tcPr>
            <w:tcW w:type="dxa" w:w="800"/>
          </w:tcPr>
          <w:p>
            <w:r>
              <w:rPr>
                <w:b/>
                <w:bCs/>
                <w:sz w:val="20"/>
                <w:szCs w:val="20"/>
              </w:rPr>
              <w:t xml:space="preserve">ISS-05</w:t>
            </w:r>
          </w:p>
        </w:tc>
        <w:tc>
          <w:tcPr>
            <w:tcW w:type="dxa" w:w="1700"/>
          </w:tcPr>
          <w:p>
            <w:r>
              <w:rPr>
                <w:b w:val="false"/>
                <w:bCs w:val="false"/>
                <w:sz w:val="20"/>
                <w:szCs w:val="20"/>
              </w:rPr>
              <w:t xml:space="preserve">Responsiveness</w:t>
            </w:r>
          </w:p>
        </w:tc>
        <w:tc>
          <w:tcPr>
            <w:tcW w:type="dxa" w:w="4200"/>
          </w:tcPr>
          <w:p>
            <w:r>
              <w:rPr>
                <w:b w:val="false"/>
                <w:bCs w:val="false"/>
                <w:sz w:val="20"/>
                <w:szCs w:val="20"/>
              </w:rPr>
              <w:t xml:space="preserve">Homepage content shows uneven spacing/overflow on mobile screens.</w:t>
            </w:r>
          </w:p>
        </w:tc>
        <w:tc>
          <w:tcPr>
            <w:tcW w:type="dxa" w:w="1300"/>
            <w:shd w:fill="FFEB9C" w:val="clear"/>
          </w:tcPr>
          <w:p>
            <w:r>
              <w:rPr>
                <w:b/>
                <w:bCs/>
                <w:sz w:val="20"/>
                <w:szCs w:val="20"/>
              </w:rPr>
              <w:t xml:space="preserve">Medium</w:t>
            </w:r>
          </w:p>
        </w:tc>
        <w:tc>
          <w:tcPr>
            <w:tcW w:type="dxa" w:w="1000"/>
          </w:tcPr>
          <w:p>
            <w:r>
              <w:rPr>
                <w:b w:val="false"/>
                <w:bCs w:val="false"/>
                <w:sz w:val="20"/>
                <w:szCs w:val="20"/>
              </w:rPr>
              <w:t xml:space="preserve">Open</w:t>
            </w:r>
          </w:p>
        </w:tc>
      </w:tr>
      <w:tr>
        <w:tc>
          <w:tcPr>
            <w:tcW w:type="dxa" w:w="800"/>
          </w:tcPr>
          <w:p>
            <w:r>
              <w:rPr>
                <w:b/>
                <w:bCs/>
                <w:sz w:val="20"/>
                <w:szCs w:val="20"/>
              </w:rPr>
              <w:t xml:space="preserve">ISS-06</w:t>
            </w:r>
          </w:p>
        </w:tc>
        <w:tc>
          <w:tcPr>
            <w:tcW w:type="dxa" w:w="1700"/>
          </w:tcPr>
          <w:p>
            <w:r>
              <w:rPr>
                <w:b w:val="false"/>
                <w:bCs w:val="false"/>
                <w:sz w:val="20"/>
                <w:szCs w:val="20"/>
              </w:rPr>
              <w:t xml:space="preserve">Performance</w:t>
            </w:r>
          </w:p>
        </w:tc>
        <w:tc>
          <w:tcPr>
            <w:tcW w:type="dxa" w:w="4200"/>
          </w:tcPr>
          <w:p>
            <w:r>
              <w:rPr>
                <w:b w:val="false"/>
                <w:bCs w:val="false"/>
                <w:sz w:val="20"/>
                <w:szCs w:val="20"/>
              </w:rPr>
              <w:t xml:space="preserve">One long main-thread task flagged (low impact, TBT already good).</w:t>
            </w:r>
          </w:p>
        </w:tc>
        <w:tc>
          <w:tcPr>
            <w:tcW w:type="dxa" w:w="1300"/>
            <w:shd w:fill="C6EFCE" w:val="clear"/>
          </w:tcPr>
          <w:p>
            <w:r>
              <w:rPr>
                <w:b/>
                <w:bCs/>
                <w:sz w:val="20"/>
                <w:szCs w:val="20"/>
              </w:rPr>
              <w:t xml:space="preserve">Low</w:t>
            </w:r>
          </w:p>
        </w:tc>
        <w:tc>
          <w:tcPr>
            <w:tcW w:type="dxa" w:w="1000"/>
          </w:tcPr>
          <w:p>
            <w:r>
              <w:rPr>
                <w:b w:val="false"/>
                <w:bCs w:val="false"/>
                <w:sz w:val="20"/>
                <w:szCs w:val="20"/>
              </w:rPr>
              <w:t xml:space="preserve">Open</w:t>
            </w:r>
          </w:p>
        </w:tc>
      </w:tr>
      <w:tr>
        <w:tc>
          <w:tcPr>
            <w:tcW w:type="dxa" w:w="800"/>
          </w:tcPr>
          <w:p>
            <w:r>
              <w:rPr>
                <w:b/>
                <w:bCs/>
                <w:sz w:val="20"/>
                <w:szCs w:val="20"/>
              </w:rPr>
              <w:t xml:space="preserve">ISS-07</w:t>
            </w:r>
          </w:p>
        </w:tc>
        <w:tc>
          <w:tcPr>
            <w:tcW w:type="dxa" w:w="1700"/>
          </w:tcPr>
          <w:p>
            <w:r>
              <w:rPr>
                <w:b w:val="false"/>
                <w:bCs w:val="false"/>
                <w:sz w:val="20"/>
                <w:szCs w:val="20"/>
              </w:rPr>
              <w:t xml:space="preserve">Form Validation</w:t>
            </w:r>
          </w:p>
        </w:tc>
        <w:tc>
          <w:tcPr>
            <w:tcW w:type="dxa" w:w="4200"/>
          </w:tcPr>
          <w:p>
            <w:r>
              <w:rPr>
                <w:b w:val="false"/>
                <w:bCs w:val="false"/>
                <w:sz w:val="20"/>
                <w:szCs w:val="20"/>
              </w:rPr>
              <w:t xml:space="preserve">Careers/Internship form accepts invalid email format with no error shown.</w:t>
            </w:r>
          </w:p>
        </w:tc>
        <w:tc>
          <w:tcPr>
            <w:tcW w:type="dxa" w:w="1300"/>
            <w:shd w:fill="FFC7CE" w:val="clear"/>
          </w:tcPr>
          <w:p>
            <w:r>
              <w:rPr>
                <w:b/>
                <w:bCs/>
                <w:sz w:val="20"/>
                <w:szCs w:val="20"/>
              </w:rPr>
              <w:t xml:space="preserve">High</w:t>
            </w:r>
          </w:p>
        </w:tc>
        <w:tc>
          <w:tcPr>
            <w:tcW w:type="dxa" w:w="1000"/>
          </w:tcPr>
          <w:p>
            <w:r>
              <w:rPr>
                <w:b w:val="false"/>
                <w:bCs w:val="false"/>
                <w:sz w:val="20"/>
                <w:szCs w:val="20"/>
              </w:rPr>
              <w:t xml:space="preserve">Needs Clarification</w:t>
            </w:r>
          </w:p>
        </w:tc>
      </w:tr>
      <w:tr>
        <w:tc>
          <w:tcPr>
            <w:tcW w:type="dxa" w:w="800"/>
          </w:tcPr>
          <w:p>
            <w:r>
              <w:rPr>
                <w:b/>
                <w:bCs/>
                <w:sz w:val="20"/>
                <w:szCs w:val="20"/>
              </w:rPr>
              <w:t xml:space="preserve">ISS-08</w:t>
            </w:r>
          </w:p>
        </w:tc>
        <w:tc>
          <w:tcPr>
            <w:tcW w:type="dxa" w:w="1700"/>
          </w:tcPr>
          <w:p>
            <w:r>
              <w:rPr>
                <w:b w:val="false"/>
                <w:bCs w:val="false"/>
                <w:sz w:val="20"/>
                <w:szCs w:val="20"/>
              </w:rPr>
              <w:t xml:space="preserve">Form Validation</w:t>
            </w:r>
          </w:p>
        </w:tc>
        <w:tc>
          <w:tcPr>
            <w:tcW w:type="dxa" w:w="4200"/>
          </w:tcPr>
          <w:p>
            <w:r>
              <w:rPr>
                <w:b w:val="false"/>
                <w:bCs w:val="false"/>
                <w:sz w:val="20"/>
                <w:szCs w:val="20"/>
              </w:rPr>
              <w:t xml:space="preserve">Phone field accepts letters/text instead of numeric-only input.</w:t>
            </w:r>
          </w:p>
        </w:tc>
        <w:tc>
          <w:tcPr>
            <w:tcW w:type="dxa" w:w="1300"/>
            <w:shd w:fill="FFC7CE" w:val="clear"/>
          </w:tcPr>
          <w:p>
            <w:r>
              <w:rPr>
                <w:b/>
                <w:bCs/>
                <w:sz w:val="20"/>
                <w:szCs w:val="20"/>
              </w:rPr>
              <w:t xml:space="preserve">High</w:t>
            </w:r>
          </w:p>
        </w:tc>
        <w:tc>
          <w:tcPr>
            <w:tcW w:type="dxa" w:w="1000"/>
          </w:tcPr>
          <w:p>
            <w:r>
              <w:rPr>
                <w:b w:val="false"/>
                <w:bCs w:val="false"/>
                <w:sz w:val="20"/>
                <w:szCs w:val="20"/>
              </w:rPr>
              <w:t xml:space="preserve">Needs Clarification</w:t>
            </w:r>
          </w:p>
        </w:tc>
      </w:tr>
      <w:tr>
        <w:tc>
          <w:tcPr>
            <w:tcW w:type="dxa" w:w="800"/>
          </w:tcPr>
          <w:p>
            <w:r>
              <w:rPr>
                <w:b/>
                <w:bCs/>
                <w:sz w:val="20"/>
                <w:szCs w:val="20"/>
              </w:rPr>
              <w:t xml:space="preserve">ISS-09</w:t>
            </w:r>
          </w:p>
        </w:tc>
        <w:tc>
          <w:tcPr>
            <w:tcW w:type="dxa" w:w="1700"/>
          </w:tcPr>
          <w:p>
            <w:r>
              <w:rPr>
                <w:b w:val="false"/>
                <w:bCs w:val="false"/>
                <w:sz w:val="20"/>
                <w:szCs w:val="20"/>
              </w:rPr>
              <w:t xml:space="preserve">Form Validation</w:t>
            </w:r>
          </w:p>
        </w:tc>
        <w:tc>
          <w:tcPr>
            <w:tcW w:type="dxa" w:w="4200"/>
          </w:tcPr>
          <w:p>
            <w:r>
              <w:rPr>
                <w:b w:val="false"/>
                <w:bCs w:val="false"/>
                <w:sz w:val="20"/>
                <w:szCs w:val="20"/>
              </w:rPr>
              <w:t xml:space="preserve">File upload field accepts invalid file types without restriction.</w:t>
            </w:r>
          </w:p>
        </w:tc>
        <w:tc>
          <w:tcPr>
            <w:tcW w:type="dxa" w:w="1300"/>
            <w:shd w:fill="FFEB9C" w:val="clear"/>
          </w:tcPr>
          <w:p>
            <w:r>
              <w:rPr>
                <w:b/>
                <w:bCs/>
                <w:sz w:val="20"/>
                <w:szCs w:val="20"/>
              </w:rPr>
              <w:t xml:space="preserve">Medium</w:t>
            </w:r>
          </w:p>
        </w:tc>
        <w:tc>
          <w:tcPr>
            <w:tcW w:type="dxa" w:w="1000"/>
          </w:tcPr>
          <w:p>
            <w:r>
              <w:rPr>
                <w:b w:val="false"/>
                <w:bCs w:val="false"/>
                <w:sz w:val="20"/>
                <w:szCs w:val="20"/>
              </w:rPr>
              <w:t xml:space="preserve">Needs Clarification</w:t>
            </w:r>
          </w:p>
        </w:tc>
      </w:tr>
      <w:tr>
        <w:tc>
          <w:tcPr>
            <w:tcW w:type="dxa" w:w="800"/>
          </w:tcPr>
          <w:p>
            <w:r>
              <w:rPr>
                <w:b/>
                <w:bCs/>
                <w:sz w:val="20"/>
                <w:szCs w:val="20"/>
              </w:rPr>
              <w:t xml:space="preserve">ISS-10</w:t>
            </w:r>
          </w:p>
        </w:tc>
        <w:tc>
          <w:tcPr>
            <w:tcW w:type="dxa" w:w="1700"/>
          </w:tcPr>
          <w:p>
            <w:r>
              <w:rPr>
                <w:b w:val="false"/>
                <w:bCs w:val="false"/>
                <w:sz w:val="20"/>
                <w:szCs w:val="20"/>
              </w:rPr>
              <w:t xml:space="preserve">Code Quality / Critical</w:t>
            </w:r>
          </w:p>
        </w:tc>
        <w:tc>
          <w:tcPr>
            <w:tcW w:type="dxa" w:w="4200"/>
          </w:tcPr>
          <w:p>
            <w:r>
              <w:rPr>
                <w:b w:val="false"/>
                <w:bCs w:val="false"/>
                <w:sz w:val="20"/>
                <w:szCs w:val="20"/>
              </w:rPr>
              <w:t xml:space="preserve">Unresolved Git merge conflict markers found in app/globals.css (&lt;&lt;&lt;&lt;&lt;&lt;&lt; HEAD ... ======= ... &gt;&gt;&gt;&gt;&gt;&gt;&gt;), leaving the stylesheet invalid.</w:t>
            </w:r>
          </w:p>
        </w:tc>
        <w:tc>
          <w:tcPr>
            <w:tcW w:type="dxa" w:w="1300"/>
            <w:shd w:fill="FFC7CE" w:val="clear"/>
          </w:tcPr>
          <w:p>
            <w:r>
              <w:rPr>
                <w:b/>
                <w:bCs/>
                <w:sz w:val="20"/>
                <w:szCs w:val="20"/>
              </w:rPr>
              <w:t xml:space="preserve">Critical</w:t>
            </w:r>
          </w:p>
        </w:tc>
        <w:tc>
          <w:tcPr>
            <w:tcW w:type="dxa" w:w="1000"/>
          </w:tcPr>
          <w:p>
            <w:r>
              <w:rPr>
                <w:b w:val="false"/>
                <w:bCs w:val="false"/>
                <w:sz w:val="20"/>
                <w:szCs w:val="20"/>
              </w:rPr>
              <w:t xml:space="preserve">Open (New)</w:t>
            </w:r>
          </w:p>
        </w:tc>
      </w:tr>
    </w:tbl>
    <w:p>
      <w:pPr>
        <w:pStyle w:val="Heading1"/>
        <w:spacing w:after="150" w:before="300"/>
      </w:pPr>
      <w:r>
        <w:rPr>
          <w:b/>
          <w:bCs/>
          <w:color w:val="2F5496"/>
        </w:rPr>
        <w:t xml:space="preserve">3. Notes</w:t>
      </w:r>
    </w:p>
    <w:p>
      <w:pPr>
        <w:pStyle w:val="ListParagraph"/>
        <w:numPr>
          <w:ilvl w:val="0"/>
          <w:numId w:val="2"/>
        </w:numPr>
        <w:spacing w:after="80"/>
      </w:pPr>
      <w:r>
        <w:rPr>
          <w:sz w:val="22"/>
          <w:szCs w:val="22"/>
        </w:rPr>
        <w:t xml:space="preserve">ISS-07/08/09: The Careers/Internship 'Apply' button links to an external Google Form (forms.gle), not a form built into the website's own code. Clarification is needed on whether this is in MERN's scope or a separate, external tool.</w:t>
      </w:r>
    </w:p>
    <w:p>
      <w:pPr>
        <w:pStyle w:val="ListParagraph"/>
        <w:numPr>
          <w:ilvl w:val="0"/>
          <w:numId w:val="2"/>
        </w:numPr>
        <w:spacing w:after="80"/>
      </w:pPr>
      <w:r>
        <w:rPr>
          <w:sz w:val="22"/>
          <w:szCs w:val="22"/>
        </w:rPr>
        <w:t xml:space="preserve">ISS-10 is a new, critical issue discovered only after MERN's fix attempt — see Regression Report.</w:t>
      </w:r>
    </w:p>
    <w:p>
      <w:pPr>
        <w:pStyle w:val="Heading1"/>
        <w:spacing w:after="150" w:before="300"/>
      </w:pPr>
      <w:r>
        <w:rPr>
          <w:b/>
          <w:bCs/>
          <w:color w:val="2F5496"/>
        </w:rPr>
        <w:t xml:space="preserve">Evidence — Screenshots</w:t>
      </w:r>
    </w:p>
    <w:p>
      <w:pPr>
        <w:pStyle w:val="Heading2"/>
        <w:spacing w:after="100" w:before="200"/>
      </w:pPr>
      <w:r>
        <w:rPr>
          <w:b/>
          <w:bCs/>
          <w:color w:val="2F5496"/>
          <w:sz w:val="24"/>
          <w:szCs w:val="24"/>
        </w:rPr>
        <w:t xml:space="preserve">ISS-01: GitHub Link Still Broken</w:t>
      </w:r>
    </w:p>
    <w:p>
      <w:pPr>
        <w:spacing w:after="80"/>
      </w:pPr>
      <w:r>
        <w:drawing>
          <wp:inline distT="0" distB="0" distL="0" distR="0">
            <wp:extent cx="5905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43225"/>
                    </a:xfrm>
                    <a:prstGeom prst="rect">
                      <a:avLst/>
                    </a:prstGeom>
                  </pic:spPr>
                </pic:pic>
              </a:graphicData>
            </a:graphic>
          </wp:inline>
        </w:drawing>
      </w:r>
    </w:p>
    <w:p>
      <w:pPr>
        <w:spacing w:after="250"/>
      </w:pPr>
      <w:r>
        <w:rPr>
          <w:i/>
          <w:iCs/>
          <w:color w:val="666666"/>
          <w:sz w:val="18"/>
          <w:szCs w:val="18"/>
        </w:rPr>
        <w:t xml:space="preserve">Clicking the GitHub link in the founder profile section leads to a GitHub 404 page.</w:t>
      </w:r>
    </w:p>
    <w:p>
      <w:pPr>
        <w:pStyle w:val="Heading2"/>
        <w:spacing w:after="100" w:before="200"/>
      </w:pPr>
      <w:r>
        <w:rPr>
          <w:b/>
          <w:bCs/>
          <w:color w:val="2F5496"/>
          <w:sz w:val="24"/>
          <w:szCs w:val="24"/>
        </w:rPr>
        <w:t xml:space="preserve">ISS-07 / ISS-08 / ISS-09: Form Accepts Invalid Data</w:t>
      </w:r>
    </w:p>
    <w:p>
      <w:pPr>
        <w:spacing w:after="80"/>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50"/>
      </w:pPr>
      <w:r>
        <w:rPr>
          <w:i/>
          <w:iCs/>
          <w:color w:val="666666"/>
          <w:sz w:val="18"/>
          <w:szCs w:val="18"/>
        </w:rPr>
        <w:t xml:space="preserve">Random/invalid text entered in Full Name, Email Address, and LinkedIn Profile fields — no validation error shown.</w:t>
      </w:r>
    </w:p>
    <w:p>
      <w:pPr>
        <w:spacing w:after="80"/>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33675"/>
                    </a:xfrm>
                    <a:prstGeom prst="rect">
                      <a:avLst/>
                    </a:prstGeom>
                  </pic:spPr>
                </pic:pic>
              </a:graphicData>
            </a:graphic>
          </wp:inline>
        </w:drawing>
      </w:r>
    </w:p>
    <w:p>
      <w:pPr>
        <w:spacing w:after="250"/>
      </w:pPr>
      <w:r>
        <w:rPr>
          <w:i/>
          <w:iCs/>
          <w:color w:val="666666"/>
          <w:sz w:val="18"/>
          <w:szCs w:val="18"/>
        </w:rPr>
        <w:t xml:space="preserve">The form accepted the invalid data above and confirmed successful submission — proving no validation is in place.</w:t>
      </w:r>
    </w:p>
    <w:p>
      <w:pPr>
        <w:pStyle w:val="Heading2"/>
        <w:spacing w:after="100" w:before="200"/>
      </w:pPr>
      <w:r>
        <w:rPr>
          <w:b/>
          <w:bCs/>
          <w:color w:val="2F5496"/>
          <w:sz w:val="24"/>
          <w:szCs w:val="24"/>
        </w:rPr>
        <w:t xml:space="preserve">ISS-05: Mobile Layout Overflow</w:t>
      </w:r>
    </w:p>
    <w:p>
      <w:pPr>
        <w:spacing w:after="80"/>
      </w:pPr>
      <w:r>
        <w:drawing>
          <wp:inline distT="0" distB="0" distL="0" distR="0">
            <wp:extent cx="2095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5257800"/>
                    </a:xfrm>
                    <a:prstGeom prst="rect">
                      <a:avLst/>
                    </a:prstGeom>
                  </pic:spPr>
                </pic:pic>
              </a:graphicData>
            </a:graphic>
          </wp:inline>
        </w:drawing>
      </w:r>
    </w:p>
    <w:p>
      <w:pPr>
        <w:spacing w:after="250"/>
      </w:pPr>
      <w:r>
        <w:rPr>
          <w:i/>
          <w:iCs/>
          <w:color w:val="666666"/>
          <w:sz w:val="18"/>
          <w:szCs w:val="18"/>
        </w:rPr>
        <w:t xml:space="preserve">On mobile, the stat cards row overflows the screen width — the third card ('Currencies supported') is cut off and only partially visible.</w:t>
      </w:r>
    </w:p>
    <w:p>
      <w:pPr>
        <w:spacing w:before="400"/>
      </w:pPr>
      <w:r>
        <w:rPr>
          <w:sz w:val="22"/>
          <w:szCs w:val="22"/>
        </w:rPr>
        <w:t xml:space="preserve">Prepared by: Samra Arshad (SQA Team Lead)</w:t>
      </w:r>
    </w:p>
    <w:p>
      <w:pPr>
        <w:spacing w:before="100"/>
      </w:pPr>
      <w:r>
        <w:rPr>
          <w:sz w:val="22"/>
          <w:szCs w:val="22"/>
        </w:rPr>
        <w:t xml:space="preserve">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e694a240dd62c8909bf611a138f0c8f4e23c2c.jpg"/><Relationship Id="rId8" Type="http://schemas.openxmlformats.org/officeDocument/2006/relationships/image" Target="media/dcdb9726f49f9b11092efea92f0346c983f0ef04.jpg"/><Relationship Id="rId9" Type="http://schemas.openxmlformats.org/officeDocument/2006/relationships/image" Target="media/17b82820560b0e9453c0e3bf08d35228801299fe.jpg"/><Relationship Id="rId10" Type="http://schemas.openxmlformats.org/officeDocument/2006/relationships/image" Target="media/9c9e432aeed52394a564fd93056feadf2dbbe67c.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2026-08-24T11:29:59.069Z</dcterms:created>
  <dcterms:modified xsi:type="dcterms:W3CDTF">2026-08-24T11:29:59.069Z</dcterms:modified>
</cp:coreProperties>
</file>

<file path=docProps/custom.xml><?xml version="1.0" encoding="utf-8"?>
<Properties xmlns="http://schemas.openxmlformats.org/officeDocument/2006/custom-properties" xmlns:vt="http://schemas.openxmlformats.org/officeDocument/2006/docPropsVTypes"/>
</file>