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center"/>
      </w:pPr>
      <w:r>
        <w:rPr>
          <w:b/>
          <w:color w:val="0F2A47"/>
          <w:sz w:val="68"/>
        </w:rPr>
        <w:t>UNIFIED MARKETING &amp;</w:t>
        <w:br/>
        <w:t>E-COMMERCE MANAGEMENT</w:t>
      </w:r>
    </w:p>
    <w:p>
      <w:pPr>
        <w:jc w:val="center"/>
      </w:pPr>
      <w:r>
        <w:rPr>
          <w:b/>
          <w:color w:val="1F77B4"/>
          <w:sz w:val="68"/>
        </w:rPr>
        <w:t>PLATFORM</w:t>
      </w:r>
    </w:p>
    <w:p>
      <w:pPr>
        <w:spacing w:before="600"/>
        <w:jc w:val="center"/>
      </w:pPr>
      <w:r>
        <w:rPr>
          <w:i/>
          <w:color w:val="566573"/>
          <w:sz w:val="26"/>
        </w:rPr>
        <w:t>Comprehensive Project Plan, Architecture &amp; Premium Accounting Module</w:t>
      </w:r>
    </w:p>
    <w:p>
      <w:pPr>
        <w:spacing w:before="3600"/>
        <w:jc w:val="center"/>
      </w:pPr>
      <w:r>
        <w:rPr>
          <w:color w:val="566573"/>
          <w:sz w:val="24"/>
        </w:rPr>
        <w:t>Version 2.0  |  May 2026</w:t>
      </w:r>
    </w:p>
    <w:p>
      <w:pPr>
        <w:jc w:val="center"/>
      </w:pPr>
      <w:r>
        <w:rPr>
          <w:b/>
          <w:color w:val="E67E22"/>
          <w:sz w:val="22"/>
        </w:rPr>
        <w:t>CONFIDENTIAL — INTERNAL USE</w:t>
      </w:r>
    </w:p>
    <w:p>
      <w:pPr>
        <w:jc w:val="center"/>
      </w:pPr>
      <w:r>
        <w:rPr>
          <w:color w:val="212932"/>
          <w:sz w:val="22"/>
        </w:rPr>
        <w:t>Prepared for: Elskov Services</w:t>
      </w:r>
    </w:p>
    <w:p>
      <w:r>
        <w:br w:type="page"/>
      </w:r>
    </w:p>
    <w:p>
      <w:pPr>
        <w:spacing w:before="360" w:after="160"/>
        <w:pBdr>
          <w:bottom w:val="single" w:sz="8" w:space="4" w:color="E67E22"/>
        </w:pBdr>
      </w:pPr>
      <w:r>
        <w:rPr>
          <w:b/>
          <w:color w:val="0F2A47"/>
          <w:sz w:val="40"/>
        </w:rPr>
        <w:t>1. Executive Summary</w:t>
      </w:r>
    </w:p>
    <w:p>
      <w:pPr>
        <w:spacing w:after="80"/>
      </w:pPr>
      <w:r>
        <w:rPr>
          <w:b w:val="0"/>
          <w:i w:val="0"/>
          <w:color w:val="212932"/>
          <w:sz w:val="22"/>
        </w:rPr>
        <w:t>This document is the consolidated master plan for the Unified Marketing and E-Commerce Management Platform — a single, role-controlled web application that brings together five tightly integrated capabilities into one product:</w:t>
      </w:r>
    </w:p>
    <w:p>
      <w:pPr>
        <w:pStyle w:val="ListBullet"/>
        <w:spacing w:after="40"/>
        <w:ind w:left="360"/>
      </w:pPr>
      <w:r>
        <w:rPr>
          <w:sz w:val="22"/>
        </w:rPr>
        <w:t>Centralised social media control across Facebook, Instagram and TikTok — compose once, publish everywhere, reply from a single inbox.</w:t>
      </w:r>
    </w:p>
    <w:p>
      <w:pPr>
        <w:pStyle w:val="ListBullet"/>
        <w:spacing w:after="40"/>
        <w:ind w:left="360"/>
      </w:pPr>
      <w:r>
        <w:rPr>
          <w:sz w:val="22"/>
        </w:rPr>
        <w:t>A full e-commerce engine with product catalogue, cart, checkout, multi-gateway payments (eSewa, Khalti, card) and customer self-service.</w:t>
      </w:r>
    </w:p>
    <w:p>
      <w:pPr>
        <w:pStyle w:val="ListBullet"/>
        <w:spacing w:after="40"/>
        <w:ind w:left="360"/>
      </w:pPr>
      <w:r>
        <w:rPr>
          <w:sz w:val="22"/>
        </w:rPr>
        <w:t>End-to-end order tracking and inventory management — every sale auto-deducts stock, every return auto-restocks, every status change auto-notifies.</w:t>
      </w:r>
    </w:p>
    <w:p>
      <w:pPr>
        <w:pStyle w:val="ListBullet"/>
        <w:spacing w:after="40"/>
        <w:ind w:left="360"/>
      </w:pPr>
      <w:r>
        <w:rPr>
          <w:sz w:val="22"/>
        </w:rPr>
        <w:t>Granular Role-Based Access Control with Super Admin, Admin, Editor, Accountant, Viewer and unlimited custom roles.</w:t>
      </w:r>
    </w:p>
    <w:p>
      <w:pPr>
        <w:pStyle w:val="ListBullet"/>
        <w:spacing w:after="40"/>
        <w:ind w:left="360"/>
      </w:pPr>
      <w:r>
        <w:rPr>
          <w:sz w:val="22"/>
        </w:rPr>
        <w:t>A premium Accounting &amp; Audit module unlocked via monthly, yearly or lifetime subscription — full double-entry ledger, VAT/GST, immutable audit trail and regulator-ready reports.</w:t>
      </w:r>
    </w:p>
    <w:p>
      <w:pPr>
        <w:spacing w:after="80"/>
      </w:pPr>
      <w:r>
        <w:rPr>
          <w:b w:val="0"/>
          <w:i w:val="0"/>
          <w:color w:val="212932"/>
          <w:sz w:val="22"/>
        </w:rPr>
        <w:t>The platform replaces 5–7 separate SaaS tools that businesses typically stitch together (a social scheduler, an inbox tool, a storefront platform, an order/inventory app and an accounting system). By consolidating them into one product with a shared identity layer, RBAC engine and database, it eliminates duplicate data entry, removes integration drift, and gives leadership a single source of truth across marketing, sales, fulfilment and finance.</w:t>
      </w:r>
    </w:p>
    <w:p>
      <w:pPr>
        <w:spacing w:before="240" w:after="80"/>
      </w:pPr>
      <w:r>
        <w:rPr>
          <w:b/>
          <w:color w:val="1F77B4"/>
          <w:sz w:val="28"/>
        </w:rPr>
        <w:t>1.1 What this report contains</w:t>
      </w:r>
    </w:p>
    <w:p>
      <w:pPr>
        <w:pStyle w:val="ListBullet"/>
        <w:spacing w:after="40"/>
        <w:ind w:left="360"/>
      </w:pPr>
      <w:r>
        <w:rPr>
          <w:sz w:val="22"/>
        </w:rPr>
        <w:t>Project objectives, scope and success criteria.</w:t>
      </w:r>
    </w:p>
    <w:p>
      <w:pPr>
        <w:pStyle w:val="ListBullet"/>
        <w:spacing w:after="40"/>
        <w:ind w:left="360"/>
      </w:pPr>
      <w:r>
        <w:rPr>
          <w:sz w:val="22"/>
        </w:rPr>
        <w:t>Detailed specifications for every module — including new screens, data and APIs.</w:t>
      </w:r>
    </w:p>
    <w:p>
      <w:pPr>
        <w:pStyle w:val="ListBullet"/>
        <w:spacing w:after="40"/>
        <w:ind w:left="360"/>
      </w:pPr>
      <w:r>
        <w:rPr>
          <w:sz w:val="22"/>
        </w:rPr>
        <w:t>Role and permission matrix.</w:t>
      </w:r>
    </w:p>
    <w:p>
      <w:pPr>
        <w:pStyle w:val="ListBullet"/>
        <w:spacing w:after="40"/>
        <w:ind w:left="360"/>
      </w:pPr>
      <w:r>
        <w:rPr>
          <w:sz w:val="22"/>
        </w:rPr>
        <w:t>Premium Accounting &amp; Subscription module (full deep-dive, new in v2.0).</w:t>
      </w:r>
    </w:p>
    <w:p>
      <w:pPr>
        <w:pStyle w:val="ListBullet"/>
        <w:spacing w:after="40"/>
        <w:ind w:left="360"/>
      </w:pPr>
      <w:r>
        <w:rPr>
          <w:sz w:val="22"/>
        </w:rPr>
        <w:t>System architecture diagram and end-to-end flow diagram.</w:t>
      </w:r>
    </w:p>
    <w:p>
      <w:pPr>
        <w:pStyle w:val="ListBullet"/>
        <w:spacing w:after="40"/>
        <w:ind w:left="360"/>
      </w:pPr>
      <w:r>
        <w:rPr>
          <w:sz w:val="22"/>
        </w:rPr>
        <w:t>Technology stack, database design and security model.</w:t>
      </w:r>
    </w:p>
    <w:p>
      <w:pPr>
        <w:pStyle w:val="ListBullet"/>
        <w:spacing w:after="40"/>
        <w:ind w:left="360"/>
      </w:pPr>
      <w:r>
        <w:rPr>
          <w:sz w:val="22"/>
        </w:rPr>
        <w:t>Phased delivery roadmap with timelines and dependencies.</w:t>
      </w:r>
    </w:p>
    <w:p>
      <w:pPr>
        <w:pStyle w:val="ListBullet"/>
        <w:spacing w:after="40"/>
        <w:ind w:left="360"/>
      </w:pPr>
      <w:r>
        <w:rPr>
          <w:sz w:val="22"/>
        </w:rPr>
        <w:t>Indicative budget in USD and NPR, plus team structure.</w:t>
      </w:r>
    </w:p>
    <w:p>
      <w:pPr>
        <w:pStyle w:val="ListBullet"/>
        <w:spacing w:after="40"/>
        <w:ind w:left="360"/>
      </w:pPr>
      <w:r>
        <w:rPr>
          <w:sz w:val="22"/>
        </w:rPr>
        <w:t>Risk register, KPIs and next-step checklist.</w:t>
      </w:r>
    </w:p>
    <w:p>
      <w:r>
        <w:br w:type="page"/>
      </w:r>
    </w:p>
    <w:p>
      <w:pPr>
        <w:spacing w:before="360" w:after="160"/>
        <w:pBdr>
          <w:bottom w:val="single" w:sz="8" w:space="4" w:color="E67E22"/>
        </w:pBdr>
      </w:pPr>
      <w:r>
        <w:rPr>
          <w:b/>
          <w:color w:val="0F2A47"/>
          <w:sz w:val="40"/>
        </w:rPr>
        <w:t>2. Project Objectives &amp; Scope</w:t>
      </w:r>
    </w:p>
    <w:p>
      <w:pPr>
        <w:spacing w:before="240" w:after="80"/>
      </w:pPr>
      <w:r>
        <w:rPr>
          <w:b/>
          <w:color w:val="1F77B4"/>
          <w:sz w:val="28"/>
        </w:rPr>
        <w:t>2.1 Business Objectives</w:t>
      </w:r>
    </w:p>
    <w:p>
      <w:pPr>
        <w:pStyle w:val="ListBullet"/>
        <w:spacing w:after="40"/>
        <w:ind w:left="360"/>
      </w:pPr>
      <w:r>
        <w:rPr>
          <w:sz w:val="22"/>
        </w:rPr>
        <w:t>Eliminate tool fragmentation by consolidating social media management, e-commerce, fulfilment and accounting into one platform.</w:t>
      </w:r>
    </w:p>
    <w:p>
      <w:pPr>
        <w:pStyle w:val="ListBullet"/>
        <w:spacing w:after="40"/>
        <w:ind w:left="360"/>
      </w:pPr>
      <w:r>
        <w:rPr>
          <w:sz w:val="22"/>
        </w:rPr>
        <w:t>Increase team productivity through role-based workspaces that surface only the tools and data each user needs.</w:t>
      </w:r>
    </w:p>
    <w:p>
      <w:pPr>
        <w:pStyle w:val="ListBullet"/>
        <w:spacing w:after="40"/>
        <w:ind w:left="360"/>
      </w:pPr>
      <w:r>
        <w:rPr>
          <w:sz w:val="22"/>
        </w:rPr>
        <w:t>Enable data-driven decisions by unifying analytics across social channels, sales, inventory turnover and finance.</w:t>
      </w:r>
    </w:p>
    <w:p>
      <w:pPr>
        <w:pStyle w:val="ListBullet"/>
        <w:spacing w:after="40"/>
        <w:ind w:left="360"/>
      </w:pPr>
      <w:r>
        <w:rPr>
          <w:sz w:val="22"/>
        </w:rPr>
        <w:t>Open a recurring-revenue stream by offering the Accounting module as a paid, subscription-gated add-on (monthly / yearly / lifetime).</w:t>
      </w:r>
    </w:p>
    <w:p>
      <w:pPr>
        <w:pStyle w:val="ListBullet"/>
        <w:spacing w:after="40"/>
        <w:ind w:left="360"/>
      </w:pPr>
      <w:r>
        <w:rPr>
          <w:sz w:val="22"/>
        </w:rPr>
        <w:t>Ensure security and compliance — robust authentication, immutable audit logging, RBAC enforcement, GDPR-aligned data handling.</w:t>
      </w:r>
    </w:p>
    <w:p>
      <w:pPr>
        <w:pStyle w:val="ListBullet"/>
        <w:spacing w:after="40"/>
        <w:ind w:left="360"/>
      </w:pPr>
      <w:r>
        <w:rPr>
          <w:sz w:val="22"/>
        </w:rPr>
        <w:t>Scale gracefully to multi-warehouse, multi-currency and additional social channels without re-architecting.</w:t>
      </w:r>
    </w:p>
    <w:p>
      <w:pPr>
        <w:spacing w:before="240" w:after="80"/>
      </w:pPr>
      <w:r>
        <w:rPr>
          <w:b/>
          <w:color w:val="1F77B4"/>
          <w:sz w:val="28"/>
        </w:rPr>
        <w:t>2.2 In Scope</w:t>
      </w:r>
    </w:p>
    <w:p>
      <w:pPr>
        <w:pStyle w:val="ListBullet"/>
        <w:spacing w:after="40"/>
        <w:ind w:left="360"/>
      </w:pPr>
      <w:r>
        <w:rPr>
          <w:sz w:val="22"/>
        </w:rPr>
        <w:t>Public storefront with full catalogue, cart and checkout.</w:t>
      </w:r>
    </w:p>
    <w:p>
      <w:pPr>
        <w:pStyle w:val="ListBullet"/>
        <w:spacing w:after="40"/>
        <w:ind w:left="360"/>
      </w:pPr>
      <w:r>
        <w:rPr>
          <w:sz w:val="22"/>
        </w:rPr>
        <w:t>Customer profile, address book, wishlist, order history and tracking.</w:t>
      </w:r>
    </w:p>
    <w:p>
      <w:pPr>
        <w:pStyle w:val="ListBullet"/>
        <w:spacing w:after="40"/>
        <w:ind w:left="360"/>
      </w:pPr>
      <w:r>
        <w:rPr>
          <w:sz w:val="22"/>
        </w:rPr>
        <w:t>Admin web console for social, catalogue, orders, inventory, CRM, finance.</w:t>
      </w:r>
    </w:p>
    <w:p>
      <w:pPr>
        <w:pStyle w:val="ListBullet"/>
        <w:spacing w:after="40"/>
        <w:ind w:left="360"/>
      </w:pPr>
      <w:r>
        <w:rPr>
          <w:sz w:val="22"/>
        </w:rPr>
        <w:t>Payment integrations: eSewa, Khalti, Stripe (card), Cash-on-Delivery.</w:t>
      </w:r>
    </w:p>
    <w:p>
      <w:pPr>
        <w:pStyle w:val="ListBullet"/>
        <w:spacing w:after="40"/>
        <w:ind w:left="360"/>
      </w:pPr>
      <w:r>
        <w:rPr>
          <w:sz w:val="22"/>
        </w:rPr>
        <w:t>Social integrations: Meta Graph API (Facebook + Instagram), TikTok API.</w:t>
      </w:r>
    </w:p>
    <w:p>
      <w:pPr>
        <w:pStyle w:val="ListBullet"/>
        <w:spacing w:after="40"/>
        <w:ind w:left="360"/>
      </w:pPr>
      <w:r>
        <w:rPr>
          <w:sz w:val="22"/>
        </w:rPr>
        <w:t>Premium Accounting module with subscription paywall.</w:t>
      </w:r>
    </w:p>
    <w:p>
      <w:pPr>
        <w:pStyle w:val="ListBullet"/>
        <w:spacing w:after="40"/>
        <w:ind w:left="360"/>
      </w:pPr>
      <w:r>
        <w:rPr>
          <w:sz w:val="22"/>
        </w:rPr>
        <w:t>Mobile-responsive (PWA) — no native mobile apps in this phase.</w:t>
      </w:r>
    </w:p>
    <w:p>
      <w:pPr>
        <w:pStyle w:val="ListBullet"/>
        <w:spacing w:after="40"/>
        <w:ind w:left="360"/>
      </w:pPr>
      <w:r>
        <w:rPr>
          <w:sz w:val="22"/>
        </w:rPr>
        <w:t>Cloud deployment (AWS or GCP), CI/CD, monitoring and backups.</w:t>
      </w:r>
    </w:p>
    <w:p>
      <w:pPr>
        <w:spacing w:before="240" w:after="80"/>
      </w:pPr>
      <w:r>
        <w:rPr>
          <w:b/>
          <w:color w:val="1F77B4"/>
          <w:sz w:val="28"/>
        </w:rPr>
        <w:t>2.3 Out of Scope (this release)</w:t>
      </w:r>
    </w:p>
    <w:p>
      <w:pPr>
        <w:pStyle w:val="ListBullet"/>
        <w:spacing w:after="40"/>
        <w:ind w:left="360"/>
      </w:pPr>
      <w:r>
        <w:rPr>
          <w:sz w:val="22"/>
        </w:rPr>
        <w:t>Native iOS / Android apps (planned for Phase 2 / Year 2).</w:t>
      </w:r>
    </w:p>
    <w:p>
      <w:pPr>
        <w:pStyle w:val="ListBullet"/>
        <w:spacing w:after="40"/>
        <w:ind w:left="360"/>
      </w:pPr>
      <w:r>
        <w:rPr>
          <w:sz w:val="22"/>
        </w:rPr>
        <w:t>B2B wholesale portal with negotiated pricing tiers (future enhancement).</w:t>
      </w:r>
    </w:p>
    <w:p>
      <w:pPr>
        <w:pStyle w:val="ListBullet"/>
        <w:spacing w:after="40"/>
        <w:ind w:left="360"/>
      </w:pPr>
      <w:r>
        <w:rPr>
          <w:sz w:val="22"/>
        </w:rPr>
        <w:t>Physical POS hardware integration in retail stores (future enhancement).</w:t>
      </w:r>
    </w:p>
    <w:p>
      <w:pPr>
        <w:pStyle w:val="ListBullet"/>
        <w:spacing w:after="40"/>
        <w:ind w:left="360"/>
      </w:pPr>
      <w:r>
        <w:rPr>
          <w:sz w:val="22"/>
        </w:rPr>
        <w:t>Marketplace functionality (multi-vendor sellers) — single-tenant only.</w:t>
      </w:r>
    </w:p>
    <w:p>
      <w:r>
        <w:br w:type="page"/>
      </w:r>
    </w:p>
    <w:p>
      <w:pPr>
        <w:spacing w:before="360" w:after="160"/>
        <w:pBdr>
          <w:bottom w:val="single" w:sz="8" w:space="4" w:color="E67E22"/>
        </w:pBdr>
      </w:pPr>
      <w:r>
        <w:rPr>
          <w:b/>
          <w:color w:val="0F2A47"/>
          <w:sz w:val="40"/>
        </w:rPr>
        <w:t>3. Platform Modules — Detailed Specification</w:t>
      </w:r>
    </w:p>
    <w:p>
      <w:pPr>
        <w:spacing w:before="240" w:after="80"/>
      </w:pPr>
      <w:r>
        <w:rPr>
          <w:b/>
          <w:color w:val="1F77B4"/>
          <w:sz w:val="28"/>
        </w:rPr>
        <w:t>3.1 Social Media Management Hub</w:t>
      </w:r>
    </w:p>
    <w:p>
      <w:pPr>
        <w:spacing w:after="80"/>
      </w:pPr>
      <w:r>
        <w:rPr>
          <w:b w:val="0"/>
          <w:i w:val="0"/>
          <w:color w:val="212932"/>
          <w:sz w:val="22"/>
        </w:rPr>
        <w:t>A single control panel for Facebook, Instagram and TikTok. Connects to each platform via the official business API and abstracts platform-specific formatting rules behind one composer.</w:t>
      </w:r>
    </w:p>
    <w:p>
      <w:pPr>
        <w:spacing w:before="160" w:after="40"/>
      </w:pPr>
      <w:r>
        <w:rPr>
          <w:b/>
          <w:color w:val="0F2A47"/>
          <w:sz w:val="24"/>
        </w:rPr>
        <w:t>Core Features</w:t>
      </w:r>
    </w:p>
    <w:p>
      <w:pPr>
        <w:pStyle w:val="ListBullet"/>
        <w:spacing w:after="40"/>
        <w:ind w:left="360"/>
      </w:pPr>
      <w:r>
        <w:rPr>
          <w:sz w:val="22"/>
        </w:rPr>
        <w:t>Unified Post Composer — create one post, publish simultaneously to all connected channels with platform-specific overrides for caption length, hashtags and media dimensions.</w:t>
      </w:r>
    </w:p>
    <w:p>
      <w:pPr>
        <w:pStyle w:val="ListBullet"/>
        <w:spacing w:after="40"/>
        <w:ind w:left="360"/>
      </w:pPr>
      <w:r>
        <w:rPr>
          <w:sz w:val="22"/>
        </w:rPr>
        <w:t>Content Scheduler — calendar view to plan posts days or weeks ahead; best-time-to-post recommendations driven by historical engagement; draft saving and approval workflow before publish.</w:t>
      </w:r>
    </w:p>
    <w:p>
      <w:pPr>
        <w:pStyle w:val="ListBullet"/>
        <w:spacing w:after="40"/>
        <w:ind w:left="360"/>
      </w:pPr>
      <w:r>
        <w:rPr>
          <w:sz w:val="22"/>
        </w:rPr>
        <w:t>Unified Inbox — aggregates comments, DMs and mentions from all channels into one queue; reply in-platform; assign conversations to teammates; track resolution status and response-time SLAs.</w:t>
      </w:r>
    </w:p>
    <w:p>
      <w:pPr>
        <w:pStyle w:val="ListBullet"/>
        <w:spacing w:after="40"/>
        <w:ind w:left="360"/>
      </w:pPr>
      <w:r>
        <w:rPr>
          <w:sz w:val="22"/>
        </w:rPr>
        <w:t>Analytics Dashboard — follower growth, reach, impressions, engagement rate per channel; post performance comparison across channels; exportable reports as PDF or Excel.</w:t>
      </w:r>
    </w:p>
    <w:p>
      <w:pPr>
        <w:pStyle w:val="ListBullet"/>
        <w:spacing w:after="40"/>
        <w:ind w:left="360"/>
      </w:pPr>
      <w:r>
        <w:rPr>
          <w:sz w:val="22"/>
        </w:rPr>
        <w:t>Media Library — central asset store (S3-backed) with tags, search and re-use across posts.</w:t>
      </w:r>
    </w:p>
    <w:p>
      <w:pPr>
        <w:pStyle w:val="ListBullet"/>
        <w:spacing w:after="40"/>
        <w:ind w:left="360"/>
      </w:pPr>
      <w:r>
        <w:rPr>
          <w:sz w:val="22"/>
        </w:rPr>
        <w:t>Approval Workflow — drafts can require sign-off from an Admin before publishing, enforced via RBAC.</w:t>
      </w:r>
    </w:p>
    <w:p>
      <w:pPr>
        <w:spacing w:before="240" w:after="80"/>
      </w:pPr>
      <w:r>
        <w:rPr>
          <w:b/>
          <w:color w:val="1F77B4"/>
          <w:sz w:val="28"/>
        </w:rPr>
        <w:t>3.2 E-Commerce Engine</w:t>
      </w:r>
    </w:p>
    <w:p>
      <w:pPr>
        <w:spacing w:after="80"/>
      </w:pPr>
      <w:r>
        <w:rPr>
          <w:b w:val="0"/>
          <w:i w:val="0"/>
          <w:color w:val="212932"/>
          <w:sz w:val="22"/>
        </w:rPr>
        <w:t>Full operational control over the online store, from product listing to order fulfilment and payment reconciliation.</w:t>
      </w:r>
    </w:p>
    <w:p>
      <w:pPr>
        <w:spacing w:before="160" w:after="40"/>
      </w:pPr>
      <w:r>
        <w:rPr>
          <w:b/>
          <w:color w:val="0F2A47"/>
          <w:sz w:val="24"/>
        </w:rPr>
        <w:t>Core Features</w:t>
      </w:r>
    </w:p>
    <w:p>
      <w:pPr>
        <w:pStyle w:val="ListBullet"/>
        <w:spacing w:after="40"/>
        <w:ind w:left="360"/>
      </w:pPr>
      <w:r>
        <w:rPr>
          <w:sz w:val="22"/>
        </w:rPr>
        <w:t>Product Catalogue Manager — CRUD, image management, variant trees (size/colour/material), category hierarchies, bulk CSV import.</w:t>
      </w:r>
    </w:p>
    <w:p>
      <w:pPr>
        <w:pStyle w:val="ListBullet"/>
        <w:spacing w:after="40"/>
        <w:ind w:left="360"/>
      </w:pPr>
      <w:r>
        <w:rPr>
          <w:sz w:val="22"/>
        </w:rPr>
        <w:t>Pricing &amp; Promotions — base price, discount, scheduled sales, coupon engine (percentage / flat / free-ship / BOGO), customer-segment-specific offers.</w:t>
      </w:r>
    </w:p>
    <w:p>
      <w:pPr>
        <w:pStyle w:val="ListBullet"/>
        <w:spacing w:after="40"/>
        <w:ind w:left="360"/>
      </w:pPr>
      <w:r>
        <w:rPr>
          <w:sz w:val="22"/>
        </w:rPr>
        <w:t>Order Management — view, filter, process all orders; full status workflow (Pending → Confirmed → Processing → Shipped → Delivered → Returned).</w:t>
      </w:r>
    </w:p>
    <w:p>
      <w:pPr>
        <w:pStyle w:val="ListBullet"/>
        <w:spacing w:after="40"/>
        <w:ind w:left="360"/>
      </w:pPr>
      <w:r>
        <w:rPr>
          <w:sz w:val="22"/>
        </w:rPr>
        <w:t>Payments &amp; Invoicing — eSewa, Khalti, Stripe and Cash-on-Delivery; auto-generated PDF invoices; refund processing and dispute notes.</w:t>
      </w:r>
    </w:p>
    <w:p>
      <w:pPr>
        <w:pStyle w:val="ListBullet"/>
        <w:spacing w:after="40"/>
        <w:ind w:left="360"/>
      </w:pPr>
      <w:r>
        <w:rPr>
          <w:sz w:val="22"/>
        </w:rPr>
        <w:t>Customer Management (CRM Lite) — profile, order history, communication log, tagging, segmentation for marketing.</w:t>
      </w:r>
    </w:p>
    <w:p>
      <w:pPr>
        <w:pStyle w:val="ListBullet"/>
        <w:spacing w:after="40"/>
        <w:ind w:left="360"/>
      </w:pPr>
      <w:r>
        <w:rPr>
          <w:sz w:val="22"/>
        </w:rPr>
        <w:t>Storefront SEO — server-side rendering, structured data (JSON-LD), sitemap and robots.txt management, Open Graph metadata for social sharing.</w:t>
      </w:r>
    </w:p>
    <w:p>
      <w:pPr>
        <w:spacing w:before="240" w:after="80"/>
      </w:pPr>
      <w:r>
        <w:rPr>
          <w:b/>
          <w:color w:val="1F77B4"/>
          <w:sz w:val="28"/>
        </w:rPr>
        <w:t>3.3 End User (Customer) Portal</w:t>
      </w:r>
    </w:p>
    <w:p>
      <w:pPr>
        <w:spacing w:after="80"/>
      </w:pPr>
      <w:r>
        <w:rPr>
          <w:b w:val="0"/>
          <w:i w:val="0"/>
          <w:color w:val="212932"/>
          <w:sz w:val="22"/>
        </w:rPr>
        <w:t>The public-facing website where customers register, browse, shop, pay and track orders — fully responsive across desktop, tablet and mobile.</w:t>
      </w:r>
    </w:p>
    <w:p>
      <w:pPr>
        <w:spacing w:before="160" w:after="40"/>
      </w:pPr>
      <w:r>
        <w:rPr>
          <w:b/>
          <w:color w:val="0F2A47"/>
          <w:sz w:val="24"/>
        </w:rPr>
        <w:t>3.3.1 Registration &amp; Profile</w:t>
      </w:r>
    </w:p>
    <w:p>
      <w:pPr>
        <w:pStyle w:val="ListBullet"/>
        <w:spacing w:after="40"/>
        <w:ind w:left="360"/>
      </w:pPr>
      <w:r>
        <w:rPr>
          <w:sz w:val="22"/>
        </w:rPr>
        <w:t>Sign-up via Email + Password (with email OTP verification), Phone + SMS OTP, or Social Login (Google / Facebook OAuth 2.0).</w:t>
      </w:r>
    </w:p>
    <w:p>
      <w:pPr>
        <w:pStyle w:val="ListBullet"/>
        <w:spacing w:after="40"/>
        <w:ind w:left="360"/>
      </w:pPr>
      <w:r>
        <w:rPr>
          <w:sz w:val="22"/>
        </w:rPr>
        <w:t>Profile fields: name, email, phone, password (bcrypt), avatar, date of birth, gender, addresses (up to 5 labelled — Home / Work / Other), default address, linked eSewa / Khalti wallets, notification preferences, wishlist, order history, GDPR-compliant data export and delete-account flows.</w:t>
      </w:r>
    </w:p>
    <w:p>
      <w:pPr>
        <w:spacing w:before="160" w:after="40"/>
      </w:pPr>
      <w:r>
        <w:rPr>
          <w:b/>
          <w:color w:val="0F2A47"/>
          <w:sz w:val="24"/>
        </w:rPr>
        <w:t>3.3.2 Product Browsing &amp; Discovery</w:t>
      </w:r>
    </w:p>
    <w:p>
      <w:pPr>
        <w:pStyle w:val="ListBullet"/>
        <w:spacing w:after="40"/>
        <w:ind w:left="360"/>
      </w:pPr>
      <w:r>
        <w:rPr>
          <w:sz w:val="22"/>
        </w:rPr>
        <w:t>Homepage with hero carousel, category grid, featured / trending / flash-sale sections, recently-viewed products.</w:t>
      </w:r>
    </w:p>
    <w:p>
      <w:pPr>
        <w:pStyle w:val="ListBullet"/>
        <w:spacing w:after="40"/>
        <w:ind w:left="360"/>
      </w:pPr>
      <w:r>
        <w:rPr>
          <w:sz w:val="22"/>
        </w:rPr>
        <w:t>Product Listing Page (PLP) — grid / list view toggle, sort (newest, price, popularity, rating), filter sidebar (category, brand, price slider, star rating, in-stock, discount band), infinite scroll or pagination.</w:t>
      </w:r>
    </w:p>
    <w:p>
      <w:pPr>
        <w:pStyle w:val="ListBullet"/>
        <w:spacing w:after="40"/>
        <w:ind w:left="360"/>
      </w:pPr>
      <w:r>
        <w:rPr>
          <w:sz w:val="22"/>
        </w:rPr>
        <w:t>Product Detail Page (PDP) — image gallery with zoom, variant selector with live stock check, tabbed description / specs / reviews / Q&amp;A, delivery ETA by pin code, related and frequently-bought-together suggestions.</w:t>
      </w:r>
    </w:p>
    <w:p>
      <w:pPr>
        <w:pStyle w:val="ListBullet"/>
        <w:spacing w:after="40"/>
        <w:ind w:left="360"/>
      </w:pPr>
      <w:r>
        <w:rPr>
          <w:sz w:val="22"/>
        </w:rPr>
        <w:t>Global search with auto-suggest (Elasticsearch / Meilisearch), saved search history for logged-in users.</w:t>
      </w:r>
    </w:p>
    <w:p>
      <w:pPr>
        <w:spacing w:before="160" w:after="40"/>
      </w:pPr>
      <w:r>
        <w:rPr>
          <w:b/>
          <w:color w:val="0F2A47"/>
          <w:sz w:val="24"/>
        </w:rPr>
        <w:t>3.3.3 Cart, Checkout &amp; Payment</w:t>
      </w:r>
    </w:p>
    <w:p>
      <w:pPr>
        <w:pStyle w:val="ListBullet"/>
        <w:spacing w:after="40"/>
        <w:ind w:left="360"/>
      </w:pPr>
      <w:r>
        <w:rPr>
          <w:sz w:val="22"/>
        </w:rPr>
        <w:t>Persistent cart for logged-in users; guest cart auto-migrates on login; real-time stock validation on quantity change.</w:t>
      </w:r>
    </w:p>
    <w:p>
      <w:pPr>
        <w:pStyle w:val="ListBullet"/>
        <w:spacing w:after="40"/>
        <w:ind w:left="360"/>
      </w:pPr>
      <w:r>
        <w:rPr>
          <w:sz w:val="22"/>
        </w:rPr>
        <w:t>Coupon and promotions engine with instant validation; loyalty-points redemption (when enabled).</w:t>
      </w:r>
    </w:p>
    <w:p>
      <w:pPr>
        <w:pStyle w:val="ListBullet"/>
        <w:spacing w:after="40"/>
        <w:ind w:left="360"/>
      </w:pPr>
      <w:r>
        <w:rPr>
          <w:sz w:val="22"/>
        </w:rPr>
        <w:t>5-step checkout: Address → Delivery Method → Review → Payment → Confirmation. Guest checkout supported (email required).</w:t>
      </w:r>
    </w:p>
    <w:p>
      <w:pPr>
        <w:pStyle w:val="ListBullet"/>
        <w:spacing w:after="40"/>
        <w:ind w:left="360"/>
      </w:pPr>
      <w:r>
        <w:rPr>
          <w:sz w:val="22"/>
        </w:rPr>
        <w:t>Payment options: eSewa (signed redirect flow), Khalti (popup + Lookup API), Visa / MasterCard via Stripe with 3-D Secure 2, Cash on Delivery.</w:t>
      </w:r>
    </w:p>
    <w:p>
      <w:pPr>
        <w:pStyle w:val="ListBullet"/>
        <w:spacing w:after="40"/>
        <w:ind w:left="360"/>
      </w:pPr>
      <w:r>
        <w:rPr>
          <w:sz w:val="22"/>
        </w:rPr>
        <w:t>Payment failure handling: order held in Pending for 24h, retry-payment link, alternative-method suggestion, abandoned-checkout email after 1h.</w:t>
      </w:r>
    </w:p>
    <w:p>
      <w:pPr>
        <w:spacing w:before="160" w:after="40"/>
      </w:pPr>
      <w:r>
        <w:rPr>
          <w:b/>
          <w:color w:val="0F2A47"/>
          <w:sz w:val="24"/>
        </w:rPr>
        <w:t>3.3.4 Post-Purchase</w:t>
      </w:r>
    </w:p>
    <w:p>
      <w:pPr>
        <w:pStyle w:val="ListBullet"/>
        <w:spacing w:after="40"/>
        <w:ind w:left="360"/>
      </w:pPr>
      <w:r>
        <w:rPr>
          <w:sz w:val="22"/>
        </w:rPr>
        <w:t>My Orders dashboard — active orders highlighted, full history, reorder button, invoice download.</w:t>
      </w:r>
    </w:p>
    <w:p>
      <w:pPr>
        <w:pStyle w:val="ListBullet"/>
        <w:spacing w:after="40"/>
        <w:ind w:left="360"/>
      </w:pPr>
      <w:r>
        <w:rPr>
          <w:sz w:val="22"/>
        </w:rPr>
        <w:t>Live order tracking — visual status stepper, courier scan timeline, dynamic ETA, map view where the courier supports GPS.</w:t>
      </w:r>
    </w:p>
    <w:p>
      <w:pPr>
        <w:pStyle w:val="ListBullet"/>
        <w:spacing w:after="40"/>
        <w:ind w:left="360"/>
      </w:pPr>
      <w:r>
        <w:rPr>
          <w:sz w:val="22"/>
        </w:rPr>
        <w:t>Guest tracking page at /track using Order ID + Email / Phone.</w:t>
      </w:r>
    </w:p>
    <w:p>
      <w:pPr>
        <w:pStyle w:val="ListBullet"/>
        <w:spacing w:after="40"/>
        <w:ind w:left="360"/>
      </w:pPr>
      <w:r>
        <w:rPr>
          <w:sz w:val="22"/>
        </w:rPr>
        <w:t>Verified reviews and ratings; helpful-vote system; photo / video uploads.</w:t>
      </w:r>
    </w:p>
    <w:p>
      <w:pPr>
        <w:pStyle w:val="ListBullet"/>
        <w:spacing w:after="40"/>
        <w:ind w:left="360"/>
      </w:pPr>
      <w:r>
        <w:rPr>
          <w:sz w:val="22"/>
        </w:rPr>
        <w:t>Returns within configurable window (default 7 days) with reason + photo; refunds auto-routed to original wallet / card via the relevant API.</w:t>
      </w:r>
    </w:p>
    <w:p>
      <w:pPr>
        <w:pStyle w:val="ListBullet"/>
        <w:spacing w:after="40"/>
        <w:ind w:left="360"/>
      </w:pPr>
      <w:r>
        <w:rPr>
          <w:sz w:val="22"/>
        </w:rPr>
        <w:t>Support — live chat widget, searchable Help Centre, ticketing tied to specific orders, optional WhatsApp Business integration.</w:t>
      </w:r>
    </w:p>
    <w:p>
      <w:pPr>
        <w:spacing w:before="240" w:after="80"/>
      </w:pPr>
      <w:r>
        <w:rPr>
          <w:b/>
          <w:color w:val="1F77B4"/>
          <w:sz w:val="28"/>
        </w:rPr>
        <w:t>3.4 Order Tracking &amp; Inventory Management</w:t>
      </w:r>
    </w:p>
    <w:p>
      <w:pPr>
        <w:spacing w:after="80"/>
      </w:pPr>
      <w:r>
        <w:rPr>
          <w:b w:val="0"/>
          <w:i w:val="0"/>
          <w:color w:val="212932"/>
          <w:sz w:val="22"/>
        </w:rPr>
        <w:t>The operational heart of the platform — tightly coupled with the catalogue and payment systems via atomic database transactions.</w:t>
      </w:r>
    </w:p>
    <w:p>
      <w:pPr>
        <w:spacing w:before="160" w:after="40"/>
      </w:pPr>
      <w:r>
        <w:rPr>
          <w:b/>
          <w:color w:val="0F2A47"/>
          <w:sz w:val="24"/>
        </w:rPr>
        <w:t>3.4.1 Admin Order Operations</w:t>
      </w:r>
    </w:p>
    <w:p>
      <w:pPr>
        <w:pStyle w:val="ListBullet"/>
        <w:spacing w:after="40"/>
        <w:ind w:left="360"/>
      </w:pPr>
      <w:r>
        <w:rPr>
          <w:sz w:val="22"/>
        </w:rPr>
        <w:t>Orders dashboard with summary tiles (Today, Pending Payments, To Dispatch, Returns Pending) and full table with filters and search.</w:t>
      </w:r>
    </w:p>
    <w:p>
      <w:pPr>
        <w:pStyle w:val="ListBullet"/>
        <w:spacing w:after="40"/>
        <w:ind w:left="360"/>
      </w:pPr>
      <w:r>
        <w:rPr>
          <w:sz w:val="22"/>
        </w:rPr>
        <w:t>Order detail panel: customer info, line items, pricing breakdown, address, payment info, status history, internal notes, action buttons.</w:t>
      </w:r>
    </w:p>
    <w:p>
      <w:pPr>
        <w:pStyle w:val="ListBullet"/>
        <w:spacing w:after="40"/>
        <w:ind w:left="360"/>
      </w:pPr>
      <w:r>
        <w:rPr>
          <w:sz w:val="22"/>
        </w:rPr>
        <w:t>Bulk operations — status update, courier assign, invoice / label print.</w:t>
      </w:r>
    </w:p>
    <w:p>
      <w:pPr>
        <w:pStyle w:val="ListBullet"/>
        <w:spacing w:after="40"/>
        <w:ind w:left="360"/>
      </w:pPr>
      <w:r>
        <w:rPr>
          <w:sz w:val="22"/>
        </w:rPr>
        <w:t>Courier registry with auto-tracking-link generation; optional Pathao / Aramex webhook ingestion for fully automated status updates.</w:t>
      </w:r>
    </w:p>
    <w:p>
      <w:pPr>
        <w:spacing w:before="160" w:after="40"/>
      </w:pPr>
      <w:r>
        <w:rPr>
          <w:b/>
          <w:color w:val="0F2A47"/>
          <w:sz w:val="24"/>
        </w:rPr>
        <w:t>3.4.2 Inventory Management</w:t>
      </w:r>
    </w:p>
    <w:p>
      <w:pPr>
        <w:pStyle w:val="ListBullet"/>
        <w:spacing w:after="40"/>
        <w:ind w:left="360"/>
      </w:pPr>
      <w:r>
        <w:rPr>
          <w:sz w:val="22"/>
        </w:rPr>
        <w:t>Live stock per SKU and per variant, with reserved-vs-available split.</w:t>
      </w:r>
    </w:p>
    <w:p>
      <w:pPr>
        <w:pStyle w:val="ListBullet"/>
        <w:spacing w:after="40"/>
        <w:ind w:left="360"/>
      </w:pPr>
      <w:r>
        <w:rPr>
          <w:sz w:val="22"/>
        </w:rPr>
        <w:t>Stock adjustment with reason and audit trail.</w:t>
      </w:r>
    </w:p>
    <w:p>
      <w:pPr>
        <w:pStyle w:val="ListBullet"/>
        <w:spacing w:after="40"/>
        <w:ind w:left="360"/>
      </w:pPr>
      <w:r>
        <w:rPr>
          <w:sz w:val="22"/>
        </w:rPr>
        <w:t>Low-stock alerts (configurable threshold) — dashboard banner, email, SMS.</w:t>
      </w:r>
    </w:p>
    <w:p>
      <w:pPr>
        <w:pStyle w:val="ListBullet"/>
        <w:spacing w:after="40"/>
        <w:ind w:left="360"/>
      </w:pPr>
      <w:r>
        <w:rPr>
          <w:sz w:val="22"/>
        </w:rPr>
        <w:t>Out-of-stock handling with customer 'Notify Me' subscriptions and auto-restock notifications.</w:t>
      </w:r>
    </w:p>
    <w:p>
      <w:pPr>
        <w:pStyle w:val="ListBullet"/>
        <w:spacing w:after="40"/>
        <w:ind w:left="360"/>
      </w:pPr>
      <w:r>
        <w:rPr>
          <w:sz w:val="22"/>
        </w:rPr>
        <w:t>Bulk CSV import; barcode / QR scan intake (optional mobile companion).</w:t>
      </w:r>
    </w:p>
    <w:p>
      <w:pPr>
        <w:pStyle w:val="ListBullet"/>
        <w:spacing w:after="40"/>
        <w:ind w:left="360"/>
      </w:pPr>
      <w:r>
        <w:rPr>
          <w:sz w:val="22"/>
        </w:rPr>
        <w:t>Purchase Order (PO) workflow: Draft → Sent → Partially Received → Fully Received.</w:t>
      </w:r>
    </w:p>
    <w:p>
      <w:pPr>
        <w:pStyle w:val="ListBullet"/>
        <w:spacing w:after="40"/>
        <w:ind w:left="360"/>
      </w:pPr>
      <w:r>
        <w:rPr>
          <w:sz w:val="22"/>
        </w:rPr>
        <w:t>Stock movement log — every in/out event with type, qty, balance, user, reference (order ID / PO ID), filterable and exportable.</w:t>
      </w:r>
    </w:p>
    <w:p>
      <w:pPr>
        <w:spacing w:before="160" w:after="40"/>
      </w:pPr>
      <w:r>
        <w:rPr>
          <w:b/>
          <w:color w:val="0F2A47"/>
          <w:sz w:val="24"/>
        </w:rPr>
        <w:t>3.4.3 Customer Order Tracking</w:t>
      </w:r>
    </w:p>
    <w:p>
      <w:pPr>
        <w:pStyle w:val="ListBullet"/>
        <w:spacing w:after="40"/>
        <w:ind w:left="360"/>
      </w:pPr>
      <w:r>
        <w:rPr>
          <w:sz w:val="22"/>
        </w:rPr>
        <w:t>My Orders list with status badges, quick reorder.</w:t>
      </w:r>
    </w:p>
    <w:p>
      <w:pPr>
        <w:pStyle w:val="ListBullet"/>
        <w:spacing w:after="40"/>
        <w:ind w:left="360"/>
      </w:pPr>
      <w:r>
        <w:rPr>
          <w:sz w:val="22"/>
        </w:rPr>
        <w:t>Order detail with visual progress bar (Placed → Confirmed → Processing → Shipped → Delivered) and timestamp per stage.</w:t>
      </w:r>
    </w:p>
    <w:p>
      <w:pPr>
        <w:pStyle w:val="ListBullet"/>
        <w:spacing w:after="40"/>
        <w:ind w:left="360"/>
      </w:pPr>
      <w:r>
        <w:rPr>
          <w:sz w:val="22"/>
        </w:rPr>
        <w:t>Live shipment tracking widget with courier name, tracking number and direct courier link; courier-API-pushed scan events when available.</w:t>
      </w:r>
    </w:p>
    <w:p>
      <w:pPr>
        <w:pStyle w:val="ListBullet"/>
        <w:spacing w:after="40"/>
        <w:ind w:left="360"/>
      </w:pPr>
      <w:r>
        <w:rPr>
          <w:sz w:val="22"/>
        </w:rPr>
        <w:t>Customer actions: cancel (until Processing), download invoice, request return, view refund status, write review, reorder.</w:t>
      </w:r>
    </w:p>
    <w:p>
      <w:pPr>
        <w:spacing w:before="160" w:after="40"/>
      </w:pPr>
      <w:r>
        <w:rPr>
          <w:b/>
          <w:color w:val="0F2A47"/>
          <w:sz w:val="24"/>
        </w:rPr>
        <w:t>3.4.4 Notification Triggers</w:t>
      </w:r>
    </w:p>
    <w:p>
      <w:pPr>
        <w:spacing w:after="80"/>
      </w:pPr>
      <w:r>
        <w:rPr>
          <w:b w:val="0"/>
          <w:i w:val="0"/>
          <w:color w:val="212932"/>
          <w:sz w:val="22"/>
        </w:rPr>
        <w:t>Email + SMS + Push fire automatically on each business event; customers can opt out per channel in their profile. Admin-only events (low stock, payment failure spike) route to the admin dashboard and an internal email list.</w:t>
      </w:r>
    </w:p>
    <w:p>
      <w:r>
        <w:br w:type="page"/>
      </w:r>
    </w:p>
    <w:p>
      <w:pPr>
        <w:spacing w:before="360" w:after="160"/>
        <w:pBdr>
          <w:bottom w:val="single" w:sz="8" w:space="4" w:color="E67E22"/>
        </w:pBdr>
      </w:pPr>
      <w:r>
        <w:rPr>
          <w:b/>
          <w:color w:val="0F2A47"/>
          <w:sz w:val="40"/>
        </w:rPr>
        <w:t>4. Role-Based Access Control (RBAC)</w:t>
      </w:r>
    </w:p>
    <w:p>
      <w:pPr>
        <w:spacing w:after="80"/>
      </w:pPr>
      <w:r>
        <w:rPr>
          <w:b w:val="0"/>
          <w:i w:val="0"/>
          <w:color w:val="212932"/>
          <w:sz w:val="22"/>
        </w:rPr>
        <w:t>RBAC is a foundational, cross-cutting layer of the platform. Every API route is guarded by middleware that checks the caller's role(s) and permission(s) before processing the request. Roles can be created, modified and assigned by Super Admins (and by Admins for any role below them).</w:t>
      </w:r>
    </w:p>
    <w:p>
      <w:pPr>
        <w:spacing w:before="240" w:after="80"/>
      </w:pPr>
      <w:r>
        <w:rPr>
          <w:b/>
          <w:color w:val="1F77B4"/>
          <w:sz w:val="28"/>
        </w:rPr>
        <w:t>4.1 Role Definitions</w:t>
      </w:r>
    </w:p>
    <w:p>
      <w:pPr>
        <w:pStyle w:val="ListBullet"/>
        <w:spacing w:after="40"/>
        <w:ind w:left="360"/>
      </w:pPr>
      <w:r>
        <w:rPr>
          <w:sz w:val="22"/>
        </w:rPr>
        <w:t>Super Admin — unrestricted access; the only role allowed to manage other Super Admins, change system settings, configure billing / Stripe Connect, and purge audit logs.</w:t>
      </w:r>
    </w:p>
    <w:p>
      <w:pPr>
        <w:pStyle w:val="ListBullet"/>
        <w:spacing w:after="40"/>
        <w:ind w:left="360"/>
      </w:pPr>
      <w:r>
        <w:rPr>
          <w:sz w:val="22"/>
        </w:rPr>
        <w:t>Admin — full operational control: social, e-commerce, CRM, analytics, user management for non-admin roles; cannot modify Super Admins or system-level configuration.</w:t>
      </w:r>
    </w:p>
    <w:p>
      <w:pPr>
        <w:pStyle w:val="ListBullet"/>
        <w:spacing w:after="40"/>
        <w:ind w:left="360"/>
      </w:pPr>
      <w:r>
        <w:rPr>
          <w:sz w:val="22"/>
        </w:rPr>
        <w:t>Editor — content &amp; catalogue: publish on social, edit products, update order status; no access to finance or user management.</w:t>
      </w:r>
    </w:p>
    <w:p>
      <w:pPr>
        <w:pStyle w:val="ListBullet"/>
        <w:spacing w:after="40"/>
        <w:ind w:left="360"/>
      </w:pPr>
      <w:r>
        <w:rPr>
          <w:sz w:val="22"/>
        </w:rPr>
        <w:t>Accountant — finance focus: view revenue, invoices, payouts, reconciliation, exports; gateway to the premium Accounting module if subscribed.</w:t>
      </w:r>
    </w:p>
    <w:p>
      <w:pPr>
        <w:pStyle w:val="ListBullet"/>
        <w:spacing w:after="40"/>
        <w:ind w:left="360"/>
      </w:pPr>
      <w:r>
        <w:rPr>
          <w:sz w:val="22"/>
        </w:rPr>
        <w:t>Viewer — read-only analytics for stakeholders / investors / juniors.</w:t>
      </w:r>
    </w:p>
    <w:p>
      <w:pPr>
        <w:pStyle w:val="ListBullet"/>
        <w:spacing w:after="40"/>
        <w:ind w:left="360"/>
      </w:pPr>
      <w:r>
        <w:rPr>
          <w:sz w:val="22"/>
        </w:rPr>
        <w:t>Custom Roles — Super Admins and Admins can compose roles from individual permissions (e.g. 'Social Media Manager' = posting + analytics, no e-commerce).</w:t>
      </w:r>
    </w:p>
    <w:p>
      <w:pPr>
        <w:spacing w:before="240" w:after="80"/>
      </w:pPr>
      <w:r>
        <w:rPr>
          <w:b/>
          <w:color w:val="1F77B4"/>
          <w:sz w:val="28"/>
        </w:rPr>
        <w:t>4.2 Permission Matrix</w:t>
      </w:r>
    </w:p>
    <w:p>
      <w:pPr>
        <w:spacing w:after="80"/>
      </w:pPr>
      <w:r>
        <w:rPr>
          <w:b w:val="0"/>
          <w:i/>
          <w:color w:val="566573"/>
          <w:sz w:val="22"/>
        </w:rPr>
        <w:t>Legend:  ✓ Full  ·  ✗ None  ·  ~ Limited / partial  ·  R Read-only</w:t>
      </w:r>
    </w:p>
    <w:tbl>
      <w:tblPr>
        <w:tblW w:type="auto" w:w="0"/>
        <w:jc w:val="center"/>
        <w:tblLook w:firstColumn="1" w:firstRow="1" w:lastColumn="0" w:lastRow="0" w:noHBand="0" w:noVBand="1" w:val="04A0"/>
      </w:tblPr>
      <w:tblGrid>
        <w:gridCol w:w="1608"/>
        <w:gridCol w:w="1608"/>
        <w:gridCol w:w="1608"/>
        <w:gridCol w:w="1608"/>
        <w:gridCol w:w="1608"/>
        <w:gridCol w:w="1608"/>
      </w:tblGrid>
      <w:tr>
        <w:tc>
          <w:tcPr>
            <w:tcW w:type="dxa" w:w="3744"/>
            <w:shd w:val="clear" w:color="auto" w:fill="0F2A47"/>
            <w:tcBorders>
              <w:top w:val="single" w:sz="4" w:color="BFBFBF"/>
              <w:left w:val="single" w:sz="4" w:color="BFBFBF"/>
              <w:bottom w:val="single" w:sz="4" w:color="BFBFBF"/>
              <w:right w:val="single" w:sz="4" w:color="BFBFBF"/>
            </w:tcBorders>
            <w:vAlign w:val="center"/>
          </w:tcPr>
          <w:p>
            <w:r/>
            <w:r>
              <w:rPr>
                <w:b/>
                <w:color w:val="FFFFFF"/>
                <w:sz w:val="21"/>
              </w:rPr>
              <w:t>Permission / Feature</w:t>
            </w:r>
          </w:p>
        </w:tc>
        <w:tc>
          <w:tcPr>
            <w:tcW w:type="dxa" w:w="1440"/>
            <w:shd w:val="clear" w:color="auto" w:fill="0F2A47"/>
            <w:tcBorders>
              <w:top w:val="single" w:sz="4" w:color="BFBFBF"/>
              <w:left w:val="single" w:sz="4" w:color="BFBFBF"/>
              <w:bottom w:val="single" w:sz="4" w:color="BFBFBF"/>
              <w:right w:val="single" w:sz="4" w:color="BFBFBF"/>
            </w:tcBorders>
            <w:vAlign w:val="center"/>
          </w:tcPr>
          <w:p>
            <w:r/>
            <w:r>
              <w:rPr>
                <w:b/>
                <w:color w:val="FFFFFF"/>
                <w:sz w:val="21"/>
              </w:rPr>
              <w:t>Super Admin</w:t>
            </w:r>
          </w:p>
        </w:tc>
        <w:tc>
          <w:tcPr>
            <w:tcW w:type="dxa" w:w="1152"/>
            <w:shd w:val="clear" w:color="auto" w:fill="0F2A47"/>
            <w:tcBorders>
              <w:top w:val="single" w:sz="4" w:color="BFBFBF"/>
              <w:left w:val="single" w:sz="4" w:color="BFBFBF"/>
              <w:bottom w:val="single" w:sz="4" w:color="BFBFBF"/>
              <w:right w:val="single" w:sz="4" w:color="BFBFBF"/>
            </w:tcBorders>
            <w:vAlign w:val="center"/>
          </w:tcPr>
          <w:p>
            <w:r/>
            <w:r>
              <w:rPr>
                <w:b/>
                <w:color w:val="FFFFFF"/>
                <w:sz w:val="21"/>
              </w:rPr>
              <w:t>Admin</w:t>
            </w:r>
          </w:p>
        </w:tc>
        <w:tc>
          <w:tcPr>
            <w:tcW w:type="dxa" w:w="1152"/>
            <w:shd w:val="clear" w:color="auto" w:fill="0F2A47"/>
            <w:tcBorders>
              <w:top w:val="single" w:sz="4" w:color="BFBFBF"/>
              <w:left w:val="single" w:sz="4" w:color="BFBFBF"/>
              <w:bottom w:val="single" w:sz="4" w:color="BFBFBF"/>
              <w:right w:val="single" w:sz="4" w:color="BFBFBF"/>
            </w:tcBorders>
            <w:vAlign w:val="center"/>
          </w:tcPr>
          <w:p>
            <w:r/>
            <w:r>
              <w:rPr>
                <w:b/>
                <w:color w:val="FFFFFF"/>
                <w:sz w:val="21"/>
              </w:rPr>
              <w:t>Editor</w:t>
            </w:r>
          </w:p>
        </w:tc>
        <w:tc>
          <w:tcPr>
            <w:tcW w:type="dxa" w:w="2016"/>
            <w:shd w:val="clear" w:color="auto" w:fill="0F2A47"/>
            <w:tcBorders>
              <w:top w:val="single" w:sz="4" w:color="BFBFBF"/>
              <w:left w:val="single" w:sz="4" w:color="BFBFBF"/>
              <w:bottom w:val="single" w:sz="4" w:color="BFBFBF"/>
              <w:right w:val="single" w:sz="4" w:color="BFBFBF"/>
            </w:tcBorders>
            <w:vAlign w:val="center"/>
          </w:tcPr>
          <w:p>
            <w:r/>
            <w:r>
              <w:rPr>
                <w:b/>
                <w:color w:val="FFFFFF"/>
                <w:sz w:val="21"/>
              </w:rPr>
              <w:t>Accountant</w:t>
            </w:r>
          </w:p>
        </w:tc>
        <w:tc>
          <w:tcPr>
            <w:tcW w:type="dxa" w:w="1152"/>
            <w:shd w:val="clear" w:color="auto" w:fill="0F2A47"/>
            <w:tcBorders>
              <w:top w:val="single" w:sz="4" w:color="BFBFBF"/>
              <w:left w:val="single" w:sz="4" w:color="BFBFBF"/>
              <w:bottom w:val="single" w:sz="4" w:color="BFBFBF"/>
              <w:right w:val="single" w:sz="4" w:color="BFBFBF"/>
            </w:tcBorders>
            <w:vAlign w:val="center"/>
          </w:tcPr>
          <w:p>
            <w:r/>
            <w:r>
              <w:rPr>
                <w:b/>
                <w:color w:val="FFFFFF"/>
                <w:sz w:val="21"/>
              </w:rPr>
              <w:t>Viewer</w:t>
            </w:r>
          </w:p>
        </w:tc>
      </w:tr>
      <w:tr>
        <w:tc>
          <w:tcPr>
            <w:tcW w:type="dxa" w:w="3744"/>
            <w:tcBorders>
              <w:top w:val="single" w:sz="4" w:color="BFBFBF"/>
              <w:left w:val="single" w:sz="4" w:color="BFBFBF"/>
              <w:bottom w:val="single" w:sz="4" w:color="BFBFBF"/>
              <w:right w:val="single" w:sz="4" w:color="BFBFBF"/>
            </w:tcBorders>
            <w:vAlign w:val="center"/>
          </w:tcPr>
          <w:p>
            <w:r/>
            <w:r>
              <w:rPr>
                <w:sz w:val="20"/>
              </w:rPr>
              <w:t>Create / Delete Users</w:t>
            </w:r>
          </w:p>
        </w:tc>
        <w:tc>
          <w:tcPr>
            <w:tcW w:type="dxa" w:w="1440"/>
            <w:tcBorders>
              <w:top w:val="single" w:sz="4" w:color="BFBFBF"/>
              <w:left w:val="single" w:sz="4" w:color="BFBFBF"/>
              <w:bottom w:val="single" w:sz="4" w:color="BFBFBF"/>
              <w:right w:val="single" w:sz="4" w:color="BFBFBF"/>
            </w:tcBorders>
            <w:vAlign w:val="center"/>
          </w:tcPr>
          <w:p>
            <w:r/>
            <w:r>
              <w:rPr>
                <w:sz w:val="20"/>
              </w:rPr>
              <w:t>✓</w:t>
            </w:r>
          </w:p>
        </w:tc>
        <w:tc>
          <w:tcPr>
            <w:tcW w:type="dxa" w:w="1152"/>
            <w:tcBorders>
              <w:top w:val="single" w:sz="4" w:color="BFBFBF"/>
              <w:left w:val="single" w:sz="4" w:color="BFBFBF"/>
              <w:bottom w:val="single" w:sz="4" w:color="BFBFBF"/>
              <w:right w:val="single" w:sz="4" w:color="BFBFBF"/>
            </w:tcBorders>
            <w:vAlign w:val="center"/>
          </w:tcPr>
          <w:p>
            <w:r/>
            <w:r>
              <w:rPr>
                <w:sz w:val="20"/>
              </w:rPr>
              <w:t>✓</w:t>
            </w:r>
          </w:p>
        </w:tc>
        <w:tc>
          <w:tcPr>
            <w:tcW w:type="dxa" w:w="1152"/>
            <w:tcBorders>
              <w:top w:val="single" w:sz="4" w:color="BFBFBF"/>
              <w:left w:val="single" w:sz="4" w:color="BFBFBF"/>
              <w:bottom w:val="single" w:sz="4" w:color="BFBFBF"/>
              <w:right w:val="single" w:sz="4" w:color="BFBFBF"/>
            </w:tcBorders>
            <w:vAlign w:val="center"/>
          </w:tcPr>
          <w:p>
            <w:r/>
            <w:r>
              <w:rPr>
                <w:sz w:val="20"/>
              </w:rPr>
              <w:t>✗</w:t>
            </w:r>
          </w:p>
        </w:tc>
        <w:tc>
          <w:tcPr>
            <w:tcW w:type="dxa" w:w="2016"/>
            <w:tcBorders>
              <w:top w:val="single" w:sz="4" w:color="BFBFBF"/>
              <w:left w:val="single" w:sz="4" w:color="BFBFBF"/>
              <w:bottom w:val="single" w:sz="4" w:color="BFBFBF"/>
              <w:right w:val="single" w:sz="4" w:color="BFBFBF"/>
            </w:tcBorders>
            <w:vAlign w:val="center"/>
          </w:tcPr>
          <w:p>
            <w:r/>
            <w:r>
              <w:rPr>
                <w:sz w:val="20"/>
              </w:rPr>
              <w:t>✗</w:t>
            </w:r>
          </w:p>
        </w:tc>
        <w:tc>
          <w:tcPr>
            <w:tcW w:type="dxa" w:w="1152"/>
            <w:tcBorders>
              <w:top w:val="single" w:sz="4" w:color="BFBFBF"/>
              <w:left w:val="single" w:sz="4" w:color="BFBFBF"/>
              <w:bottom w:val="single" w:sz="4" w:color="BFBFBF"/>
              <w:right w:val="single" w:sz="4" w:color="BFBFBF"/>
            </w:tcBorders>
            <w:vAlign w:val="center"/>
          </w:tcPr>
          <w:p>
            <w:r/>
            <w:r>
              <w:rPr>
                <w:sz w:val="20"/>
              </w:rPr>
              <w:t>✗</w:t>
            </w:r>
          </w:p>
        </w:tc>
      </w:tr>
      <w:tr>
        <w:tc>
          <w:tcPr>
            <w:tcW w:type="dxa" w:w="3744"/>
            <w:shd w:val="clear" w:color="auto" w:fill="F4F6F8"/>
            <w:tcBorders>
              <w:top w:val="single" w:sz="4" w:color="BFBFBF"/>
              <w:left w:val="single" w:sz="4" w:color="BFBFBF"/>
              <w:bottom w:val="single" w:sz="4" w:color="BFBFBF"/>
              <w:right w:val="single" w:sz="4" w:color="BFBFBF"/>
            </w:tcBorders>
            <w:vAlign w:val="center"/>
          </w:tcPr>
          <w:p>
            <w:r/>
            <w:r>
              <w:rPr>
                <w:sz w:val="20"/>
              </w:rPr>
              <w:t>Assign Roles</w:t>
            </w:r>
          </w:p>
        </w:tc>
        <w:tc>
          <w:tcPr>
            <w:tcW w:type="dxa" w:w="1440"/>
            <w:shd w:val="clear" w:color="auto" w:fill="F4F6F8"/>
            <w:tcBorders>
              <w:top w:val="single" w:sz="4" w:color="BFBFBF"/>
              <w:left w:val="single" w:sz="4" w:color="BFBFBF"/>
              <w:bottom w:val="single" w:sz="4" w:color="BFBFBF"/>
              <w:right w:val="single" w:sz="4" w:color="BFBFBF"/>
            </w:tcBorders>
            <w:vAlign w:val="center"/>
          </w:tcPr>
          <w:p>
            <w:r/>
            <w:r>
              <w:rPr>
                <w:sz w:val="20"/>
              </w:rPr>
              <w:t>✓</w:t>
            </w:r>
          </w:p>
        </w:tc>
        <w:tc>
          <w:tcPr>
            <w:tcW w:type="dxa" w:w="1152"/>
            <w:shd w:val="clear" w:color="auto" w:fill="F4F6F8"/>
            <w:tcBorders>
              <w:top w:val="single" w:sz="4" w:color="BFBFBF"/>
              <w:left w:val="single" w:sz="4" w:color="BFBFBF"/>
              <w:bottom w:val="single" w:sz="4" w:color="BFBFBF"/>
              <w:right w:val="single" w:sz="4" w:color="BFBFBF"/>
            </w:tcBorders>
            <w:vAlign w:val="center"/>
          </w:tcPr>
          <w:p>
            <w:r/>
            <w:r>
              <w:rPr>
                <w:sz w:val="20"/>
              </w:rPr>
              <w:t>✓</w:t>
            </w:r>
          </w:p>
        </w:tc>
        <w:tc>
          <w:tcPr>
            <w:tcW w:type="dxa" w:w="1152"/>
            <w:shd w:val="clear" w:color="auto" w:fill="F4F6F8"/>
            <w:tcBorders>
              <w:top w:val="single" w:sz="4" w:color="BFBFBF"/>
              <w:left w:val="single" w:sz="4" w:color="BFBFBF"/>
              <w:bottom w:val="single" w:sz="4" w:color="BFBFBF"/>
              <w:right w:val="single" w:sz="4" w:color="BFBFBF"/>
            </w:tcBorders>
            <w:vAlign w:val="center"/>
          </w:tcPr>
          <w:p>
            <w:r/>
            <w:r>
              <w:rPr>
                <w:sz w:val="20"/>
              </w:rPr>
              <w:t>✗</w:t>
            </w:r>
          </w:p>
        </w:tc>
        <w:tc>
          <w:tcPr>
            <w:tcW w:type="dxa" w:w="2016"/>
            <w:shd w:val="clear" w:color="auto" w:fill="F4F6F8"/>
            <w:tcBorders>
              <w:top w:val="single" w:sz="4" w:color="BFBFBF"/>
              <w:left w:val="single" w:sz="4" w:color="BFBFBF"/>
              <w:bottom w:val="single" w:sz="4" w:color="BFBFBF"/>
              <w:right w:val="single" w:sz="4" w:color="BFBFBF"/>
            </w:tcBorders>
            <w:vAlign w:val="center"/>
          </w:tcPr>
          <w:p>
            <w:r/>
            <w:r>
              <w:rPr>
                <w:sz w:val="20"/>
              </w:rPr>
              <w:t>✗</w:t>
            </w:r>
          </w:p>
        </w:tc>
        <w:tc>
          <w:tcPr>
            <w:tcW w:type="dxa" w:w="1152"/>
            <w:shd w:val="clear" w:color="auto" w:fill="F4F6F8"/>
            <w:tcBorders>
              <w:top w:val="single" w:sz="4" w:color="BFBFBF"/>
              <w:left w:val="single" w:sz="4" w:color="BFBFBF"/>
              <w:bottom w:val="single" w:sz="4" w:color="BFBFBF"/>
              <w:right w:val="single" w:sz="4" w:color="BFBFBF"/>
            </w:tcBorders>
            <w:vAlign w:val="center"/>
          </w:tcPr>
          <w:p>
            <w:r/>
            <w:r>
              <w:rPr>
                <w:sz w:val="20"/>
              </w:rPr>
              <w:t>✗</w:t>
            </w:r>
          </w:p>
        </w:tc>
      </w:tr>
      <w:tr>
        <w:tc>
          <w:tcPr>
            <w:tcW w:type="dxa" w:w="3744"/>
            <w:tcBorders>
              <w:top w:val="single" w:sz="4" w:color="BFBFBF"/>
              <w:left w:val="single" w:sz="4" w:color="BFBFBF"/>
              <w:bottom w:val="single" w:sz="4" w:color="BFBFBF"/>
              <w:right w:val="single" w:sz="4" w:color="BFBFBF"/>
            </w:tcBorders>
            <w:vAlign w:val="center"/>
          </w:tcPr>
          <w:p>
            <w:r/>
            <w:r>
              <w:rPr>
                <w:sz w:val="20"/>
              </w:rPr>
              <w:t>System Settings</w:t>
            </w:r>
          </w:p>
        </w:tc>
        <w:tc>
          <w:tcPr>
            <w:tcW w:type="dxa" w:w="1440"/>
            <w:tcBorders>
              <w:top w:val="single" w:sz="4" w:color="BFBFBF"/>
              <w:left w:val="single" w:sz="4" w:color="BFBFBF"/>
              <w:bottom w:val="single" w:sz="4" w:color="BFBFBF"/>
              <w:right w:val="single" w:sz="4" w:color="BFBFBF"/>
            </w:tcBorders>
            <w:vAlign w:val="center"/>
          </w:tcPr>
          <w:p>
            <w:r/>
            <w:r>
              <w:rPr>
                <w:sz w:val="20"/>
              </w:rPr>
              <w:t>✓</w:t>
            </w:r>
          </w:p>
        </w:tc>
        <w:tc>
          <w:tcPr>
            <w:tcW w:type="dxa" w:w="1152"/>
            <w:tcBorders>
              <w:top w:val="single" w:sz="4" w:color="BFBFBF"/>
              <w:left w:val="single" w:sz="4" w:color="BFBFBF"/>
              <w:bottom w:val="single" w:sz="4" w:color="BFBFBF"/>
              <w:right w:val="single" w:sz="4" w:color="BFBFBF"/>
            </w:tcBorders>
            <w:vAlign w:val="center"/>
          </w:tcPr>
          <w:p>
            <w:r/>
            <w:r>
              <w:rPr>
                <w:sz w:val="20"/>
              </w:rPr>
              <w:t>✗</w:t>
            </w:r>
          </w:p>
        </w:tc>
        <w:tc>
          <w:tcPr>
            <w:tcW w:type="dxa" w:w="1152"/>
            <w:tcBorders>
              <w:top w:val="single" w:sz="4" w:color="BFBFBF"/>
              <w:left w:val="single" w:sz="4" w:color="BFBFBF"/>
              <w:bottom w:val="single" w:sz="4" w:color="BFBFBF"/>
              <w:right w:val="single" w:sz="4" w:color="BFBFBF"/>
            </w:tcBorders>
            <w:vAlign w:val="center"/>
          </w:tcPr>
          <w:p>
            <w:r/>
            <w:r>
              <w:rPr>
                <w:sz w:val="20"/>
              </w:rPr>
              <w:t>✗</w:t>
            </w:r>
          </w:p>
        </w:tc>
        <w:tc>
          <w:tcPr>
            <w:tcW w:type="dxa" w:w="2016"/>
            <w:tcBorders>
              <w:top w:val="single" w:sz="4" w:color="BFBFBF"/>
              <w:left w:val="single" w:sz="4" w:color="BFBFBF"/>
              <w:bottom w:val="single" w:sz="4" w:color="BFBFBF"/>
              <w:right w:val="single" w:sz="4" w:color="BFBFBF"/>
            </w:tcBorders>
            <w:vAlign w:val="center"/>
          </w:tcPr>
          <w:p>
            <w:r/>
            <w:r>
              <w:rPr>
                <w:sz w:val="20"/>
              </w:rPr>
              <w:t>✗</w:t>
            </w:r>
          </w:p>
        </w:tc>
        <w:tc>
          <w:tcPr>
            <w:tcW w:type="dxa" w:w="1152"/>
            <w:tcBorders>
              <w:top w:val="single" w:sz="4" w:color="BFBFBF"/>
              <w:left w:val="single" w:sz="4" w:color="BFBFBF"/>
              <w:bottom w:val="single" w:sz="4" w:color="BFBFBF"/>
              <w:right w:val="single" w:sz="4" w:color="BFBFBF"/>
            </w:tcBorders>
            <w:vAlign w:val="center"/>
          </w:tcPr>
          <w:p>
            <w:r/>
            <w:r>
              <w:rPr>
                <w:sz w:val="20"/>
              </w:rPr>
              <w:t>✗</w:t>
            </w:r>
          </w:p>
        </w:tc>
      </w:tr>
      <w:tr>
        <w:tc>
          <w:tcPr>
            <w:tcW w:type="dxa" w:w="3744"/>
            <w:shd w:val="clear" w:color="auto" w:fill="F4F6F8"/>
            <w:tcBorders>
              <w:top w:val="single" w:sz="4" w:color="BFBFBF"/>
              <w:left w:val="single" w:sz="4" w:color="BFBFBF"/>
              <w:bottom w:val="single" w:sz="4" w:color="BFBFBF"/>
              <w:right w:val="single" w:sz="4" w:color="BFBFBF"/>
            </w:tcBorders>
            <w:vAlign w:val="center"/>
          </w:tcPr>
          <w:p>
            <w:r/>
            <w:r>
              <w:rPr>
                <w:sz w:val="20"/>
              </w:rPr>
              <w:t>Social Media Post</w:t>
            </w:r>
          </w:p>
        </w:tc>
        <w:tc>
          <w:tcPr>
            <w:tcW w:type="dxa" w:w="1440"/>
            <w:shd w:val="clear" w:color="auto" w:fill="F4F6F8"/>
            <w:tcBorders>
              <w:top w:val="single" w:sz="4" w:color="BFBFBF"/>
              <w:left w:val="single" w:sz="4" w:color="BFBFBF"/>
              <w:bottom w:val="single" w:sz="4" w:color="BFBFBF"/>
              <w:right w:val="single" w:sz="4" w:color="BFBFBF"/>
            </w:tcBorders>
            <w:vAlign w:val="center"/>
          </w:tcPr>
          <w:p>
            <w:r/>
            <w:r>
              <w:rPr>
                <w:sz w:val="20"/>
              </w:rPr>
              <w:t>✓</w:t>
            </w:r>
          </w:p>
        </w:tc>
        <w:tc>
          <w:tcPr>
            <w:tcW w:type="dxa" w:w="1152"/>
            <w:shd w:val="clear" w:color="auto" w:fill="F4F6F8"/>
            <w:tcBorders>
              <w:top w:val="single" w:sz="4" w:color="BFBFBF"/>
              <w:left w:val="single" w:sz="4" w:color="BFBFBF"/>
              <w:bottom w:val="single" w:sz="4" w:color="BFBFBF"/>
              <w:right w:val="single" w:sz="4" w:color="BFBFBF"/>
            </w:tcBorders>
            <w:vAlign w:val="center"/>
          </w:tcPr>
          <w:p>
            <w:r/>
            <w:r>
              <w:rPr>
                <w:sz w:val="20"/>
              </w:rPr>
              <w:t>✓</w:t>
            </w:r>
          </w:p>
        </w:tc>
        <w:tc>
          <w:tcPr>
            <w:tcW w:type="dxa" w:w="1152"/>
            <w:shd w:val="clear" w:color="auto" w:fill="F4F6F8"/>
            <w:tcBorders>
              <w:top w:val="single" w:sz="4" w:color="BFBFBF"/>
              <w:left w:val="single" w:sz="4" w:color="BFBFBF"/>
              <w:bottom w:val="single" w:sz="4" w:color="BFBFBF"/>
              <w:right w:val="single" w:sz="4" w:color="BFBFBF"/>
            </w:tcBorders>
            <w:vAlign w:val="center"/>
          </w:tcPr>
          <w:p>
            <w:r/>
            <w:r>
              <w:rPr>
                <w:sz w:val="20"/>
              </w:rPr>
              <w:t>✓</w:t>
            </w:r>
          </w:p>
        </w:tc>
        <w:tc>
          <w:tcPr>
            <w:tcW w:type="dxa" w:w="2016"/>
            <w:shd w:val="clear" w:color="auto" w:fill="F4F6F8"/>
            <w:tcBorders>
              <w:top w:val="single" w:sz="4" w:color="BFBFBF"/>
              <w:left w:val="single" w:sz="4" w:color="BFBFBF"/>
              <w:bottom w:val="single" w:sz="4" w:color="BFBFBF"/>
              <w:right w:val="single" w:sz="4" w:color="BFBFBF"/>
            </w:tcBorders>
            <w:vAlign w:val="center"/>
          </w:tcPr>
          <w:p>
            <w:r/>
            <w:r>
              <w:rPr>
                <w:sz w:val="20"/>
              </w:rPr>
              <w:t>✗</w:t>
            </w:r>
          </w:p>
        </w:tc>
        <w:tc>
          <w:tcPr>
            <w:tcW w:type="dxa" w:w="1152"/>
            <w:shd w:val="clear" w:color="auto" w:fill="F4F6F8"/>
            <w:tcBorders>
              <w:top w:val="single" w:sz="4" w:color="BFBFBF"/>
              <w:left w:val="single" w:sz="4" w:color="BFBFBF"/>
              <w:bottom w:val="single" w:sz="4" w:color="BFBFBF"/>
              <w:right w:val="single" w:sz="4" w:color="BFBFBF"/>
            </w:tcBorders>
            <w:vAlign w:val="center"/>
          </w:tcPr>
          <w:p>
            <w:r/>
            <w:r>
              <w:rPr>
                <w:sz w:val="20"/>
              </w:rPr>
              <w:t>✗</w:t>
            </w:r>
          </w:p>
        </w:tc>
      </w:tr>
      <w:tr>
        <w:tc>
          <w:tcPr>
            <w:tcW w:type="dxa" w:w="3744"/>
            <w:tcBorders>
              <w:top w:val="single" w:sz="4" w:color="BFBFBF"/>
              <w:left w:val="single" w:sz="4" w:color="BFBFBF"/>
              <w:bottom w:val="single" w:sz="4" w:color="BFBFBF"/>
              <w:right w:val="single" w:sz="4" w:color="BFBFBF"/>
            </w:tcBorders>
            <w:vAlign w:val="center"/>
          </w:tcPr>
          <w:p>
            <w:r/>
            <w:r>
              <w:rPr>
                <w:sz w:val="20"/>
              </w:rPr>
              <w:t>Social Media Analytics</w:t>
            </w:r>
          </w:p>
        </w:tc>
        <w:tc>
          <w:tcPr>
            <w:tcW w:type="dxa" w:w="1440"/>
            <w:tcBorders>
              <w:top w:val="single" w:sz="4" w:color="BFBFBF"/>
              <w:left w:val="single" w:sz="4" w:color="BFBFBF"/>
              <w:bottom w:val="single" w:sz="4" w:color="BFBFBF"/>
              <w:right w:val="single" w:sz="4" w:color="BFBFBF"/>
            </w:tcBorders>
            <w:vAlign w:val="center"/>
          </w:tcPr>
          <w:p>
            <w:r/>
            <w:r>
              <w:rPr>
                <w:sz w:val="20"/>
              </w:rPr>
              <w:t>✓</w:t>
            </w:r>
          </w:p>
        </w:tc>
        <w:tc>
          <w:tcPr>
            <w:tcW w:type="dxa" w:w="1152"/>
            <w:tcBorders>
              <w:top w:val="single" w:sz="4" w:color="BFBFBF"/>
              <w:left w:val="single" w:sz="4" w:color="BFBFBF"/>
              <w:bottom w:val="single" w:sz="4" w:color="BFBFBF"/>
              <w:right w:val="single" w:sz="4" w:color="BFBFBF"/>
            </w:tcBorders>
            <w:vAlign w:val="center"/>
          </w:tcPr>
          <w:p>
            <w:r/>
            <w:r>
              <w:rPr>
                <w:sz w:val="20"/>
              </w:rPr>
              <w:t>✓</w:t>
            </w:r>
          </w:p>
        </w:tc>
        <w:tc>
          <w:tcPr>
            <w:tcW w:type="dxa" w:w="1152"/>
            <w:tcBorders>
              <w:top w:val="single" w:sz="4" w:color="BFBFBF"/>
              <w:left w:val="single" w:sz="4" w:color="BFBFBF"/>
              <w:bottom w:val="single" w:sz="4" w:color="BFBFBF"/>
              <w:right w:val="single" w:sz="4" w:color="BFBFBF"/>
            </w:tcBorders>
            <w:vAlign w:val="center"/>
          </w:tcPr>
          <w:p>
            <w:r/>
            <w:r>
              <w:rPr>
                <w:sz w:val="20"/>
              </w:rPr>
              <w:t>✓</w:t>
            </w:r>
          </w:p>
        </w:tc>
        <w:tc>
          <w:tcPr>
            <w:tcW w:type="dxa" w:w="2016"/>
            <w:tcBorders>
              <w:top w:val="single" w:sz="4" w:color="BFBFBF"/>
              <w:left w:val="single" w:sz="4" w:color="BFBFBF"/>
              <w:bottom w:val="single" w:sz="4" w:color="BFBFBF"/>
              <w:right w:val="single" w:sz="4" w:color="BFBFBF"/>
            </w:tcBorders>
            <w:vAlign w:val="center"/>
          </w:tcPr>
          <w:p>
            <w:r/>
            <w:r>
              <w:rPr>
                <w:sz w:val="20"/>
              </w:rPr>
              <w:t>✗</w:t>
            </w:r>
          </w:p>
        </w:tc>
        <w:tc>
          <w:tcPr>
            <w:tcW w:type="dxa" w:w="1152"/>
            <w:tcBorders>
              <w:top w:val="single" w:sz="4" w:color="BFBFBF"/>
              <w:left w:val="single" w:sz="4" w:color="BFBFBF"/>
              <w:bottom w:val="single" w:sz="4" w:color="BFBFBF"/>
              <w:right w:val="single" w:sz="4" w:color="BFBFBF"/>
            </w:tcBorders>
            <w:vAlign w:val="center"/>
          </w:tcPr>
          <w:p>
            <w:r/>
            <w:r>
              <w:rPr>
                <w:sz w:val="20"/>
              </w:rPr>
              <w:t>✓</w:t>
            </w:r>
          </w:p>
        </w:tc>
      </w:tr>
      <w:tr>
        <w:tc>
          <w:tcPr>
            <w:tcW w:type="dxa" w:w="3744"/>
            <w:shd w:val="clear" w:color="auto" w:fill="F4F6F8"/>
            <w:tcBorders>
              <w:top w:val="single" w:sz="4" w:color="BFBFBF"/>
              <w:left w:val="single" w:sz="4" w:color="BFBFBF"/>
              <w:bottom w:val="single" w:sz="4" w:color="BFBFBF"/>
              <w:right w:val="single" w:sz="4" w:color="BFBFBF"/>
            </w:tcBorders>
            <w:vAlign w:val="center"/>
          </w:tcPr>
          <w:p>
            <w:r/>
            <w:r>
              <w:rPr>
                <w:sz w:val="20"/>
              </w:rPr>
              <w:t>Schedule Posts</w:t>
            </w:r>
          </w:p>
        </w:tc>
        <w:tc>
          <w:tcPr>
            <w:tcW w:type="dxa" w:w="1440"/>
            <w:shd w:val="clear" w:color="auto" w:fill="F4F6F8"/>
            <w:tcBorders>
              <w:top w:val="single" w:sz="4" w:color="BFBFBF"/>
              <w:left w:val="single" w:sz="4" w:color="BFBFBF"/>
              <w:bottom w:val="single" w:sz="4" w:color="BFBFBF"/>
              <w:right w:val="single" w:sz="4" w:color="BFBFBF"/>
            </w:tcBorders>
            <w:vAlign w:val="center"/>
          </w:tcPr>
          <w:p>
            <w:r/>
            <w:r>
              <w:rPr>
                <w:sz w:val="20"/>
              </w:rPr>
              <w:t>✓</w:t>
            </w:r>
          </w:p>
        </w:tc>
        <w:tc>
          <w:tcPr>
            <w:tcW w:type="dxa" w:w="1152"/>
            <w:shd w:val="clear" w:color="auto" w:fill="F4F6F8"/>
            <w:tcBorders>
              <w:top w:val="single" w:sz="4" w:color="BFBFBF"/>
              <w:left w:val="single" w:sz="4" w:color="BFBFBF"/>
              <w:bottom w:val="single" w:sz="4" w:color="BFBFBF"/>
              <w:right w:val="single" w:sz="4" w:color="BFBFBF"/>
            </w:tcBorders>
            <w:vAlign w:val="center"/>
          </w:tcPr>
          <w:p>
            <w:r/>
            <w:r>
              <w:rPr>
                <w:sz w:val="20"/>
              </w:rPr>
              <w:t>✓</w:t>
            </w:r>
          </w:p>
        </w:tc>
        <w:tc>
          <w:tcPr>
            <w:tcW w:type="dxa" w:w="1152"/>
            <w:shd w:val="clear" w:color="auto" w:fill="F4F6F8"/>
            <w:tcBorders>
              <w:top w:val="single" w:sz="4" w:color="BFBFBF"/>
              <w:left w:val="single" w:sz="4" w:color="BFBFBF"/>
              <w:bottom w:val="single" w:sz="4" w:color="BFBFBF"/>
              <w:right w:val="single" w:sz="4" w:color="BFBFBF"/>
            </w:tcBorders>
            <w:vAlign w:val="center"/>
          </w:tcPr>
          <w:p>
            <w:r/>
            <w:r>
              <w:rPr>
                <w:sz w:val="20"/>
              </w:rPr>
              <w:t>✓</w:t>
            </w:r>
          </w:p>
        </w:tc>
        <w:tc>
          <w:tcPr>
            <w:tcW w:type="dxa" w:w="2016"/>
            <w:shd w:val="clear" w:color="auto" w:fill="F4F6F8"/>
            <w:tcBorders>
              <w:top w:val="single" w:sz="4" w:color="BFBFBF"/>
              <w:left w:val="single" w:sz="4" w:color="BFBFBF"/>
              <w:bottom w:val="single" w:sz="4" w:color="BFBFBF"/>
              <w:right w:val="single" w:sz="4" w:color="BFBFBF"/>
            </w:tcBorders>
            <w:vAlign w:val="center"/>
          </w:tcPr>
          <w:p>
            <w:r/>
            <w:r>
              <w:rPr>
                <w:sz w:val="20"/>
              </w:rPr>
              <w:t>✗</w:t>
            </w:r>
          </w:p>
        </w:tc>
        <w:tc>
          <w:tcPr>
            <w:tcW w:type="dxa" w:w="1152"/>
            <w:shd w:val="clear" w:color="auto" w:fill="F4F6F8"/>
            <w:tcBorders>
              <w:top w:val="single" w:sz="4" w:color="BFBFBF"/>
              <w:left w:val="single" w:sz="4" w:color="BFBFBF"/>
              <w:bottom w:val="single" w:sz="4" w:color="BFBFBF"/>
              <w:right w:val="single" w:sz="4" w:color="BFBFBF"/>
            </w:tcBorders>
            <w:vAlign w:val="center"/>
          </w:tcPr>
          <w:p>
            <w:r/>
            <w:r>
              <w:rPr>
                <w:sz w:val="20"/>
              </w:rPr>
              <w:t>✗</w:t>
            </w:r>
          </w:p>
        </w:tc>
      </w:tr>
      <w:tr>
        <w:tc>
          <w:tcPr>
            <w:tcW w:type="dxa" w:w="3744"/>
            <w:tcBorders>
              <w:top w:val="single" w:sz="4" w:color="BFBFBF"/>
              <w:left w:val="single" w:sz="4" w:color="BFBFBF"/>
              <w:bottom w:val="single" w:sz="4" w:color="BFBFBF"/>
              <w:right w:val="single" w:sz="4" w:color="BFBFBF"/>
            </w:tcBorders>
            <w:vAlign w:val="center"/>
          </w:tcPr>
          <w:p>
            <w:r/>
            <w:r>
              <w:rPr>
                <w:sz w:val="20"/>
              </w:rPr>
              <w:t>E-Commerce Products (CRUD)</w:t>
            </w:r>
          </w:p>
        </w:tc>
        <w:tc>
          <w:tcPr>
            <w:tcW w:type="dxa" w:w="1440"/>
            <w:tcBorders>
              <w:top w:val="single" w:sz="4" w:color="BFBFBF"/>
              <w:left w:val="single" w:sz="4" w:color="BFBFBF"/>
              <w:bottom w:val="single" w:sz="4" w:color="BFBFBF"/>
              <w:right w:val="single" w:sz="4" w:color="BFBFBF"/>
            </w:tcBorders>
            <w:vAlign w:val="center"/>
          </w:tcPr>
          <w:p>
            <w:r/>
            <w:r>
              <w:rPr>
                <w:sz w:val="20"/>
              </w:rPr>
              <w:t>✓</w:t>
            </w:r>
          </w:p>
        </w:tc>
        <w:tc>
          <w:tcPr>
            <w:tcW w:type="dxa" w:w="1152"/>
            <w:tcBorders>
              <w:top w:val="single" w:sz="4" w:color="BFBFBF"/>
              <w:left w:val="single" w:sz="4" w:color="BFBFBF"/>
              <w:bottom w:val="single" w:sz="4" w:color="BFBFBF"/>
              <w:right w:val="single" w:sz="4" w:color="BFBFBF"/>
            </w:tcBorders>
            <w:vAlign w:val="center"/>
          </w:tcPr>
          <w:p>
            <w:r/>
            <w:r>
              <w:rPr>
                <w:sz w:val="20"/>
              </w:rPr>
              <w:t>✓</w:t>
            </w:r>
          </w:p>
        </w:tc>
        <w:tc>
          <w:tcPr>
            <w:tcW w:type="dxa" w:w="1152"/>
            <w:tcBorders>
              <w:top w:val="single" w:sz="4" w:color="BFBFBF"/>
              <w:left w:val="single" w:sz="4" w:color="BFBFBF"/>
              <w:bottom w:val="single" w:sz="4" w:color="BFBFBF"/>
              <w:right w:val="single" w:sz="4" w:color="BFBFBF"/>
            </w:tcBorders>
            <w:vAlign w:val="center"/>
          </w:tcPr>
          <w:p>
            <w:r/>
            <w:r>
              <w:rPr>
                <w:sz w:val="20"/>
              </w:rPr>
              <w:t>✓</w:t>
            </w:r>
          </w:p>
        </w:tc>
        <w:tc>
          <w:tcPr>
            <w:tcW w:type="dxa" w:w="2016"/>
            <w:tcBorders>
              <w:top w:val="single" w:sz="4" w:color="BFBFBF"/>
              <w:left w:val="single" w:sz="4" w:color="BFBFBF"/>
              <w:bottom w:val="single" w:sz="4" w:color="BFBFBF"/>
              <w:right w:val="single" w:sz="4" w:color="BFBFBF"/>
            </w:tcBorders>
            <w:vAlign w:val="center"/>
          </w:tcPr>
          <w:p>
            <w:r/>
            <w:r>
              <w:rPr>
                <w:sz w:val="20"/>
              </w:rPr>
              <w:t>✗</w:t>
            </w:r>
          </w:p>
        </w:tc>
        <w:tc>
          <w:tcPr>
            <w:tcW w:type="dxa" w:w="1152"/>
            <w:tcBorders>
              <w:top w:val="single" w:sz="4" w:color="BFBFBF"/>
              <w:left w:val="single" w:sz="4" w:color="BFBFBF"/>
              <w:bottom w:val="single" w:sz="4" w:color="BFBFBF"/>
              <w:right w:val="single" w:sz="4" w:color="BFBFBF"/>
            </w:tcBorders>
            <w:vAlign w:val="center"/>
          </w:tcPr>
          <w:p>
            <w:r/>
            <w:r>
              <w:rPr>
                <w:sz w:val="20"/>
              </w:rPr>
              <w:t>✗</w:t>
            </w:r>
          </w:p>
        </w:tc>
      </w:tr>
      <w:tr>
        <w:tc>
          <w:tcPr>
            <w:tcW w:type="dxa" w:w="3744"/>
            <w:shd w:val="clear" w:color="auto" w:fill="F4F6F8"/>
            <w:tcBorders>
              <w:top w:val="single" w:sz="4" w:color="BFBFBF"/>
              <w:left w:val="single" w:sz="4" w:color="BFBFBF"/>
              <w:bottom w:val="single" w:sz="4" w:color="BFBFBF"/>
              <w:right w:val="single" w:sz="4" w:color="BFBFBF"/>
            </w:tcBorders>
            <w:vAlign w:val="center"/>
          </w:tcPr>
          <w:p>
            <w:r/>
            <w:r>
              <w:rPr>
                <w:sz w:val="20"/>
              </w:rPr>
              <w:t>Orders — View All</w:t>
            </w:r>
          </w:p>
        </w:tc>
        <w:tc>
          <w:tcPr>
            <w:tcW w:type="dxa" w:w="1440"/>
            <w:shd w:val="clear" w:color="auto" w:fill="F4F6F8"/>
            <w:tcBorders>
              <w:top w:val="single" w:sz="4" w:color="BFBFBF"/>
              <w:left w:val="single" w:sz="4" w:color="BFBFBF"/>
              <w:bottom w:val="single" w:sz="4" w:color="BFBFBF"/>
              <w:right w:val="single" w:sz="4" w:color="BFBFBF"/>
            </w:tcBorders>
            <w:vAlign w:val="center"/>
          </w:tcPr>
          <w:p>
            <w:r/>
            <w:r>
              <w:rPr>
                <w:sz w:val="20"/>
              </w:rPr>
              <w:t>✓</w:t>
            </w:r>
          </w:p>
        </w:tc>
        <w:tc>
          <w:tcPr>
            <w:tcW w:type="dxa" w:w="1152"/>
            <w:shd w:val="clear" w:color="auto" w:fill="F4F6F8"/>
            <w:tcBorders>
              <w:top w:val="single" w:sz="4" w:color="BFBFBF"/>
              <w:left w:val="single" w:sz="4" w:color="BFBFBF"/>
              <w:bottom w:val="single" w:sz="4" w:color="BFBFBF"/>
              <w:right w:val="single" w:sz="4" w:color="BFBFBF"/>
            </w:tcBorders>
            <w:vAlign w:val="center"/>
          </w:tcPr>
          <w:p>
            <w:r/>
            <w:r>
              <w:rPr>
                <w:sz w:val="20"/>
              </w:rPr>
              <w:t>✓</w:t>
            </w:r>
          </w:p>
        </w:tc>
        <w:tc>
          <w:tcPr>
            <w:tcW w:type="dxa" w:w="1152"/>
            <w:shd w:val="clear" w:color="auto" w:fill="F4F6F8"/>
            <w:tcBorders>
              <w:top w:val="single" w:sz="4" w:color="BFBFBF"/>
              <w:left w:val="single" w:sz="4" w:color="BFBFBF"/>
              <w:bottom w:val="single" w:sz="4" w:color="BFBFBF"/>
              <w:right w:val="single" w:sz="4" w:color="BFBFBF"/>
            </w:tcBorders>
            <w:vAlign w:val="center"/>
          </w:tcPr>
          <w:p>
            <w:r/>
            <w:r>
              <w:rPr>
                <w:sz w:val="20"/>
              </w:rPr>
              <w:t>~</w:t>
            </w:r>
          </w:p>
        </w:tc>
        <w:tc>
          <w:tcPr>
            <w:tcW w:type="dxa" w:w="2016"/>
            <w:shd w:val="clear" w:color="auto" w:fill="F4F6F8"/>
            <w:tcBorders>
              <w:top w:val="single" w:sz="4" w:color="BFBFBF"/>
              <w:left w:val="single" w:sz="4" w:color="BFBFBF"/>
              <w:bottom w:val="single" w:sz="4" w:color="BFBFBF"/>
              <w:right w:val="single" w:sz="4" w:color="BFBFBF"/>
            </w:tcBorders>
            <w:vAlign w:val="center"/>
          </w:tcPr>
          <w:p>
            <w:r/>
            <w:r>
              <w:rPr>
                <w:sz w:val="20"/>
              </w:rPr>
              <w:t>R</w:t>
            </w:r>
          </w:p>
        </w:tc>
        <w:tc>
          <w:tcPr>
            <w:tcW w:type="dxa" w:w="1152"/>
            <w:shd w:val="clear" w:color="auto" w:fill="F4F6F8"/>
            <w:tcBorders>
              <w:top w:val="single" w:sz="4" w:color="BFBFBF"/>
              <w:left w:val="single" w:sz="4" w:color="BFBFBF"/>
              <w:bottom w:val="single" w:sz="4" w:color="BFBFBF"/>
              <w:right w:val="single" w:sz="4" w:color="BFBFBF"/>
            </w:tcBorders>
            <w:vAlign w:val="center"/>
          </w:tcPr>
          <w:p>
            <w:r/>
            <w:r>
              <w:rPr>
                <w:sz w:val="20"/>
              </w:rPr>
              <w:t>R</w:t>
            </w:r>
          </w:p>
        </w:tc>
      </w:tr>
      <w:tr>
        <w:tc>
          <w:tcPr>
            <w:tcW w:type="dxa" w:w="3744"/>
            <w:tcBorders>
              <w:top w:val="single" w:sz="4" w:color="BFBFBF"/>
              <w:left w:val="single" w:sz="4" w:color="BFBFBF"/>
              <w:bottom w:val="single" w:sz="4" w:color="BFBFBF"/>
              <w:right w:val="single" w:sz="4" w:color="BFBFBF"/>
            </w:tcBorders>
            <w:vAlign w:val="center"/>
          </w:tcPr>
          <w:p>
            <w:r/>
            <w:r>
              <w:rPr>
                <w:sz w:val="20"/>
              </w:rPr>
              <w:t>Orders — Update Status</w:t>
            </w:r>
          </w:p>
        </w:tc>
        <w:tc>
          <w:tcPr>
            <w:tcW w:type="dxa" w:w="1440"/>
            <w:tcBorders>
              <w:top w:val="single" w:sz="4" w:color="BFBFBF"/>
              <w:left w:val="single" w:sz="4" w:color="BFBFBF"/>
              <w:bottom w:val="single" w:sz="4" w:color="BFBFBF"/>
              <w:right w:val="single" w:sz="4" w:color="BFBFBF"/>
            </w:tcBorders>
            <w:vAlign w:val="center"/>
          </w:tcPr>
          <w:p>
            <w:r/>
            <w:r>
              <w:rPr>
                <w:sz w:val="20"/>
              </w:rPr>
              <w:t>✓</w:t>
            </w:r>
          </w:p>
        </w:tc>
        <w:tc>
          <w:tcPr>
            <w:tcW w:type="dxa" w:w="1152"/>
            <w:tcBorders>
              <w:top w:val="single" w:sz="4" w:color="BFBFBF"/>
              <w:left w:val="single" w:sz="4" w:color="BFBFBF"/>
              <w:bottom w:val="single" w:sz="4" w:color="BFBFBF"/>
              <w:right w:val="single" w:sz="4" w:color="BFBFBF"/>
            </w:tcBorders>
            <w:vAlign w:val="center"/>
          </w:tcPr>
          <w:p>
            <w:r/>
            <w:r>
              <w:rPr>
                <w:sz w:val="20"/>
              </w:rPr>
              <w:t>✓</w:t>
            </w:r>
          </w:p>
        </w:tc>
        <w:tc>
          <w:tcPr>
            <w:tcW w:type="dxa" w:w="1152"/>
            <w:tcBorders>
              <w:top w:val="single" w:sz="4" w:color="BFBFBF"/>
              <w:left w:val="single" w:sz="4" w:color="BFBFBF"/>
              <w:bottom w:val="single" w:sz="4" w:color="BFBFBF"/>
              <w:right w:val="single" w:sz="4" w:color="BFBFBF"/>
            </w:tcBorders>
            <w:vAlign w:val="center"/>
          </w:tcPr>
          <w:p>
            <w:r/>
            <w:r>
              <w:rPr>
                <w:sz w:val="20"/>
              </w:rPr>
              <w:t>~</w:t>
            </w:r>
          </w:p>
        </w:tc>
        <w:tc>
          <w:tcPr>
            <w:tcW w:type="dxa" w:w="2016"/>
            <w:tcBorders>
              <w:top w:val="single" w:sz="4" w:color="BFBFBF"/>
              <w:left w:val="single" w:sz="4" w:color="BFBFBF"/>
              <w:bottom w:val="single" w:sz="4" w:color="BFBFBF"/>
              <w:right w:val="single" w:sz="4" w:color="BFBFBF"/>
            </w:tcBorders>
            <w:vAlign w:val="center"/>
          </w:tcPr>
          <w:p>
            <w:r/>
            <w:r>
              <w:rPr>
                <w:sz w:val="20"/>
              </w:rPr>
              <w:t>✗</w:t>
            </w:r>
          </w:p>
        </w:tc>
        <w:tc>
          <w:tcPr>
            <w:tcW w:type="dxa" w:w="1152"/>
            <w:tcBorders>
              <w:top w:val="single" w:sz="4" w:color="BFBFBF"/>
              <w:left w:val="single" w:sz="4" w:color="BFBFBF"/>
              <w:bottom w:val="single" w:sz="4" w:color="BFBFBF"/>
              <w:right w:val="single" w:sz="4" w:color="BFBFBF"/>
            </w:tcBorders>
            <w:vAlign w:val="center"/>
          </w:tcPr>
          <w:p>
            <w:r/>
            <w:r>
              <w:rPr>
                <w:sz w:val="20"/>
              </w:rPr>
              <w:t>✗</w:t>
            </w:r>
          </w:p>
        </w:tc>
      </w:tr>
      <w:tr>
        <w:tc>
          <w:tcPr>
            <w:tcW w:type="dxa" w:w="3744"/>
            <w:shd w:val="clear" w:color="auto" w:fill="F4F6F8"/>
            <w:tcBorders>
              <w:top w:val="single" w:sz="4" w:color="BFBFBF"/>
              <w:left w:val="single" w:sz="4" w:color="BFBFBF"/>
              <w:bottom w:val="single" w:sz="4" w:color="BFBFBF"/>
              <w:right w:val="single" w:sz="4" w:color="BFBFBF"/>
            </w:tcBorders>
            <w:vAlign w:val="center"/>
          </w:tcPr>
          <w:p>
            <w:r/>
            <w:r>
              <w:rPr>
                <w:sz w:val="20"/>
              </w:rPr>
              <w:t>Orders — Cancel / Refund</w:t>
            </w:r>
          </w:p>
        </w:tc>
        <w:tc>
          <w:tcPr>
            <w:tcW w:type="dxa" w:w="1440"/>
            <w:shd w:val="clear" w:color="auto" w:fill="F4F6F8"/>
            <w:tcBorders>
              <w:top w:val="single" w:sz="4" w:color="BFBFBF"/>
              <w:left w:val="single" w:sz="4" w:color="BFBFBF"/>
              <w:bottom w:val="single" w:sz="4" w:color="BFBFBF"/>
              <w:right w:val="single" w:sz="4" w:color="BFBFBF"/>
            </w:tcBorders>
            <w:vAlign w:val="center"/>
          </w:tcPr>
          <w:p>
            <w:r/>
            <w:r>
              <w:rPr>
                <w:sz w:val="20"/>
              </w:rPr>
              <w:t>✓</w:t>
            </w:r>
          </w:p>
        </w:tc>
        <w:tc>
          <w:tcPr>
            <w:tcW w:type="dxa" w:w="1152"/>
            <w:shd w:val="clear" w:color="auto" w:fill="F4F6F8"/>
            <w:tcBorders>
              <w:top w:val="single" w:sz="4" w:color="BFBFBF"/>
              <w:left w:val="single" w:sz="4" w:color="BFBFBF"/>
              <w:bottom w:val="single" w:sz="4" w:color="BFBFBF"/>
              <w:right w:val="single" w:sz="4" w:color="BFBFBF"/>
            </w:tcBorders>
            <w:vAlign w:val="center"/>
          </w:tcPr>
          <w:p>
            <w:r/>
            <w:r>
              <w:rPr>
                <w:sz w:val="20"/>
              </w:rPr>
              <w:t>✓</w:t>
            </w:r>
          </w:p>
        </w:tc>
        <w:tc>
          <w:tcPr>
            <w:tcW w:type="dxa" w:w="1152"/>
            <w:shd w:val="clear" w:color="auto" w:fill="F4F6F8"/>
            <w:tcBorders>
              <w:top w:val="single" w:sz="4" w:color="BFBFBF"/>
              <w:left w:val="single" w:sz="4" w:color="BFBFBF"/>
              <w:bottom w:val="single" w:sz="4" w:color="BFBFBF"/>
              <w:right w:val="single" w:sz="4" w:color="BFBFBF"/>
            </w:tcBorders>
            <w:vAlign w:val="center"/>
          </w:tcPr>
          <w:p>
            <w:r/>
            <w:r>
              <w:rPr>
                <w:sz w:val="20"/>
              </w:rPr>
              <w:t>✗</w:t>
            </w:r>
          </w:p>
        </w:tc>
        <w:tc>
          <w:tcPr>
            <w:tcW w:type="dxa" w:w="2016"/>
            <w:shd w:val="clear" w:color="auto" w:fill="F4F6F8"/>
            <w:tcBorders>
              <w:top w:val="single" w:sz="4" w:color="BFBFBF"/>
              <w:left w:val="single" w:sz="4" w:color="BFBFBF"/>
              <w:bottom w:val="single" w:sz="4" w:color="BFBFBF"/>
              <w:right w:val="single" w:sz="4" w:color="BFBFBF"/>
            </w:tcBorders>
            <w:vAlign w:val="center"/>
          </w:tcPr>
          <w:p>
            <w:r/>
            <w:r>
              <w:rPr>
                <w:sz w:val="20"/>
              </w:rPr>
              <w:t>✗</w:t>
            </w:r>
          </w:p>
        </w:tc>
        <w:tc>
          <w:tcPr>
            <w:tcW w:type="dxa" w:w="1152"/>
            <w:shd w:val="clear" w:color="auto" w:fill="F4F6F8"/>
            <w:tcBorders>
              <w:top w:val="single" w:sz="4" w:color="BFBFBF"/>
              <w:left w:val="single" w:sz="4" w:color="BFBFBF"/>
              <w:bottom w:val="single" w:sz="4" w:color="BFBFBF"/>
              <w:right w:val="single" w:sz="4" w:color="BFBFBF"/>
            </w:tcBorders>
            <w:vAlign w:val="center"/>
          </w:tcPr>
          <w:p>
            <w:r/>
            <w:r>
              <w:rPr>
                <w:sz w:val="20"/>
              </w:rPr>
              <w:t>✗</w:t>
            </w:r>
          </w:p>
        </w:tc>
      </w:tr>
      <w:tr>
        <w:tc>
          <w:tcPr>
            <w:tcW w:type="dxa" w:w="3744"/>
            <w:tcBorders>
              <w:top w:val="single" w:sz="4" w:color="BFBFBF"/>
              <w:left w:val="single" w:sz="4" w:color="BFBFBF"/>
              <w:bottom w:val="single" w:sz="4" w:color="BFBFBF"/>
              <w:right w:val="single" w:sz="4" w:color="BFBFBF"/>
            </w:tcBorders>
            <w:vAlign w:val="center"/>
          </w:tcPr>
          <w:p>
            <w:r/>
            <w:r>
              <w:rPr>
                <w:sz w:val="20"/>
              </w:rPr>
              <w:t>Inventory — Adjust Stock</w:t>
            </w:r>
          </w:p>
        </w:tc>
        <w:tc>
          <w:tcPr>
            <w:tcW w:type="dxa" w:w="1440"/>
            <w:tcBorders>
              <w:top w:val="single" w:sz="4" w:color="BFBFBF"/>
              <w:left w:val="single" w:sz="4" w:color="BFBFBF"/>
              <w:bottom w:val="single" w:sz="4" w:color="BFBFBF"/>
              <w:right w:val="single" w:sz="4" w:color="BFBFBF"/>
            </w:tcBorders>
            <w:vAlign w:val="center"/>
          </w:tcPr>
          <w:p>
            <w:r/>
            <w:r>
              <w:rPr>
                <w:sz w:val="20"/>
              </w:rPr>
              <w:t>✓</w:t>
            </w:r>
          </w:p>
        </w:tc>
        <w:tc>
          <w:tcPr>
            <w:tcW w:type="dxa" w:w="1152"/>
            <w:tcBorders>
              <w:top w:val="single" w:sz="4" w:color="BFBFBF"/>
              <w:left w:val="single" w:sz="4" w:color="BFBFBF"/>
              <w:bottom w:val="single" w:sz="4" w:color="BFBFBF"/>
              <w:right w:val="single" w:sz="4" w:color="BFBFBF"/>
            </w:tcBorders>
            <w:vAlign w:val="center"/>
          </w:tcPr>
          <w:p>
            <w:r/>
            <w:r>
              <w:rPr>
                <w:sz w:val="20"/>
              </w:rPr>
              <w:t>✓</w:t>
            </w:r>
          </w:p>
        </w:tc>
        <w:tc>
          <w:tcPr>
            <w:tcW w:type="dxa" w:w="1152"/>
            <w:tcBorders>
              <w:top w:val="single" w:sz="4" w:color="BFBFBF"/>
              <w:left w:val="single" w:sz="4" w:color="BFBFBF"/>
              <w:bottom w:val="single" w:sz="4" w:color="BFBFBF"/>
              <w:right w:val="single" w:sz="4" w:color="BFBFBF"/>
            </w:tcBorders>
            <w:vAlign w:val="center"/>
          </w:tcPr>
          <w:p>
            <w:r/>
            <w:r>
              <w:rPr>
                <w:sz w:val="20"/>
              </w:rPr>
              <w:t>✗</w:t>
            </w:r>
          </w:p>
        </w:tc>
        <w:tc>
          <w:tcPr>
            <w:tcW w:type="dxa" w:w="2016"/>
            <w:tcBorders>
              <w:top w:val="single" w:sz="4" w:color="BFBFBF"/>
              <w:left w:val="single" w:sz="4" w:color="BFBFBF"/>
              <w:bottom w:val="single" w:sz="4" w:color="BFBFBF"/>
              <w:right w:val="single" w:sz="4" w:color="BFBFBF"/>
            </w:tcBorders>
            <w:vAlign w:val="center"/>
          </w:tcPr>
          <w:p>
            <w:r/>
            <w:r>
              <w:rPr>
                <w:sz w:val="20"/>
              </w:rPr>
              <w:t>✗</w:t>
            </w:r>
          </w:p>
        </w:tc>
        <w:tc>
          <w:tcPr>
            <w:tcW w:type="dxa" w:w="1152"/>
            <w:tcBorders>
              <w:top w:val="single" w:sz="4" w:color="BFBFBF"/>
              <w:left w:val="single" w:sz="4" w:color="BFBFBF"/>
              <w:bottom w:val="single" w:sz="4" w:color="BFBFBF"/>
              <w:right w:val="single" w:sz="4" w:color="BFBFBF"/>
            </w:tcBorders>
            <w:vAlign w:val="center"/>
          </w:tcPr>
          <w:p>
            <w:r/>
            <w:r>
              <w:rPr>
                <w:sz w:val="20"/>
              </w:rPr>
              <w:t>✗</w:t>
            </w:r>
          </w:p>
        </w:tc>
      </w:tr>
      <w:tr>
        <w:tc>
          <w:tcPr>
            <w:tcW w:type="dxa" w:w="3744"/>
            <w:shd w:val="clear" w:color="auto" w:fill="F4F6F8"/>
            <w:tcBorders>
              <w:top w:val="single" w:sz="4" w:color="BFBFBF"/>
              <w:left w:val="single" w:sz="4" w:color="BFBFBF"/>
              <w:bottom w:val="single" w:sz="4" w:color="BFBFBF"/>
              <w:right w:val="single" w:sz="4" w:color="BFBFBF"/>
            </w:tcBorders>
            <w:vAlign w:val="center"/>
          </w:tcPr>
          <w:p>
            <w:r/>
            <w:r>
              <w:rPr>
                <w:sz w:val="20"/>
              </w:rPr>
              <w:t>Inventory — View Reports</w:t>
            </w:r>
          </w:p>
        </w:tc>
        <w:tc>
          <w:tcPr>
            <w:tcW w:type="dxa" w:w="1440"/>
            <w:shd w:val="clear" w:color="auto" w:fill="F4F6F8"/>
            <w:tcBorders>
              <w:top w:val="single" w:sz="4" w:color="BFBFBF"/>
              <w:left w:val="single" w:sz="4" w:color="BFBFBF"/>
              <w:bottom w:val="single" w:sz="4" w:color="BFBFBF"/>
              <w:right w:val="single" w:sz="4" w:color="BFBFBF"/>
            </w:tcBorders>
            <w:vAlign w:val="center"/>
          </w:tcPr>
          <w:p>
            <w:r/>
            <w:r>
              <w:rPr>
                <w:sz w:val="20"/>
              </w:rPr>
              <w:t>✓</w:t>
            </w:r>
          </w:p>
        </w:tc>
        <w:tc>
          <w:tcPr>
            <w:tcW w:type="dxa" w:w="1152"/>
            <w:shd w:val="clear" w:color="auto" w:fill="F4F6F8"/>
            <w:tcBorders>
              <w:top w:val="single" w:sz="4" w:color="BFBFBF"/>
              <w:left w:val="single" w:sz="4" w:color="BFBFBF"/>
              <w:bottom w:val="single" w:sz="4" w:color="BFBFBF"/>
              <w:right w:val="single" w:sz="4" w:color="BFBFBF"/>
            </w:tcBorders>
            <w:vAlign w:val="center"/>
          </w:tcPr>
          <w:p>
            <w:r/>
            <w:r>
              <w:rPr>
                <w:sz w:val="20"/>
              </w:rPr>
              <w:t>✓</w:t>
            </w:r>
          </w:p>
        </w:tc>
        <w:tc>
          <w:tcPr>
            <w:tcW w:type="dxa" w:w="1152"/>
            <w:shd w:val="clear" w:color="auto" w:fill="F4F6F8"/>
            <w:tcBorders>
              <w:top w:val="single" w:sz="4" w:color="BFBFBF"/>
              <w:left w:val="single" w:sz="4" w:color="BFBFBF"/>
              <w:bottom w:val="single" w:sz="4" w:color="BFBFBF"/>
              <w:right w:val="single" w:sz="4" w:color="BFBFBF"/>
            </w:tcBorders>
            <w:vAlign w:val="center"/>
          </w:tcPr>
          <w:p>
            <w:r/>
            <w:r>
              <w:rPr>
                <w:sz w:val="20"/>
              </w:rPr>
              <w:t>R</w:t>
            </w:r>
          </w:p>
        </w:tc>
        <w:tc>
          <w:tcPr>
            <w:tcW w:type="dxa" w:w="2016"/>
            <w:shd w:val="clear" w:color="auto" w:fill="F4F6F8"/>
            <w:tcBorders>
              <w:top w:val="single" w:sz="4" w:color="BFBFBF"/>
              <w:left w:val="single" w:sz="4" w:color="BFBFBF"/>
              <w:bottom w:val="single" w:sz="4" w:color="BFBFBF"/>
              <w:right w:val="single" w:sz="4" w:color="BFBFBF"/>
            </w:tcBorders>
            <w:vAlign w:val="center"/>
          </w:tcPr>
          <w:p>
            <w:r/>
            <w:r>
              <w:rPr>
                <w:sz w:val="20"/>
              </w:rPr>
              <w:t>✓</w:t>
            </w:r>
          </w:p>
        </w:tc>
        <w:tc>
          <w:tcPr>
            <w:tcW w:type="dxa" w:w="1152"/>
            <w:shd w:val="clear" w:color="auto" w:fill="F4F6F8"/>
            <w:tcBorders>
              <w:top w:val="single" w:sz="4" w:color="BFBFBF"/>
              <w:left w:val="single" w:sz="4" w:color="BFBFBF"/>
              <w:bottom w:val="single" w:sz="4" w:color="BFBFBF"/>
              <w:right w:val="single" w:sz="4" w:color="BFBFBF"/>
            </w:tcBorders>
            <w:vAlign w:val="center"/>
          </w:tcPr>
          <w:p>
            <w:r/>
            <w:r>
              <w:rPr>
                <w:sz w:val="20"/>
              </w:rPr>
              <w:t>R</w:t>
            </w:r>
          </w:p>
        </w:tc>
      </w:tr>
      <w:tr>
        <w:tc>
          <w:tcPr>
            <w:tcW w:type="dxa" w:w="3744"/>
            <w:tcBorders>
              <w:top w:val="single" w:sz="4" w:color="BFBFBF"/>
              <w:left w:val="single" w:sz="4" w:color="BFBFBF"/>
              <w:bottom w:val="single" w:sz="4" w:color="BFBFBF"/>
              <w:right w:val="single" w:sz="4" w:color="BFBFBF"/>
            </w:tcBorders>
            <w:vAlign w:val="center"/>
          </w:tcPr>
          <w:p>
            <w:r/>
            <w:r>
              <w:rPr>
                <w:sz w:val="20"/>
              </w:rPr>
              <w:t>View Financial Reports</w:t>
            </w:r>
          </w:p>
        </w:tc>
        <w:tc>
          <w:tcPr>
            <w:tcW w:type="dxa" w:w="1440"/>
            <w:tcBorders>
              <w:top w:val="single" w:sz="4" w:color="BFBFBF"/>
              <w:left w:val="single" w:sz="4" w:color="BFBFBF"/>
              <w:bottom w:val="single" w:sz="4" w:color="BFBFBF"/>
              <w:right w:val="single" w:sz="4" w:color="BFBFBF"/>
            </w:tcBorders>
            <w:vAlign w:val="center"/>
          </w:tcPr>
          <w:p>
            <w:r/>
            <w:r>
              <w:rPr>
                <w:sz w:val="20"/>
              </w:rPr>
              <w:t>✓</w:t>
            </w:r>
          </w:p>
        </w:tc>
        <w:tc>
          <w:tcPr>
            <w:tcW w:type="dxa" w:w="1152"/>
            <w:tcBorders>
              <w:top w:val="single" w:sz="4" w:color="BFBFBF"/>
              <w:left w:val="single" w:sz="4" w:color="BFBFBF"/>
              <w:bottom w:val="single" w:sz="4" w:color="BFBFBF"/>
              <w:right w:val="single" w:sz="4" w:color="BFBFBF"/>
            </w:tcBorders>
            <w:vAlign w:val="center"/>
          </w:tcPr>
          <w:p>
            <w:r/>
            <w:r>
              <w:rPr>
                <w:sz w:val="20"/>
              </w:rPr>
              <w:t>✓</w:t>
            </w:r>
          </w:p>
        </w:tc>
        <w:tc>
          <w:tcPr>
            <w:tcW w:type="dxa" w:w="1152"/>
            <w:tcBorders>
              <w:top w:val="single" w:sz="4" w:color="BFBFBF"/>
              <w:left w:val="single" w:sz="4" w:color="BFBFBF"/>
              <w:bottom w:val="single" w:sz="4" w:color="BFBFBF"/>
              <w:right w:val="single" w:sz="4" w:color="BFBFBF"/>
            </w:tcBorders>
            <w:vAlign w:val="center"/>
          </w:tcPr>
          <w:p>
            <w:r/>
            <w:r>
              <w:rPr>
                <w:sz w:val="20"/>
              </w:rPr>
              <w:t>✗</w:t>
            </w:r>
          </w:p>
        </w:tc>
        <w:tc>
          <w:tcPr>
            <w:tcW w:type="dxa" w:w="2016"/>
            <w:tcBorders>
              <w:top w:val="single" w:sz="4" w:color="BFBFBF"/>
              <w:left w:val="single" w:sz="4" w:color="BFBFBF"/>
              <w:bottom w:val="single" w:sz="4" w:color="BFBFBF"/>
              <w:right w:val="single" w:sz="4" w:color="BFBFBF"/>
            </w:tcBorders>
            <w:vAlign w:val="center"/>
          </w:tcPr>
          <w:p>
            <w:r/>
            <w:r>
              <w:rPr>
                <w:sz w:val="20"/>
              </w:rPr>
              <w:t>✓</w:t>
            </w:r>
          </w:p>
        </w:tc>
        <w:tc>
          <w:tcPr>
            <w:tcW w:type="dxa" w:w="1152"/>
            <w:tcBorders>
              <w:top w:val="single" w:sz="4" w:color="BFBFBF"/>
              <w:left w:val="single" w:sz="4" w:color="BFBFBF"/>
              <w:bottom w:val="single" w:sz="4" w:color="BFBFBF"/>
              <w:right w:val="single" w:sz="4" w:color="BFBFBF"/>
            </w:tcBorders>
            <w:vAlign w:val="center"/>
          </w:tcPr>
          <w:p>
            <w:r/>
            <w:r>
              <w:rPr>
                <w:sz w:val="20"/>
              </w:rPr>
              <w:t>✗</w:t>
            </w:r>
          </w:p>
        </w:tc>
      </w:tr>
      <w:tr>
        <w:tc>
          <w:tcPr>
            <w:tcW w:type="dxa" w:w="3744"/>
            <w:shd w:val="clear" w:color="auto" w:fill="F4F6F8"/>
            <w:tcBorders>
              <w:top w:val="single" w:sz="4" w:color="BFBFBF"/>
              <w:left w:val="single" w:sz="4" w:color="BFBFBF"/>
              <w:bottom w:val="single" w:sz="4" w:color="BFBFBF"/>
              <w:right w:val="single" w:sz="4" w:color="BFBFBF"/>
            </w:tcBorders>
            <w:vAlign w:val="center"/>
          </w:tcPr>
          <w:p>
            <w:r/>
            <w:r>
              <w:rPr>
                <w:sz w:val="20"/>
              </w:rPr>
              <w:t>Premium Accounting Module</w:t>
            </w:r>
          </w:p>
        </w:tc>
        <w:tc>
          <w:tcPr>
            <w:tcW w:type="dxa" w:w="1440"/>
            <w:shd w:val="clear" w:color="auto" w:fill="F4F6F8"/>
            <w:tcBorders>
              <w:top w:val="single" w:sz="4" w:color="BFBFBF"/>
              <w:left w:val="single" w:sz="4" w:color="BFBFBF"/>
              <w:bottom w:val="single" w:sz="4" w:color="BFBFBF"/>
              <w:right w:val="single" w:sz="4" w:color="BFBFBF"/>
            </w:tcBorders>
            <w:vAlign w:val="center"/>
          </w:tcPr>
          <w:p>
            <w:r/>
            <w:r>
              <w:rPr>
                <w:sz w:val="20"/>
              </w:rPr>
              <w:t>✓</w:t>
            </w:r>
          </w:p>
        </w:tc>
        <w:tc>
          <w:tcPr>
            <w:tcW w:type="dxa" w:w="1152"/>
            <w:shd w:val="clear" w:color="auto" w:fill="F4F6F8"/>
            <w:tcBorders>
              <w:top w:val="single" w:sz="4" w:color="BFBFBF"/>
              <w:left w:val="single" w:sz="4" w:color="BFBFBF"/>
              <w:bottom w:val="single" w:sz="4" w:color="BFBFBF"/>
              <w:right w:val="single" w:sz="4" w:color="BFBFBF"/>
            </w:tcBorders>
            <w:vAlign w:val="center"/>
          </w:tcPr>
          <w:p>
            <w:r/>
            <w:r>
              <w:rPr>
                <w:sz w:val="20"/>
              </w:rPr>
              <w:t>✓</w:t>
            </w:r>
          </w:p>
        </w:tc>
        <w:tc>
          <w:tcPr>
            <w:tcW w:type="dxa" w:w="1152"/>
            <w:shd w:val="clear" w:color="auto" w:fill="F4F6F8"/>
            <w:tcBorders>
              <w:top w:val="single" w:sz="4" w:color="BFBFBF"/>
              <w:left w:val="single" w:sz="4" w:color="BFBFBF"/>
              <w:bottom w:val="single" w:sz="4" w:color="BFBFBF"/>
              <w:right w:val="single" w:sz="4" w:color="BFBFBF"/>
            </w:tcBorders>
            <w:vAlign w:val="center"/>
          </w:tcPr>
          <w:p>
            <w:r/>
            <w:r>
              <w:rPr>
                <w:sz w:val="20"/>
              </w:rPr>
              <w:t>✗</w:t>
            </w:r>
          </w:p>
        </w:tc>
        <w:tc>
          <w:tcPr>
            <w:tcW w:type="dxa" w:w="2016"/>
            <w:shd w:val="clear" w:color="auto" w:fill="F4F6F8"/>
            <w:tcBorders>
              <w:top w:val="single" w:sz="4" w:color="BFBFBF"/>
              <w:left w:val="single" w:sz="4" w:color="BFBFBF"/>
              <w:bottom w:val="single" w:sz="4" w:color="BFBFBF"/>
              <w:right w:val="single" w:sz="4" w:color="BFBFBF"/>
            </w:tcBorders>
            <w:vAlign w:val="center"/>
          </w:tcPr>
          <w:p>
            <w:r/>
            <w:r>
              <w:rPr>
                <w:sz w:val="20"/>
              </w:rPr>
              <w:t>✓ (if subscribed)</w:t>
            </w:r>
          </w:p>
        </w:tc>
        <w:tc>
          <w:tcPr>
            <w:tcW w:type="dxa" w:w="1152"/>
            <w:shd w:val="clear" w:color="auto" w:fill="F4F6F8"/>
            <w:tcBorders>
              <w:top w:val="single" w:sz="4" w:color="BFBFBF"/>
              <w:left w:val="single" w:sz="4" w:color="BFBFBF"/>
              <w:bottom w:val="single" w:sz="4" w:color="BFBFBF"/>
              <w:right w:val="single" w:sz="4" w:color="BFBFBF"/>
            </w:tcBorders>
            <w:vAlign w:val="center"/>
          </w:tcPr>
          <w:p>
            <w:r/>
            <w:r>
              <w:rPr>
                <w:sz w:val="20"/>
              </w:rPr>
              <w:t>✗</w:t>
            </w:r>
          </w:p>
        </w:tc>
      </w:tr>
      <w:tr>
        <w:tc>
          <w:tcPr>
            <w:tcW w:type="dxa" w:w="3744"/>
            <w:tcBorders>
              <w:top w:val="single" w:sz="4" w:color="BFBFBF"/>
              <w:left w:val="single" w:sz="4" w:color="BFBFBF"/>
              <w:bottom w:val="single" w:sz="4" w:color="BFBFBF"/>
              <w:right w:val="single" w:sz="4" w:color="BFBFBF"/>
            </w:tcBorders>
            <w:vAlign w:val="center"/>
          </w:tcPr>
          <w:p>
            <w:r/>
            <w:r>
              <w:rPr>
                <w:sz w:val="20"/>
              </w:rPr>
              <w:t>Tax Module</w:t>
            </w:r>
          </w:p>
        </w:tc>
        <w:tc>
          <w:tcPr>
            <w:tcW w:type="dxa" w:w="1440"/>
            <w:tcBorders>
              <w:top w:val="single" w:sz="4" w:color="BFBFBF"/>
              <w:left w:val="single" w:sz="4" w:color="BFBFBF"/>
              <w:bottom w:val="single" w:sz="4" w:color="BFBFBF"/>
              <w:right w:val="single" w:sz="4" w:color="BFBFBF"/>
            </w:tcBorders>
            <w:vAlign w:val="center"/>
          </w:tcPr>
          <w:p>
            <w:r/>
            <w:r>
              <w:rPr>
                <w:sz w:val="20"/>
              </w:rPr>
              <w:t>✓</w:t>
            </w:r>
          </w:p>
        </w:tc>
        <w:tc>
          <w:tcPr>
            <w:tcW w:type="dxa" w:w="1152"/>
            <w:tcBorders>
              <w:top w:val="single" w:sz="4" w:color="BFBFBF"/>
              <w:left w:val="single" w:sz="4" w:color="BFBFBF"/>
              <w:bottom w:val="single" w:sz="4" w:color="BFBFBF"/>
              <w:right w:val="single" w:sz="4" w:color="BFBFBF"/>
            </w:tcBorders>
            <w:vAlign w:val="center"/>
          </w:tcPr>
          <w:p>
            <w:r/>
            <w:r>
              <w:rPr>
                <w:sz w:val="20"/>
              </w:rPr>
              <w:t>✓</w:t>
            </w:r>
          </w:p>
        </w:tc>
        <w:tc>
          <w:tcPr>
            <w:tcW w:type="dxa" w:w="1152"/>
            <w:tcBorders>
              <w:top w:val="single" w:sz="4" w:color="BFBFBF"/>
              <w:left w:val="single" w:sz="4" w:color="BFBFBF"/>
              <w:bottom w:val="single" w:sz="4" w:color="BFBFBF"/>
              <w:right w:val="single" w:sz="4" w:color="BFBFBF"/>
            </w:tcBorders>
            <w:vAlign w:val="center"/>
          </w:tcPr>
          <w:p>
            <w:r/>
            <w:r>
              <w:rPr>
                <w:sz w:val="20"/>
              </w:rPr>
              <w:t>✗</w:t>
            </w:r>
          </w:p>
        </w:tc>
        <w:tc>
          <w:tcPr>
            <w:tcW w:type="dxa" w:w="2016"/>
            <w:tcBorders>
              <w:top w:val="single" w:sz="4" w:color="BFBFBF"/>
              <w:left w:val="single" w:sz="4" w:color="BFBFBF"/>
              <w:bottom w:val="single" w:sz="4" w:color="BFBFBF"/>
              <w:right w:val="single" w:sz="4" w:color="BFBFBF"/>
            </w:tcBorders>
            <w:vAlign w:val="center"/>
          </w:tcPr>
          <w:p>
            <w:r/>
            <w:r>
              <w:rPr>
                <w:sz w:val="20"/>
              </w:rPr>
              <w:t>✓ (if subscribed)</w:t>
            </w:r>
          </w:p>
        </w:tc>
        <w:tc>
          <w:tcPr>
            <w:tcW w:type="dxa" w:w="1152"/>
            <w:tcBorders>
              <w:top w:val="single" w:sz="4" w:color="BFBFBF"/>
              <w:left w:val="single" w:sz="4" w:color="BFBFBF"/>
              <w:bottom w:val="single" w:sz="4" w:color="BFBFBF"/>
              <w:right w:val="single" w:sz="4" w:color="BFBFBF"/>
            </w:tcBorders>
            <w:vAlign w:val="center"/>
          </w:tcPr>
          <w:p>
            <w:r/>
            <w:r>
              <w:rPr>
                <w:sz w:val="20"/>
              </w:rPr>
              <w:t>✗</w:t>
            </w:r>
          </w:p>
        </w:tc>
      </w:tr>
      <w:tr>
        <w:tc>
          <w:tcPr>
            <w:tcW w:type="dxa" w:w="3744"/>
            <w:shd w:val="clear" w:color="auto" w:fill="F4F6F8"/>
            <w:tcBorders>
              <w:top w:val="single" w:sz="4" w:color="BFBFBF"/>
              <w:left w:val="single" w:sz="4" w:color="BFBFBF"/>
              <w:bottom w:val="single" w:sz="4" w:color="BFBFBF"/>
              <w:right w:val="single" w:sz="4" w:color="BFBFBF"/>
            </w:tcBorders>
            <w:vAlign w:val="center"/>
          </w:tcPr>
          <w:p>
            <w:r/>
            <w:r>
              <w:rPr>
                <w:sz w:val="20"/>
              </w:rPr>
              <w:t>Audit Logs</w:t>
            </w:r>
          </w:p>
        </w:tc>
        <w:tc>
          <w:tcPr>
            <w:tcW w:type="dxa" w:w="1440"/>
            <w:shd w:val="clear" w:color="auto" w:fill="F4F6F8"/>
            <w:tcBorders>
              <w:top w:val="single" w:sz="4" w:color="BFBFBF"/>
              <w:left w:val="single" w:sz="4" w:color="BFBFBF"/>
              <w:bottom w:val="single" w:sz="4" w:color="BFBFBF"/>
              <w:right w:val="single" w:sz="4" w:color="BFBFBF"/>
            </w:tcBorders>
            <w:vAlign w:val="center"/>
          </w:tcPr>
          <w:p>
            <w:r/>
            <w:r>
              <w:rPr>
                <w:sz w:val="20"/>
              </w:rPr>
              <w:t>✓</w:t>
            </w:r>
          </w:p>
        </w:tc>
        <w:tc>
          <w:tcPr>
            <w:tcW w:type="dxa" w:w="1152"/>
            <w:shd w:val="clear" w:color="auto" w:fill="F4F6F8"/>
            <w:tcBorders>
              <w:top w:val="single" w:sz="4" w:color="BFBFBF"/>
              <w:left w:val="single" w:sz="4" w:color="BFBFBF"/>
              <w:bottom w:val="single" w:sz="4" w:color="BFBFBF"/>
              <w:right w:val="single" w:sz="4" w:color="BFBFBF"/>
            </w:tcBorders>
            <w:vAlign w:val="center"/>
          </w:tcPr>
          <w:p>
            <w:r/>
            <w:r>
              <w:rPr>
                <w:sz w:val="20"/>
              </w:rPr>
              <w:t>✓</w:t>
            </w:r>
          </w:p>
        </w:tc>
        <w:tc>
          <w:tcPr>
            <w:tcW w:type="dxa" w:w="1152"/>
            <w:shd w:val="clear" w:color="auto" w:fill="F4F6F8"/>
            <w:tcBorders>
              <w:top w:val="single" w:sz="4" w:color="BFBFBF"/>
              <w:left w:val="single" w:sz="4" w:color="BFBFBF"/>
              <w:bottom w:val="single" w:sz="4" w:color="BFBFBF"/>
              <w:right w:val="single" w:sz="4" w:color="BFBFBF"/>
            </w:tcBorders>
            <w:vAlign w:val="center"/>
          </w:tcPr>
          <w:p>
            <w:r/>
            <w:r>
              <w:rPr>
                <w:sz w:val="20"/>
              </w:rPr>
              <w:t>✗</w:t>
            </w:r>
          </w:p>
        </w:tc>
        <w:tc>
          <w:tcPr>
            <w:tcW w:type="dxa" w:w="2016"/>
            <w:shd w:val="clear" w:color="auto" w:fill="F4F6F8"/>
            <w:tcBorders>
              <w:top w:val="single" w:sz="4" w:color="BFBFBF"/>
              <w:left w:val="single" w:sz="4" w:color="BFBFBF"/>
              <w:bottom w:val="single" w:sz="4" w:color="BFBFBF"/>
              <w:right w:val="single" w:sz="4" w:color="BFBFBF"/>
            </w:tcBorders>
            <w:vAlign w:val="center"/>
          </w:tcPr>
          <w:p>
            <w:r/>
            <w:r>
              <w:rPr>
                <w:sz w:val="20"/>
              </w:rPr>
              <w:t>R</w:t>
            </w:r>
          </w:p>
        </w:tc>
        <w:tc>
          <w:tcPr>
            <w:tcW w:type="dxa" w:w="1152"/>
            <w:shd w:val="clear" w:color="auto" w:fill="F4F6F8"/>
            <w:tcBorders>
              <w:top w:val="single" w:sz="4" w:color="BFBFBF"/>
              <w:left w:val="single" w:sz="4" w:color="BFBFBF"/>
              <w:bottom w:val="single" w:sz="4" w:color="BFBFBF"/>
              <w:right w:val="single" w:sz="4" w:color="BFBFBF"/>
            </w:tcBorders>
            <w:vAlign w:val="center"/>
          </w:tcPr>
          <w:p>
            <w:r/>
            <w:r>
              <w:rPr>
                <w:sz w:val="20"/>
              </w:rPr>
              <w:t>✗</w:t>
            </w:r>
          </w:p>
        </w:tc>
      </w:tr>
      <w:tr>
        <w:tc>
          <w:tcPr>
            <w:tcW w:type="dxa" w:w="3744"/>
            <w:tcBorders>
              <w:top w:val="single" w:sz="4" w:color="BFBFBF"/>
              <w:left w:val="single" w:sz="4" w:color="BFBFBF"/>
              <w:bottom w:val="single" w:sz="4" w:color="BFBFBF"/>
              <w:right w:val="single" w:sz="4" w:color="BFBFBF"/>
            </w:tcBorders>
            <w:vAlign w:val="center"/>
          </w:tcPr>
          <w:p>
            <w:r/>
            <w:r>
              <w:rPr>
                <w:sz w:val="20"/>
              </w:rPr>
              <w:t>Subscription / Billing Admin</w:t>
            </w:r>
          </w:p>
        </w:tc>
        <w:tc>
          <w:tcPr>
            <w:tcW w:type="dxa" w:w="1440"/>
            <w:tcBorders>
              <w:top w:val="single" w:sz="4" w:color="BFBFBF"/>
              <w:left w:val="single" w:sz="4" w:color="BFBFBF"/>
              <w:bottom w:val="single" w:sz="4" w:color="BFBFBF"/>
              <w:right w:val="single" w:sz="4" w:color="BFBFBF"/>
            </w:tcBorders>
            <w:vAlign w:val="center"/>
          </w:tcPr>
          <w:p>
            <w:r/>
            <w:r>
              <w:rPr>
                <w:sz w:val="20"/>
              </w:rPr>
              <w:t>✓</w:t>
            </w:r>
          </w:p>
        </w:tc>
        <w:tc>
          <w:tcPr>
            <w:tcW w:type="dxa" w:w="1152"/>
            <w:tcBorders>
              <w:top w:val="single" w:sz="4" w:color="BFBFBF"/>
              <w:left w:val="single" w:sz="4" w:color="BFBFBF"/>
              <w:bottom w:val="single" w:sz="4" w:color="BFBFBF"/>
              <w:right w:val="single" w:sz="4" w:color="BFBFBF"/>
            </w:tcBorders>
            <w:vAlign w:val="center"/>
          </w:tcPr>
          <w:p>
            <w:r/>
            <w:r>
              <w:rPr>
                <w:sz w:val="20"/>
              </w:rPr>
              <w:t>✗</w:t>
            </w:r>
          </w:p>
        </w:tc>
        <w:tc>
          <w:tcPr>
            <w:tcW w:type="dxa" w:w="1152"/>
            <w:tcBorders>
              <w:top w:val="single" w:sz="4" w:color="BFBFBF"/>
              <w:left w:val="single" w:sz="4" w:color="BFBFBF"/>
              <w:bottom w:val="single" w:sz="4" w:color="BFBFBF"/>
              <w:right w:val="single" w:sz="4" w:color="BFBFBF"/>
            </w:tcBorders>
            <w:vAlign w:val="center"/>
          </w:tcPr>
          <w:p>
            <w:r/>
            <w:r>
              <w:rPr>
                <w:sz w:val="20"/>
              </w:rPr>
              <w:t>✗</w:t>
            </w:r>
          </w:p>
        </w:tc>
        <w:tc>
          <w:tcPr>
            <w:tcW w:type="dxa" w:w="2016"/>
            <w:tcBorders>
              <w:top w:val="single" w:sz="4" w:color="BFBFBF"/>
              <w:left w:val="single" w:sz="4" w:color="BFBFBF"/>
              <w:bottom w:val="single" w:sz="4" w:color="BFBFBF"/>
              <w:right w:val="single" w:sz="4" w:color="BFBFBF"/>
            </w:tcBorders>
            <w:vAlign w:val="center"/>
          </w:tcPr>
          <w:p>
            <w:r/>
            <w:r>
              <w:rPr>
                <w:sz w:val="20"/>
              </w:rPr>
              <w:t>✗</w:t>
            </w:r>
          </w:p>
        </w:tc>
        <w:tc>
          <w:tcPr>
            <w:tcW w:type="dxa" w:w="1152"/>
            <w:tcBorders>
              <w:top w:val="single" w:sz="4" w:color="BFBFBF"/>
              <w:left w:val="single" w:sz="4" w:color="BFBFBF"/>
              <w:bottom w:val="single" w:sz="4" w:color="BFBFBF"/>
              <w:right w:val="single" w:sz="4" w:color="BFBFBF"/>
            </w:tcBorders>
            <w:vAlign w:val="center"/>
          </w:tcPr>
          <w:p>
            <w:r/>
            <w:r>
              <w:rPr>
                <w:sz w:val="20"/>
              </w:rPr>
              <w:t>✗</w:t>
            </w:r>
          </w:p>
        </w:tc>
      </w:tr>
      <w:tr>
        <w:tc>
          <w:tcPr>
            <w:tcW w:type="dxa" w:w="3744"/>
            <w:shd w:val="clear" w:color="auto" w:fill="F4F6F8"/>
            <w:tcBorders>
              <w:top w:val="single" w:sz="4" w:color="BFBFBF"/>
              <w:left w:val="single" w:sz="4" w:color="BFBFBF"/>
              <w:bottom w:val="single" w:sz="4" w:color="BFBFBF"/>
              <w:right w:val="single" w:sz="4" w:color="BFBFBF"/>
            </w:tcBorders>
            <w:vAlign w:val="center"/>
          </w:tcPr>
          <w:p>
            <w:r/>
            <w:r>
              <w:rPr>
                <w:sz w:val="20"/>
              </w:rPr>
              <w:t>CRM / Customers</w:t>
            </w:r>
          </w:p>
        </w:tc>
        <w:tc>
          <w:tcPr>
            <w:tcW w:type="dxa" w:w="1440"/>
            <w:shd w:val="clear" w:color="auto" w:fill="F4F6F8"/>
            <w:tcBorders>
              <w:top w:val="single" w:sz="4" w:color="BFBFBF"/>
              <w:left w:val="single" w:sz="4" w:color="BFBFBF"/>
              <w:bottom w:val="single" w:sz="4" w:color="BFBFBF"/>
              <w:right w:val="single" w:sz="4" w:color="BFBFBF"/>
            </w:tcBorders>
            <w:vAlign w:val="center"/>
          </w:tcPr>
          <w:p>
            <w:r/>
            <w:r>
              <w:rPr>
                <w:sz w:val="20"/>
              </w:rPr>
              <w:t>✓</w:t>
            </w:r>
          </w:p>
        </w:tc>
        <w:tc>
          <w:tcPr>
            <w:tcW w:type="dxa" w:w="1152"/>
            <w:shd w:val="clear" w:color="auto" w:fill="F4F6F8"/>
            <w:tcBorders>
              <w:top w:val="single" w:sz="4" w:color="BFBFBF"/>
              <w:left w:val="single" w:sz="4" w:color="BFBFBF"/>
              <w:bottom w:val="single" w:sz="4" w:color="BFBFBF"/>
              <w:right w:val="single" w:sz="4" w:color="BFBFBF"/>
            </w:tcBorders>
            <w:vAlign w:val="center"/>
          </w:tcPr>
          <w:p>
            <w:r/>
            <w:r>
              <w:rPr>
                <w:sz w:val="20"/>
              </w:rPr>
              <w:t>✓</w:t>
            </w:r>
          </w:p>
        </w:tc>
        <w:tc>
          <w:tcPr>
            <w:tcW w:type="dxa" w:w="1152"/>
            <w:shd w:val="clear" w:color="auto" w:fill="F4F6F8"/>
            <w:tcBorders>
              <w:top w:val="single" w:sz="4" w:color="BFBFBF"/>
              <w:left w:val="single" w:sz="4" w:color="BFBFBF"/>
              <w:bottom w:val="single" w:sz="4" w:color="BFBFBF"/>
              <w:right w:val="single" w:sz="4" w:color="BFBFBF"/>
            </w:tcBorders>
            <w:vAlign w:val="center"/>
          </w:tcPr>
          <w:p>
            <w:r/>
            <w:r>
              <w:rPr>
                <w:sz w:val="20"/>
              </w:rPr>
              <w:t>✓</w:t>
            </w:r>
          </w:p>
        </w:tc>
        <w:tc>
          <w:tcPr>
            <w:tcW w:type="dxa" w:w="2016"/>
            <w:shd w:val="clear" w:color="auto" w:fill="F4F6F8"/>
            <w:tcBorders>
              <w:top w:val="single" w:sz="4" w:color="BFBFBF"/>
              <w:left w:val="single" w:sz="4" w:color="BFBFBF"/>
              <w:bottom w:val="single" w:sz="4" w:color="BFBFBF"/>
              <w:right w:val="single" w:sz="4" w:color="BFBFBF"/>
            </w:tcBorders>
            <w:vAlign w:val="center"/>
          </w:tcPr>
          <w:p>
            <w:r/>
            <w:r>
              <w:rPr>
                <w:sz w:val="20"/>
              </w:rPr>
              <w:t>~</w:t>
            </w:r>
          </w:p>
        </w:tc>
        <w:tc>
          <w:tcPr>
            <w:tcW w:type="dxa" w:w="1152"/>
            <w:shd w:val="clear" w:color="auto" w:fill="F4F6F8"/>
            <w:tcBorders>
              <w:top w:val="single" w:sz="4" w:color="BFBFBF"/>
              <w:left w:val="single" w:sz="4" w:color="BFBFBF"/>
              <w:bottom w:val="single" w:sz="4" w:color="BFBFBF"/>
              <w:right w:val="single" w:sz="4" w:color="BFBFBF"/>
            </w:tcBorders>
            <w:vAlign w:val="center"/>
          </w:tcPr>
          <w:p>
            <w:r/>
            <w:r>
              <w:rPr>
                <w:sz w:val="20"/>
              </w:rPr>
              <w:t>✓</w:t>
            </w:r>
          </w:p>
        </w:tc>
      </w:tr>
    </w:tbl>
    <w:p>
      <w:r>
        <w:br w:type="page"/>
      </w:r>
    </w:p>
    <w:p>
      <w:pPr>
        <w:spacing w:before="360" w:after="160"/>
        <w:pBdr>
          <w:bottom w:val="single" w:sz="8" w:space="4" w:color="E67E22"/>
        </w:pBdr>
      </w:pPr>
      <w:r>
        <w:rPr>
          <w:b/>
          <w:color w:val="0F2A47"/>
          <w:sz w:val="40"/>
        </w:rPr>
        <w:t>5. Premium Module — Accounting, Tax &amp; Audit (Subscription-Gated)</w:t>
      </w:r>
    </w:p>
    <w:p>
      <w:pPr>
        <w:spacing w:after="80"/>
      </w:pPr>
      <w:r>
        <w:rPr>
          <w:b w:val="0"/>
          <w:i w:val="0"/>
          <w:color w:val="212932"/>
          <w:sz w:val="22"/>
        </w:rPr>
        <w:t>This is a paid add-on. Out of the box, every tenant receives the operational platform (sections 3 and 4). The Accounting, Tax and Audit module is subscription-gated and unlocks a complete double-entry accounting suite, tax computation and an immutable audit trail.</w:t>
      </w:r>
    </w:p>
    <w:p>
      <w:pPr>
        <w:spacing w:before="240" w:after="80"/>
      </w:pPr>
      <w:r>
        <w:rPr>
          <w:b/>
          <w:color w:val="1F77B4"/>
          <w:sz w:val="28"/>
        </w:rPr>
        <w:t>5.1 Why It's Premium</w:t>
      </w:r>
    </w:p>
    <w:p>
      <w:pPr>
        <w:pStyle w:val="ListBullet"/>
        <w:spacing w:after="40"/>
        <w:ind w:left="360"/>
      </w:pPr>
      <w:r>
        <w:rPr>
          <w:sz w:val="22"/>
        </w:rPr>
        <w:t>Replaces a separate accounting subscription (Tally / QuickBooks / Xero / Zoho) — so the willingness-to-pay already exists in the customer's budget.</w:t>
      </w:r>
    </w:p>
    <w:p>
      <w:pPr>
        <w:pStyle w:val="ListBullet"/>
        <w:spacing w:after="40"/>
        <w:ind w:left="360"/>
      </w:pPr>
      <w:r>
        <w:rPr>
          <w:sz w:val="22"/>
        </w:rPr>
        <w:t>Reduces double data entry by sourcing journal entries directly from real-time platform events (orders, refunds, payouts, inventory write-offs).</w:t>
      </w:r>
    </w:p>
    <w:p>
      <w:pPr>
        <w:pStyle w:val="ListBullet"/>
        <w:spacing w:after="40"/>
        <w:ind w:left="360"/>
      </w:pPr>
      <w:r>
        <w:rPr>
          <w:sz w:val="22"/>
        </w:rPr>
        <w:t>Provides regulator-ready VAT / GST returns and audit packs — a compliance lifeline that justifies recurring fees.</w:t>
      </w:r>
    </w:p>
    <w:p>
      <w:pPr>
        <w:pStyle w:val="ListBullet"/>
        <w:spacing w:after="40"/>
        <w:ind w:left="360"/>
      </w:pPr>
      <w:r>
        <w:rPr>
          <w:sz w:val="22"/>
        </w:rPr>
        <w:t>Creates predictable MRR / ARR for the platform vendor and a high-margin expansion path beyond the base seat licence.</w:t>
      </w:r>
    </w:p>
    <w:p>
      <w:pPr>
        <w:spacing w:before="240" w:after="80"/>
      </w:pPr>
      <w:r>
        <w:rPr>
          <w:b/>
          <w:color w:val="1F77B4"/>
          <w:sz w:val="28"/>
        </w:rPr>
        <w:t>5.2 Feature Set</w:t>
      </w:r>
    </w:p>
    <w:p>
      <w:pPr>
        <w:spacing w:before="160" w:after="40"/>
      </w:pPr>
      <w:r>
        <w:rPr>
          <w:b/>
          <w:color w:val="0F2A47"/>
          <w:sz w:val="24"/>
        </w:rPr>
        <w:t>5.2.1 Double-Entry Ledger</w:t>
      </w:r>
    </w:p>
    <w:p>
      <w:pPr>
        <w:pStyle w:val="ListBullet"/>
        <w:spacing w:after="40"/>
        <w:ind w:left="360"/>
      </w:pPr>
      <w:r>
        <w:rPr>
          <w:sz w:val="22"/>
        </w:rPr>
        <w:t>Configurable Chart of Accounts (CoA) — pre-loaded templates for Retail, Services and Manufacturing; editable.</w:t>
      </w:r>
    </w:p>
    <w:p>
      <w:pPr>
        <w:pStyle w:val="ListBullet"/>
        <w:spacing w:after="40"/>
        <w:ind w:left="360"/>
      </w:pPr>
      <w:r>
        <w:rPr>
          <w:sz w:val="22"/>
        </w:rPr>
        <w:t>Auto-generated journal entries from platform events — each order, refund, payout reconciliation, stock write-off and PO receipt posts the correct debits and credits.</w:t>
      </w:r>
    </w:p>
    <w:p>
      <w:pPr>
        <w:pStyle w:val="ListBullet"/>
        <w:spacing w:after="40"/>
        <w:ind w:left="360"/>
      </w:pPr>
      <w:r>
        <w:rPr>
          <w:sz w:val="22"/>
        </w:rPr>
        <w:t>Manual journal entry interface for adjustments, accruals, depreciation.</w:t>
      </w:r>
    </w:p>
    <w:p>
      <w:pPr>
        <w:pStyle w:val="ListBullet"/>
        <w:spacing w:after="40"/>
        <w:ind w:left="360"/>
      </w:pPr>
      <w:r>
        <w:rPr>
          <w:sz w:val="22"/>
        </w:rPr>
        <w:t>Multi-currency support with daily FX rates; settlement currency configurable.</w:t>
      </w:r>
    </w:p>
    <w:p>
      <w:pPr>
        <w:pStyle w:val="ListBullet"/>
        <w:spacing w:after="40"/>
        <w:ind w:left="360"/>
      </w:pPr>
      <w:r>
        <w:rPr>
          <w:sz w:val="22"/>
        </w:rPr>
        <w:t>Period close: monthly / quarterly / yearly close with locking and reopening controls (Super Admin only).</w:t>
      </w:r>
    </w:p>
    <w:p>
      <w:pPr>
        <w:spacing w:before="160" w:after="40"/>
      </w:pPr>
      <w:r>
        <w:rPr>
          <w:b/>
          <w:color w:val="0F2A47"/>
          <w:sz w:val="24"/>
        </w:rPr>
        <w:t>5.2.2 Tax Module</w:t>
      </w:r>
    </w:p>
    <w:p>
      <w:pPr>
        <w:pStyle w:val="ListBullet"/>
        <w:spacing w:after="40"/>
        <w:ind w:left="360"/>
      </w:pPr>
      <w:r>
        <w:rPr>
          <w:sz w:val="22"/>
        </w:rPr>
        <w:t>VAT / GST configuration per product or product category.</w:t>
      </w:r>
    </w:p>
    <w:p>
      <w:pPr>
        <w:pStyle w:val="ListBullet"/>
        <w:spacing w:after="40"/>
        <w:ind w:left="360"/>
      </w:pPr>
      <w:r>
        <w:rPr>
          <w:sz w:val="22"/>
        </w:rPr>
        <w:t>Tax computation at cart and invoice level; correct treatment of inclusive vs exclusive pricing, exemptions and zero-rated items.</w:t>
      </w:r>
    </w:p>
    <w:p>
      <w:pPr>
        <w:pStyle w:val="ListBullet"/>
        <w:spacing w:after="40"/>
        <w:ind w:left="360"/>
      </w:pPr>
      <w:r>
        <w:rPr>
          <w:sz w:val="22"/>
        </w:rPr>
        <w:t>Tax-period returns: VAT 200 / GST returns in regulator-ready format; Nepal IRD (Inland Revenue Department) e-invoice JSON export.</w:t>
      </w:r>
    </w:p>
    <w:p>
      <w:pPr>
        <w:pStyle w:val="ListBullet"/>
        <w:spacing w:after="40"/>
        <w:ind w:left="360"/>
      </w:pPr>
      <w:r>
        <w:rPr>
          <w:sz w:val="22"/>
        </w:rPr>
        <w:t>Withholding-tax handling on supplier payouts and commissions.</w:t>
      </w:r>
    </w:p>
    <w:p>
      <w:pPr>
        <w:pStyle w:val="ListBullet"/>
        <w:spacing w:after="40"/>
        <w:ind w:left="360"/>
      </w:pPr>
      <w:r>
        <w:rPr>
          <w:sz w:val="22"/>
        </w:rPr>
        <w:t>Tax-jurisdiction routing for international orders (placeholder for future OECD / DST changes).</w:t>
      </w:r>
    </w:p>
    <w:p>
      <w:pPr>
        <w:spacing w:before="160" w:after="40"/>
      </w:pPr>
      <w:r>
        <w:rPr>
          <w:b/>
          <w:color w:val="0F2A47"/>
          <w:sz w:val="24"/>
        </w:rPr>
        <w:t>5.2.3 Reports &amp; Statements</w:t>
      </w:r>
    </w:p>
    <w:p>
      <w:pPr>
        <w:pStyle w:val="ListBullet"/>
        <w:spacing w:after="40"/>
        <w:ind w:left="360"/>
      </w:pPr>
      <w:r>
        <w:rPr>
          <w:sz w:val="22"/>
        </w:rPr>
        <w:t>Profit &amp; Loss (monthly, quarterly, yearly, custom range).</w:t>
      </w:r>
    </w:p>
    <w:p>
      <w:pPr>
        <w:pStyle w:val="ListBullet"/>
        <w:spacing w:after="40"/>
        <w:ind w:left="360"/>
      </w:pPr>
      <w:r>
        <w:rPr>
          <w:sz w:val="22"/>
        </w:rPr>
        <w:t>Balance Sheet with comparative periods.</w:t>
      </w:r>
    </w:p>
    <w:p>
      <w:pPr>
        <w:pStyle w:val="ListBullet"/>
        <w:spacing w:after="40"/>
        <w:ind w:left="360"/>
      </w:pPr>
      <w:r>
        <w:rPr>
          <w:sz w:val="22"/>
        </w:rPr>
        <w:t>Cash-flow statement (direct or indirect method).</w:t>
      </w:r>
    </w:p>
    <w:p>
      <w:pPr>
        <w:pStyle w:val="ListBullet"/>
        <w:spacing w:after="40"/>
        <w:ind w:left="360"/>
      </w:pPr>
      <w:r>
        <w:rPr>
          <w:sz w:val="22"/>
        </w:rPr>
        <w:t>Trial balance, general ledger, sub-ledger drill-down.</w:t>
      </w:r>
    </w:p>
    <w:p>
      <w:pPr>
        <w:pStyle w:val="ListBullet"/>
        <w:spacing w:after="40"/>
        <w:ind w:left="360"/>
      </w:pPr>
      <w:r>
        <w:rPr>
          <w:sz w:val="22"/>
        </w:rPr>
        <w:t>Aged receivables and payables.</w:t>
      </w:r>
    </w:p>
    <w:p>
      <w:pPr>
        <w:pStyle w:val="ListBullet"/>
        <w:spacing w:after="40"/>
        <w:ind w:left="360"/>
      </w:pPr>
      <w:r>
        <w:rPr>
          <w:sz w:val="22"/>
        </w:rPr>
        <w:t>Inventory valuation report (FIFO, weighted-average, configurable).</w:t>
      </w:r>
    </w:p>
    <w:p>
      <w:pPr>
        <w:pStyle w:val="ListBullet"/>
        <w:spacing w:after="40"/>
        <w:ind w:left="360"/>
      </w:pPr>
      <w:r>
        <w:rPr>
          <w:sz w:val="22"/>
        </w:rPr>
        <w:t>All reports exportable as PDF / Excel; scheduled email delivery option.</w:t>
      </w:r>
    </w:p>
    <w:p>
      <w:pPr>
        <w:spacing w:before="160" w:after="40"/>
      </w:pPr>
      <w:r>
        <w:rPr>
          <w:b/>
          <w:color w:val="0F2A47"/>
          <w:sz w:val="24"/>
        </w:rPr>
        <w:t>5.2.4 Audit Trail</w:t>
      </w:r>
    </w:p>
    <w:p>
      <w:pPr>
        <w:pStyle w:val="ListBullet"/>
        <w:spacing w:after="40"/>
        <w:ind w:left="360"/>
      </w:pPr>
      <w:r>
        <w:rPr>
          <w:sz w:val="22"/>
        </w:rPr>
        <w:t>Immutable, append-only audit log of every accounting event — who, when, what, before / after values, source (UI, API, automation).</w:t>
      </w:r>
    </w:p>
    <w:p>
      <w:pPr>
        <w:pStyle w:val="ListBullet"/>
        <w:spacing w:after="40"/>
        <w:ind w:left="360"/>
      </w:pPr>
      <w:r>
        <w:rPr>
          <w:sz w:val="22"/>
        </w:rPr>
        <w:t>WORM-style storage (write-once-read-many) to satisfy auditor requirements.</w:t>
      </w:r>
    </w:p>
    <w:p>
      <w:pPr>
        <w:pStyle w:val="ListBullet"/>
        <w:spacing w:after="40"/>
        <w:ind w:left="360"/>
      </w:pPr>
      <w:r>
        <w:rPr>
          <w:sz w:val="22"/>
        </w:rPr>
        <w:t>Audit pack export: zip of trial balance + GL + audit log + supporting documents, signed with a cryptographic hash for tamper-evidence.</w:t>
      </w:r>
    </w:p>
    <w:p>
      <w:pPr>
        <w:pStyle w:val="ListBullet"/>
        <w:spacing w:after="40"/>
        <w:ind w:left="360"/>
      </w:pPr>
      <w:r>
        <w:rPr>
          <w:sz w:val="22"/>
        </w:rPr>
        <w:t>Read-only auditor user role — external auditor can be invited with time-bounded access, scoped to one fiscal year.</w:t>
      </w:r>
    </w:p>
    <w:p>
      <w:pPr>
        <w:spacing w:before="160" w:after="40"/>
      </w:pPr>
      <w:r>
        <w:rPr>
          <w:b/>
          <w:color w:val="0F2A47"/>
          <w:sz w:val="24"/>
        </w:rPr>
        <w:t>5.2.5 Bank Reconciliation</w:t>
      </w:r>
    </w:p>
    <w:p>
      <w:pPr>
        <w:pStyle w:val="ListBullet"/>
        <w:spacing w:after="40"/>
        <w:ind w:left="360"/>
      </w:pPr>
      <w:r>
        <w:rPr>
          <w:sz w:val="22"/>
        </w:rPr>
        <w:t>Import bank statements (CSV / OFX / direct API where available).</w:t>
      </w:r>
    </w:p>
    <w:p>
      <w:pPr>
        <w:pStyle w:val="ListBullet"/>
        <w:spacing w:after="40"/>
        <w:ind w:left="360"/>
      </w:pPr>
      <w:r>
        <w:rPr>
          <w:sz w:val="22"/>
        </w:rPr>
        <w:t>Auto-match rules engine with confidence score; manual override.</w:t>
      </w:r>
    </w:p>
    <w:p>
      <w:pPr>
        <w:pStyle w:val="ListBullet"/>
        <w:spacing w:after="40"/>
        <w:ind w:left="360"/>
      </w:pPr>
      <w:r>
        <w:rPr>
          <w:sz w:val="22"/>
        </w:rPr>
        <w:t>Outstanding-items report; reconciliation lock when complete.</w:t>
      </w:r>
    </w:p>
    <w:p>
      <w:pPr>
        <w:spacing w:before="160" w:after="40"/>
      </w:pPr>
      <w:r>
        <w:rPr>
          <w:b/>
          <w:color w:val="0F2A47"/>
          <w:sz w:val="24"/>
        </w:rPr>
        <w:t>5.2.6 Budgeting &amp; Forecasting</w:t>
      </w:r>
    </w:p>
    <w:p>
      <w:pPr>
        <w:pStyle w:val="ListBullet"/>
        <w:spacing w:after="40"/>
        <w:ind w:left="360"/>
      </w:pPr>
      <w:r>
        <w:rPr>
          <w:sz w:val="22"/>
        </w:rPr>
        <w:t>Annual budget setup per cost centre / department.</w:t>
      </w:r>
    </w:p>
    <w:p>
      <w:pPr>
        <w:pStyle w:val="ListBullet"/>
        <w:spacing w:after="40"/>
        <w:ind w:left="360"/>
      </w:pPr>
      <w:r>
        <w:rPr>
          <w:sz w:val="22"/>
        </w:rPr>
        <w:t>Actual-vs-budget variance reports with drill-down.</w:t>
      </w:r>
    </w:p>
    <w:p>
      <w:pPr>
        <w:pStyle w:val="ListBullet"/>
        <w:spacing w:after="40"/>
        <w:ind w:left="360"/>
      </w:pPr>
      <w:r>
        <w:rPr>
          <w:sz w:val="22"/>
        </w:rPr>
        <w:t>Cash-flow forecast using payment terms and historical conversion patterns.</w:t>
      </w:r>
    </w:p>
    <w:p>
      <w:pPr>
        <w:spacing w:before="240" w:after="80"/>
      </w:pPr>
      <w:r>
        <w:rPr>
          <w:b/>
          <w:color w:val="1F77B4"/>
          <w:sz w:val="28"/>
        </w:rPr>
        <w:t>5.3 Subscription Plans</w:t>
      </w:r>
    </w:p>
    <w:tbl>
      <w:tblPr>
        <w:tblW w:type="auto" w:w="0"/>
        <w:jc w:val="center"/>
        <w:tblLook w:firstColumn="1" w:firstRow="1" w:lastColumn="0" w:lastRow="0" w:noHBand="0" w:noVBand="1" w:val="04A0"/>
      </w:tblPr>
      <w:tblGrid>
        <w:gridCol w:w="1930"/>
        <w:gridCol w:w="1930"/>
        <w:gridCol w:w="1930"/>
        <w:gridCol w:w="1930"/>
        <w:gridCol w:w="1930"/>
      </w:tblGrid>
      <w:tr>
        <w:tc>
          <w:tcPr>
            <w:tcW w:type="dxa" w:w="1296"/>
            <w:shd w:val="clear" w:color="auto" w:fill="0F2A47"/>
            <w:tcBorders>
              <w:top w:val="single" w:sz="4" w:color="BFBFBF"/>
              <w:left w:val="single" w:sz="4" w:color="BFBFBF"/>
              <w:bottom w:val="single" w:sz="4" w:color="BFBFBF"/>
              <w:right w:val="single" w:sz="4" w:color="BFBFBF"/>
            </w:tcBorders>
            <w:vAlign w:val="center"/>
          </w:tcPr>
          <w:p>
            <w:r/>
            <w:r>
              <w:rPr>
                <w:b/>
                <w:color w:val="FFFFFF"/>
                <w:sz w:val="21"/>
              </w:rPr>
              <w:t>Plan</w:t>
            </w:r>
          </w:p>
        </w:tc>
        <w:tc>
          <w:tcPr>
            <w:tcW w:type="dxa" w:w="1296"/>
            <w:shd w:val="clear" w:color="auto" w:fill="0F2A47"/>
            <w:tcBorders>
              <w:top w:val="single" w:sz="4" w:color="BFBFBF"/>
              <w:left w:val="single" w:sz="4" w:color="BFBFBF"/>
              <w:bottom w:val="single" w:sz="4" w:color="BFBFBF"/>
              <w:right w:val="single" w:sz="4" w:color="BFBFBF"/>
            </w:tcBorders>
            <w:vAlign w:val="center"/>
          </w:tcPr>
          <w:p>
            <w:r/>
            <w:r>
              <w:rPr>
                <w:b/>
                <w:color w:val="FFFFFF"/>
                <w:sz w:val="21"/>
              </w:rPr>
              <w:t>Billing</w:t>
            </w:r>
          </w:p>
        </w:tc>
        <w:tc>
          <w:tcPr>
            <w:tcW w:type="dxa" w:w="2448"/>
            <w:shd w:val="clear" w:color="auto" w:fill="0F2A47"/>
            <w:tcBorders>
              <w:top w:val="single" w:sz="4" w:color="BFBFBF"/>
              <w:left w:val="single" w:sz="4" w:color="BFBFBF"/>
              <w:bottom w:val="single" w:sz="4" w:color="BFBFBF"/>
              <w:right w:val="single" w:sz="4" w:color="BFBFBF"/>
            </w:tcBorders>
            <w:vAlign w:val="center"/>
          </w:tcPr>
          <w:p>
            <w:r/>
            <w:r>
              <w:rPr>
                <w:b/>
                <w:color w:val="FFFFFF"/>
                <w:sz w:val="21"/>
              </w:rPr>
              <w:t>Indicative Price</w:t>
            </w:r>
          </w:p>
        </w:tc>
        <w:tc>
          <w:tcPr>
            <w:tcW w:type="dxa" w:w="1872"/>
            <w:shd w:val="clear" w:color="auto" w:fill="0F2A47"/>
            <w:tcBorders>
              <w:top w:val="single" w:sz="4" w:color="BFBFBF"/>
              <w:left w:val="single" w:sz="4" w:color="BFBFBF"/>
              <w:bottom w:val="single" w:sz="4" w:color="BFBFBF"/>
              <w:right w:val="single" w:sz="4" w:color="BFBFBF"/>
            </w:tcBorders>
            <w:vAlign w:val="center"/>
          </w:tcPr>
          <w:p>
            <w:r/>
            <w:r>
              <w:rPr>
                <w:b/>
                <w:color w:val="FFFFFF"/>
                <w:sz w:val="21"/>
              </w:rPr>
              <w:t>Best For</w:t>
            </w:r>
          </w:p>
        </w:tc>
        <w:tc>
          <w:tcPr>
            <w:tcW w:type="dxa" w:w="3888"/>
            <w:shd w:val="clear" w:color="auto" w:fill="0F2A47"/>
            <w:tcBorders>
              <w:top w:val="single" w:sz="4" w:color="BFBFBF"/>
              <w:left w:val="single" w:sz="4" w:color="BFBFBF"/>
              <w:bottom w:val="single" w:sz="4" w:color="BFBFBF"/>
              <w:right w:val="single" w:sz="4" w:color="BFBFBF"/>
            </w:tcBorders>
            <w:vAlign w:val="center"/>
          </w:tcPr>
          <w:p>
            <w:r/>
            <w:r>
              <w:rPr>
                <w:b/>
                <w:color w:val="FFFFFF"/>
                <w:sz w:val="21"/>
              </w:rPr>
              <w:t>Key Benefits</w:t>
            </w:r>
          </w:p>
        </w:tc>
      </w:tr>
      <w:tr>
        <w:tc>
          <w:tcPr>
            <w:tcW w:type="dxa" w:w="1296"/>
            <w:tcBorders>
              <w:top w:val="single" w:sz="4" w:color="BFBFBF"/>
              <w:left w:val="single" w:sz="4" w:color="BFBFBF"/>
              <w:bottom w:val="single" w:sz="4" w:color="BFBFBF"/>
              <w:right w:val="single" w:sz="4" w:color="BFBFBF"/>
            </w:tcBorders>
            <w:vAlign w:val="center"/>
          </w:tcPr>
          <w:p>
            <w:r/>
            <w:r>
              <w:rPr>
                <w:sz w:val="20"/>
              </w:rPr>
              <w:t>Free Trial</w:t>
            </w:r>
          </w:p>
        </w:tc>
        <w:tc>
          <w:tcPr>
            <w:tcW w:type="dxa" w:w="1296"/>
            <w:tcBorders>
              <w:top w:val="single" w:sz="4" w:color="BFBFBF"/>
              <w:left w:val="single" w:sz="4" w:color="BFBFBF"/>
              <w:bottom w:val="single" w:sz="4" w:color="BFBFBF"/>
              <w:right w:val="single" w:sz="4" w:color="BFBFBF"/>
            </w:tcBorders>
            <w:vAlign w:val="center"/>
          </w:tcPr>
          <w:p>
            <w:r/>
            <w:r>
              <w:rPr>
                <w:sz w:val="20"/>
              </w:rPr>
              <w:t>14 days</w:t>
            </w:r>
          </w:p>
        </w:tc>
        <w:tc>
          <w:tcPr>
            <w:tcW w:type="dxa" w:w="2448"/>
            <w:tcBorders>
              <w:top w:val="single" w:sz="4" w:color="BFBFBF"/>
              <w:left w:val="single" w:sz="4" w:color="BFBFBF"/>
              <w:bottom w:val="single" w:sz="4" w:color="BFBFBF"/>
              <w:right w:val="single" w:sz="4" w:color="BFBFBF"/>
            </w:tcBorders>
            <w:vAlign w:val="center"/>
          </w:tcPr>
          <w:p>
            <w:r/>
            <w:r>
              <w:rPr>
                <w:sz w:val="20"/>
              </w:rPr>
              <w:t>$0</w:t>
            </w:r>
          </w:p>
        </w:tc>
        <w:tc>
          <w:tcPr>
            <w:tcW w:type="dxa" w:w="1872"/>
            <w:tcBorders>
              <w:top w:val="single" w:sz="4" w:color="BFBFBF"/>
              <w:left w:val="single" w:sz="4" w:color="BFBFBF"/>
              <w:bottom w:val="single" w:sz="4" w:color="BFBFBF"/>
              <w:right w:val="single" w:sz="4" w:color="BFBFBF"/>
            </w:tcBorders>
            <w:vAlign w:val="center"/>
          </w:tcPr>
          <w:p>
            <w:r/>
            <w:r>
              <w:rPr>
                <w:sz w:val="20"/>
              </w:rPr>
              <w:t>Evaluation</w:t>
            </w:r>
          </w:p>
        </w:tc>
        <w:tc>
          <w:tcPr>
            <w:tcW w:type="dxa" w:w="3888"/>
            <w:tcBorders>
              <w:top w:val="single" w:sz="4" w:color="BFBFBF"/>
              <w:left w:val="single" w:sz="4" w:color="BFBFBF"/>
              <w:bottom w:val="single" w:sz="4" w:color="BFBFBF"/>
              <w:right w:val="single" w:sz="4" w:color="BFBFBF"/>
            </w:tcBorders>
            <w:vAlign w:val="center"/>
          </w:tcPr>
          <w:p>
            <w:r/>
            <w:r>
              <w:rPr>
                <w:sz w:val="20"/>
              </w:rPr>
              <w:t>Full feature access, 100 transactions cap</w:t>
            </w:r>
          </w:p>
        </w:tc>
      </w:tr>
      <w:tr>
        <w:tc>
          <w:tcPr>
            <w:tcW w:type="dxa" w:w="1296"/>
            <w:shd w:val="clear" w:color="auto" w:fill="F4F6F8"/>
            <w:tcBorders>
              <w:top w:val="single" w:sz="4" w:color="BFBFBF"/>
              <w:left w:val="single" w:sz="4" w:color="BFBFBF"/>
              <w:bottom w:val="single" w:sz="4" w:color="BFBFBF"/>
              <w:right w:val="single" w:sz="4" w:color="BFBFBF"/>
            </w:tcBorders>
            <w:vAlign w:val="center"/>
          </w:tcPr>
          <w:p>
            <w:r/>
            <w:r>
              <w:rPr>
                <w:sz w:val="20"/>
              </w:rPr>
              <w:t>Monthly</w:t>
            </w:r>
          </w:p>
        </w:tc>
        <w:tc>
          <w:tcPr>
            <w:tcW w:type="dxa" w:w="1296"/>
            <w:shd w:val="clear" w:color="auto" w:fill="F4F6F8"/>
            <w:tcBorders>
              <w:top w:val="single" w:sz="4" w:color="BFBFBF"/>
              <w:left w:val="single" w:sz="4" w:color="BFBFBF"/>
              <w:bottom w:val="single" w:sz="4" w:color="BFBFBF"/>
              <w:right w:val="single" w:sz="4" w:color="BFBFBF"/>
            </w:tcBorders>
            <w:vAlign w:val="center"/>
          </w:tcPr>
          <w:p>
            <w:r/>
            <w:r>
              <w:rPr>
                <w:sz w:val="20"/>
              </w:rPr>
              <w:t>Per month</w:t>
            </w:r>
          </w:p>
        </w:tc>
        <w:tc>
          <w:tcPr>
            <w:tcW w:type="dxa" w:w="2448"/>
            <w:shd w:val="clear" w:color="auto" w:fill="F4F6F8"/>
            <w:tcBorders>
              <w:top w:val="single" w:sz="4" w:color="BFBFBF"/>
              <w:left w:val="single" w:sz="4" w:color="BFBFBF"/>
              <w:bottom w:val="single" w:sz="4" w:color="BFBFBF"/>
              <w:right w:val="single" w:sz="4" w:color="BFBFBF"/>
            </w:tcBorders>
            <w:vAlign w:val="center"/>
          </w:tcPr>
          <w:p>
            <w:r/>
            <w:r>
              <w:rPr>
                <w:sz w:val="20"/>
              </w:rPr>
              <w:t>$29 / NPR 3,900 / month</w:t>
            </w:r>
          </w:p>
        </w:tc>
        <w:tc>
          <w:tcPr>
            <w:tcW w:type="dxa" w:w="1872"/>
            <w:shd w:val="clear" w:color="auto" w:fill="F4F6F8"/>
            <w:tcBorders>
              <w:top w:val="single" w:sz="4" w:color="BFBFBF"/>
              <w:left w:val="single" w:sz="4" w:color="BFBFBF"/>
              <w:bottom w:val="single" w:sz="4" w:color="BFBFBF"/>
              <w:right w:val="single" w:sz="4" w:color="BFBFBF"/>
            </w:tcBorders>
            <w:vAlign w:val="center"/>
          </w:tcPr>
          <w:p>
            <w:r/>
            <w:r>
              <w:rPr>
                <w:sz w:val="20"/>
              </w:rPr>
              <w:t>Small business</w:t>
            </w:r>
          </w:p>
        </w:tc>
        <w:tc>
          <w:tcPr>
            <w:tcW w:type="dxa" w:w="3888"/>
            <w:shd w:val="clear" w:color="auto" w:fill="F4F6F8"/>
            <w:tcBorders>
              <w:top w:val="single" w:sz="4" w:color="BFBFBF"/>
              <w:left w:val="single" w:sz="4" w:color="BFBFBF"/>
              <w:bottom w:val="single" w:sz="4" w:color="BFBFBF"/>
              <w:right w:val="single" w:sz="4" w:color="BFBFBF"/>
            </w:tcBorders>
            <w:vAlign w:val="center"/>
          </w:tcPr>
          <w:p>
            <w:r/>
            <w:r>
              <w:rPr>
                <w:sz w:val="20"/>
              </w:rPr>
              <w:t>Cancel anytime, all reports, 1 user</w:t>
            </w:r>
          </w:p>
        </w:tc>
      </w:tr>
      <w:tr>
        <w:tc>
          <w:tcPr>
            <w:tcW w:type="dxa" w:w="1296"/>
            <w:tcBorders>
              <w:top w:val="single" w:sz="4" w:color="BFBFBF"/>
              <w:left w:val="single" w:sz="4" w:color="BFBFBF"/>
              <w:bottom w:val="single" w:sz="4" w:color="BFBFBF"/>
              <w:right w:val="single" w:sz="4" w:color="BFBFBF"/>
            </w:tcBorders>
            <w:vAlign w:val="center"/>
          </w:tcPr>
          <w:p>
            <w:r/>
            <w:r>
              <w:rPr>
                <w:sz w:val="20"/>
              </w:rPr>
              <w:t>Yearly</w:t>
            </w:r>
          </w:p>
        </w:tc>
        <w:tc>
          <w:tcPr>
            <w:tcW w:type="dxa" w:w="1296"/>
            <w:tcBorders>
              <w:top w:val="single" w:sz="4" w:color="BFBFBF"/>
              <w:left w:val="single" w:sz="4" w:color="BFBFBF"/>
              <w:bottom w:val="single" w:sz="4" w:color="BFBFBF"/>
              <w:right w:val="single" w:sz="4" w:color="BFBFBF"/>
            </w:tcBorders>
            <w:vAlign w:val="center"/>
          </w:tcPr>
          <w:p>
            <w:r/>
            <w:r>
              <w:rPr>
                <w:sz w:val="20"/>
              </w:rPr>
              <w:t>Per year</w:t>
            </w:r>
          </w:p>
        </w:tc>
        <w:tc>
          <w:tcPr>
            <w:tcW w:type="dxa" w:w="2448"/>
            <w:tcBorders>
              <w:top w:val="single" w:sz="4" w:color="BFBFBF"/>
              <w:left w:val="single" w:sz="4" w:color="BFBFBF"/>
              <w:bottom w:val="single" w:sz="4" w:color="BFBFBF"/>
              <w:right w:val="single" w:sz="4" w:color="BFBFBF"/>
            </w:tcBorders>
            <w:vAlign w:val="center"/>
          </w:tcPr>
          <w:p>
            <w:r/>
            <w:r>
              <w:rPr>
                <w:sz w:val="20"/>
              </w:rPr>
              <w:t>$290 / NPR 39,000 / year (save ≈17%)</w:t>
            </w:r>
          </w:p>
        </w:tc>
        <w:tc>
          <w:tcPr>
            <w:tcW w:type="dxa" w:w="1872"/>
            <w:tcBorders>
              <w:top w:val="single" w:sz="4" w:color="BFBFBF"/>
              <w:left w:val="single" w:sz="4" w:color="BFBFBF"/>
              <w:bottom w:val="single" w:sz="4" w:color="BFBFBF"/>
              <w:right w:val="single" w:sz="4" w:color="BFBFBF"/>
            </w:tcBorders>
            <w:vAlign w:val="center"/>
          </w:tcPr>
          <w:p>
            <w:r/>
            <w:r>
              <w:rPr>
                <w:sz w:val="20"/>
              </w:rPr>
              <w:t>Growing SMB</w:t>
            </w:r>
          </w:p>
        </w:tc>
        <w:tc>
          <w:tcPr>
            <w:tcW w:type="dxa" w:w="3888"/>
            <w:tcBorders>
              <w:top w:val="single" w:sz="4" w:color="BFBFBF"/>
              <w:left w:val="single" w:sz="4" w:color="BFBFBF"/>
              <w:bottom w:val="single" w:sz="4" w:color="BFBFBF"/>
              <w:right w:val="single" w:sz="4" w:color="BFBFBF"/>
            </w:tcBorders>
            <w:vAlign w:val="center"/>
          </w:tcPr>
          <w:p>
            <w:r/>
            <w:r>
              <w:rPr>
                <w:sz w:val="20"/>
              </w:rPr>
              <w:t>Includes Tax Module + scheduled exports, 3 users</w:t>
            </w:r>
          </w:p>
        </w:tc>
      </w:tr>
      <w:tr>
        <w:tc>
          <w:tcPr>
            <w:tcW w:type="dxa" w:w="1296"/>
            <w:shd w:val="clear" w:color="auto" w:fill="F4F6F8"/>
            <w:tcBorders>
              <w:top w:val="single" w:sz="4" w:color="BFBFBF"/>
              <w:left w:val="single" w:sz="4" w:color="BFBFBF"/>
              <w:bottom w:val="single" w:sz="4" w:color="BFBFBF"/>
              <w:right w:val="single" w:sz="4" w:color="BFBFBF"/>
            </w:tcBorders>
            <w:vAlign w:val="center"/>
          </w:tcPr>
          <w:p>
            <w:r/>
            <w:r>
              <w:rPr>
                <w:sz w:val="20"/>
              </w:rPr>
              <w:t>Lifetime</w:t>
            </w:r>
          </w:p>
        </w:tc>
        <w:tc>
          <w:tcPr>
            <w:tcW w:type="dxa" w:w="1296"/>
            <w:shd w:val="clear" w:color="auto" w:fill="F4F6F8"/>
            <w:tcBorders>
              <w:top w:val="single" w:sz="4" w:color="BFBFBF"/>
              <w:left w:val="single" w:sz="4" w:color="BFBFBF"/>
              <w:bottom w:val="single" w:sz="4" w:color="BFBFBF"/>
              <w:right w:val="single" w:sz="4" w:color="BFBFBF"/>
            </w:tcBorders>
            <w:vAlign w:val="center"/>
          </w:tcPr>
          <w:p>
            <w:r/>
            <w:r>
              <w:rPr>
                <w:sz w:val="20"/>
              </w:rPr>
              <w:t>One-off</w:t>
            </w:r>
          </w:p>
        </w:tc>
        <w:tc>
          <w:tcPr>
            <w:tcW w:type="dxa" w:w="2448"/>
            <w:shd w:val="clear" w:color="auto" w:fill="F4F6F8"/>
            <w:tcBorders>
              <w:top w:val="single" w:sz="4" w:color="BFBFBF"/>
              <w:left w:val="single" w:sz="4" w:color="BFBFBF"/>
              <w:bottom w:val="single" w:sz="4" w:color="BFBFBF"/>
              <w:right w:val="single" w:sz="4" w:color="BFBFBF"/>
            </w:tcBorders>
            <w:vAlign w:val="center"/>
          </w:tcPr>
          <w:p>
            <w:r/>
            <w:r>
              <w:rPr>
                <w:sz w:val="20"/>
              </w:rPr>
              <w:t>$1,499 / NPR 199,000 (one-time)</w:t>
            </w:r>
          </w:p>
        </w:tc>
        <w:tc>
          <w:tcPr>
            <w:tcW w:type="dxa" w:w="1872"/>
            <w:shd w:val="clear" w:color="auto" w:fill="F4F6F8"/>
            <w:tcBorders>
              <w:top w:val="single" w:sz="4" w:color="BFBFBF"/>
              <w:left w:val="single" w:sz="4" w:color="BFBFBF"/>
              <w:bottom w:val="single" w:sz="4" w:color="BFBFBF"/>
              <w:right w:val="single" w:sz="4" w:color="BFBFBF"/>
            </w:tcBorders>
            <w:vAlign w:val="center"/>
          </w:tcPr>
          <w:p>
            <w:r/>
            <w:r>
              <w:rPr>
                <w:sz w:val="20"/>
              </w:rPr>
              <w:t>Long-term commit</w:t>
            </w:r>
          </w:p>
        </w:tc>
        <w:tc>
          <w:tcPr>
            <w:tcW w:type="dxa" w:w="3888"/>
            <w:shd w:val="clear" w:color="auto" w:fill="F4F6F8"/>
            <w:tcBorders>
              <w:top w:val="single" w:sz="4" w:color="BFBFBF"/>
              <w:left w:val="single" w:sz="4" w:color="BFBFBF"/>
              <w:bottom w:val="single" w:sz="4" w:color="BFBFBF"/>
              <w:right w:val="single" w:sz="4" w:color="BFBFBF"/>
            </w:tcBorders>
            <w:vAlign w:val="center"/>
          </w:tcPr>
          <w:p>
            <w:r/>
            <w:r>
              <w:rPr>
                <w:sz w:val="20"/>
              </w:rPr>
              <w:t>Forever access at v1; major-version upgrades discounted 50%</w:t>
            </w:r>
          </w:p>
        </w:tc>
      </w:tr>
      <w:tr>
        <w:tc>
          <w:tcPr>
            <w:tcW w:type="dxa" w:w="1296"/>
            <w:tcBorders>
              <w:top w:val="single" w:sz="4" w:color="BFBFBF"/>
              <w:left w:val="single" w:sz="4" w:color="BFBFBF"/>
              <w:bottom w:val="single" w:sz="4" w:color="BFBFBF"/>
              <w:right w:val="single" w:sz="4" w:color="BFBFBF"/>
            </w:tcBorders>
            <w:vAlign w:val="center"/>
          </w:tcPr>
          <w:p>
            <w:r/>
            <w:r>
              <w:rPr>
                <w:sz w:val="20"/>
              </w:rPr>
              <w:t>Enterprise</w:t>
            </w:r>
          </w:p>
        </w:tc>
        <w:tc>
          <w:tcPr>
            <w:tcW w:type="dxa" w:w="1296"/>
            <w:tcBorders>
              <w:top w:val="single" w:sz="4" w:color="BFBFBF"/>
              <w:left w:val="single" w:sz="4" w:color="BFBFBF"/>
              <w:bottom w:val="single" w:sz="4" w:color="BFBFBF"/>
              <w:right w:val="single" w:sz="4" w:color="BFBFBF"/>
            </w:tcBorders>
            <w:vAlign w:val="center"/>
          </w:tcPr>
          <w:p>
            <w:r/>
            <w:r>
              <w:rPr>
                <w:sz w:val="20"/>
              </w:rPr>
              <w:t>Custom</w:t>
            </w:r>
          </w:p>
        </w:tc>
        <w:tc>
          <w:tcPr>
            <w:tcW w:type="dxa" w:w="2448"/>
            <w:tcBorders>
              <w:top w:val="single" w:sz="4" w:color="BFBFBF"/>
              <w:left w:val="single" w:sz="4" w:color="BFBFBF"/>
              <w:bottom w:val="single" w:sz="4" w:color="BFBFBF"/>
              <w:right w:val="single" w:sz="4" w:color="BFBFBF"/>
            </w:tcBorders>
            <w:vAlign w:val="center"/>
          </w:tcPr>
          <w:p>
            <w:r/>
            <w:r>
              <w:rPr>
                <w:sz w:val="20"/>
              </w:rPr>
              <w:t>Contact sales</w:t>
            </w:r>
          </w:p>
        </w:tc>
        <w:tc>
          <w:tcPr>
            <w:tcW w:type="dxa" w:w="1872"/>
            <w:tcBorders>
              <w:top w:val="single" w:sz="4" w:color="BFBFBF"/>
              <w:left w:val="single" w:sz="4" w:color="BFBFBF"/>
              <w:bottom w:val="single" w:sz="4" w:color="BFBFBF"/>
              <w:right w:val="single" w:sz="4" w:color="BFBFBF"/>
            </w:tcBorders>
            <w:vAlign w:val="center"/>
          </w:tcPr>
          <w:p>
            <w:r/>
            <w:r>
              <w:rPr>
                <w:sz w:val="20"/>
              </w:rPr>
              <w:t>Multi-entity / multi-currency</w:t>
            </w:r>
          </w:p>
        </w:tc>
        <w:tc>
          <w:tcPr>
            <w:tcW w:type="dxa" w:w="3888"/>
            <w:tcBorders>
              <w:top w:val="single" w:sz="4" w:color="BFBFBF"/>
              <w:left w:val="single" w:sz="4" w:color="BFBFBF"/>
              <w:bottom w:val="single" w:sz="4" w:color="BFBFBF"/>
              <w:right w:val="single" w:sz="4" w:color="BFBFBF"/>
            </w:tcBorders>
            <w:vAlign w:val="center"/>
          </w:tcPr>
          <w:p>
            <w:r/>
            <w:r>
              <w:rPr>
                <w:sz w:val="20"/>
              </w:rPr>
              <w:t>Dedicated support, SSO, advanced audit, on-prem option</w:t>
            </w:r>
          </w:p>
        </w:tc>
      </w:tr>
    </w:tbl>
    <w:p>
      <w:pPr>
        <w:spacing w:after="80"/>
      </w:pPr>
      <w:r>
        <w:rPr>
          <w:b w:val="0"/>
          <w:i/>
          <w:color w:val="566573"/>
          <w:sz w:val="20"/>
        </w:rPr>
        <w:t>Prices are indicative for planning only. Final pricing should be set after competitive benchmarking against Tally, QuickBooks Online, Zoho Books and Xero in target markets.</w:t>
      </w:r>
    </w:p>
    <w:p>
      <w:pPr>
        <w:spacing w:before="240" w:after="80"/>
      </w:pPr>
      <w:r>
        <w:rPr>
          <w:b/>
          <w:color w:val="1F77B4"/>
          <w:sz w:val="28"/>
        </w:rPr>
        <w:t>5.4 Feature Gating Logic</w:t>
      </w:r>
    </w:p>
    <w:p>
      <w:pPr>
        <w:pStyle w:val="ListBullet"/>
        <w:spacing w:after="40"/>
        <w:ind w:left="360"/>
      </w:pPr>
      <w:r>
        <w:rPr>
          <w:sz w:val="22"/>
        </w:rPr>
        <w:t>A central Subscription &amp; Billing Engine stores each tenant's active plan, expiry date and feature entitlements as a JSON blob.</w:t>
      </w:r>
    </w:p>
    <w:p>
      <w:pPr>
        <w:pStyle w:val="ListBullet"/>
        <w:spacing w:after="40"/>
        <w:ind w:left="360"/>
      </w:pPr>
      <w:r>
        <w:rPr>
          <w:sz w:val="22"/>
        </w:rPr>
        <w:t>Every accounting API route checks: (1) authenticated user, (2) RBAC role allows accounting, (3) tenant has an active entitlement covering that feature.</w:t>
      </w:r>
    </w:p>
    <w:p>
      <w:pPr>
        <w:pStyle w:val="ListBullet"/>
        <w:spacing w:after="40"/>
        <w:ind w:left="360"/>
      </w:pPr>
      <w:r>
        <w:rPr>
          <w:sz w:val="22"/>
        </w:rPr>
        <w:t>UI components in the Accounting Portal are rendered conditionally on entitlements — locked features show an upgrade prompt rather than an error.</w:t>
      </w:r>
    </w:p>
    <w:p>
      <w:pPr>
        <w:pStyle w:val="ListBullet"/>
        <w:spacing w:after="40"/>
        <w:ind w:left="360"/>
      </w:pPr>
      <w:r>
        <w:rPr>
          <w:sz w:val="22"/>
        </w:rPr>
        <w:t>Grace period of 7 days on expiry — read-only access, prevents data loss; after 14 days the data is archived (export available on reactivation).</w:t>
      </w:r>
    </w:p>
    <w:p>
      <w:pPr>
        <w:pStyle w:val="ListBullet"/>
        <w:spacing w:after="40"/>
        <w:ind w:left="360"/>
      </w:pPr>
      <w:r>
        <w:rPr>
          <w:sz w:val="22"/>
        </w:rPr>
        <w:t>Lifetime plan is bound to a major version; major upgrades are sold separately at 50% of the then-current lifetime price.</w:t>
      </w:r>
    </w:p>
    <w:p>
      <w:pPr>
        <w:spacing w:before="240" w:after="80"/>
      </w:pPr>
      <w:r>
        <w:rPr>
          <w:b/>
          <w:color w:val="1F77B4"/>
          <w:sz w:val="28"/>
        </w:rPr>
        <w:t>5.5 Billing &amp; Payment for the Subscription</w:t>
      </w:r>
    </w:p>
    <w:p>
      <w:pPr>
        <w:pStyle w:val="ListBullet"/>
        <w:spacing w:after="40"/>
        <w:ind w:left="360"/>
      </w:pPr>
      <w:r>
        <w:rPr>
          <w:sz w:val="22"/>
        </w:rPr>
        <w:t>Stripe Billing (international cards), eSewa and Khalti subscriptions (NPR market) — recurring charge handled by the payment gateway.</w:t>
      </w:r>
    </w:p>
    <w:p>
      <w:pPr>
        <w:pStyle w:val="ListBullet"/>
        <w:spacing w:after="40"/>
        <w:ind w:left="360"/>
      </w:pPr>
      <w:r>
        <w:rPr>
          <w:sz w:val="22"/>
        </w:rPr>
        <w:t>Auto-invoice generation in the customer's name, with VAT line where applicable.</w:t>
      </w:r>
    </w:p>
    <w:p>
      <w:pPr>
        <w:pStyle w:val="ListBullet"/>
        <w:spacing w:after="40"/>
        <w:ind w:left="360"/>
      </w:pPr>
      <w:r>
        <w:rPr>
          <w:sz w:val="22"/>
        </w:rPr>
        <w:t>Dunning workflow on failed renewals: retry on day 1, 3, 7; downgrade automatically on day 14.</w:t>
      </w:r>
    </w:p>
    <w:p>
      <w:pPr>
        <w:pStyle w:val="ListBullet"/>
        <w:spacing w:after="40"/>
        <w:ind w:left="360"/>
      </w:pPr>
      <w:r>
        <w:rPr>
          <w:sz w:val="22"/>
        </w:rPr>
        <w:t>Customer-facing self-service: change plan, update card, download invoices, cancel subscription with reason capture.</w:t>
      </w:r>
    </w:p>
    <w:p>
      <w:pPr>
        <w:spacing w:before="240" w:after="80"/>
      </w:pPr>
      <w:r>
        <w:rPr>
          <w:b/>
          <w:color w:val="1F77B4"/>
          <w:sz w:val="28"/>
        </w:rPr>
        <w:t>5.6 Compliance &amp; Regulatory Mapping (Nepal-first)</w:t>
      </w:r>
    </w:p>
    <w:p>
      <w:pPr>
        <w:pStyle w:val="ListBullet"/>
        <w:spacing w:after="40"/>
        <w:ind w:left="360"/>
      </w:pPr>
      <w:r>
        <w:rPr>
          <w:sz w:val="22"/>
        </w:rPr>
        <w:t>Nepal IRD: PAN integration, e-invoice JSON, VAT 200 return format.</w:t>
      </w:r>
    </w:p>
    <w:p>
      <w:pPr>
        <w:pStyle w:val="ListBullet"/>
        <w:spacing w:after="40"/>
        <w:ind w:left="360"/>
      </w:pPr>
      <w:r>
        <w:rPr>
          <w:sz w:val="22"/>
        </w:rPr>
        <w:t>Indian GST (when expanding): GSTR-1 and GSTR-3B export.</w:t>
      </w:r>
    </w:p>
    <w:p>
      <w:pPr>
        <w:pStyle w:val="ListBullet"/>
        <w:spacing w:after="40"/>
        <w:ind w:left="360"/>
      </w:pPr>
      <w:r>
        <w:rPr>
          <w:sz w:val="22"/>
        </w:rPr>
        <w:t>International readiness: IFRS-style P&amp;L and Balance Sheet formats included.</w:t>
      </w:r>
    </w:p>
    <w:p>
      <w:pPr>
        <w:pStyle w:val="ListBullet"/>
        <w:spacing w:after="40"/>
        <w:ind w:left="360"/>
      </w:pPr>
      <w:r>
        <w:rPr>
          <w:sz w:val="22"/>
        </w:rPr>
        <w:t>Data residency: tenant data can be pinned to a specific cloud region (Enterprise plan).</w:t>
      </w:r>
    </w:p>
    <w:p>
      <w:r>
        <w:br w:type="page"/>
      </w:r>
    </w:p>
    <w:p>
      <w:pPr>
        <w:spacing w:before="360" w:after="160"/>
        <w:pBdr>
          <w:bottom w:val="single" w:sz="8" w:space="4" w:color="E67E22"/>
        </w:pBdr>
      </w:pPr>
      <w:r>
        <w:rPr>
          <w:b/>
          <w:color w:val="0F2A47"/>
          <w:sz w:val="40"/>
        </w:rPr>
        <w:t>6. System Architecture</w:t>
      </w:r>
    </w:p>
    <w:p>
      <w:pPr>
        <w:spacing w:after="80"/>
      </w:pPr>
      <w:r>
        <w:rPr>
          <w:b w:val="0"/>
          <w:i w:val="0"/>
          <w:color w:val="212932"/>
          <w:sz w:val="22"/>
        </w:rPr>
        <w:t>The platform follows a layered, service-oriented architecture. The diagram below shows the six layers, the major components in each layer, and the primary integrations.</w:t>
      </w:r>
    </w:p>
    <w:p>
      <w:pPr>
        <w:jc w:val="center"/>
      </w:pPr>
      <w:r>
        <w:drawing>
          <wp:inline xmlns:a="http://schemas.openxmlformats.org/drawingml/2006/main" xmlns:pic="http://schemas.openxmlformats.org/drawingml/2006/picture">
            <wp:extent cx="6035040" cy="4215430"/>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6035040" cy="4215430"/>
                    </a:xfrm>
                    <a:prstGeom prst="rect"/>
                  </pic:spPr>
                </pic:pic>
              </a:graphicData>
            </a:graphic>
          </wp:inline>
        </w:drawing>
      </w:r>
    </w:p>
    <w:p>
      <w:pPr>
        <w:jc w:val="center"/>
      </w:pPr>
      <w:r>
        <w:rPr>
          <w:i/>
          <w:color w:val="566573"/>
          <w:sz w:val="20"/>
        </w:rPr>
        <w:t>Figure 1 — Unified Platform System Architecture (6-Layer View)</w:t>
      </w:r>
    </w:p>
    <w:p>
      <w:pPr>
        <w:spacing w:before="240" w:after="80"/>
      </w:pPr>
      <w:r>
        <w:rPr>
          <w:b/>
          <w:color w:val="1F77B4"/>
          <w:sz w:val="28"/>
        </w:rPr>
        <w:t>6.1 Layer-by-Layer Walkthrough</w:t>
      </w:r>
    </w:p>
    <w:p>
      <w:pPr>
        <w:spacing w:before="160" w:after="40"/>
      </w:pPr>
      <w:r>
        <w:rPr>
          <w:b/>
          <w:color w:val="0F2A47"/>
          <w:sz w:val="24"/>
        </w:rPr>
        <w:t>Client Layer</w:t>
      </w:r>
    </w:p>
    <w:p>
      <w:pPr>
        <w:pStyle w:val="ListBullet"/>
        <w:spacing w:after="40"/>
        <w:ind w:left="360"/>
      </w:pPr>
      <w:r>
        <w:rPr>
          <w:sz w:val="22"/>
        </w:rPr>
        <w:t>End Customers on browsers and mobile devices.</w:t>
      </w:r>
    </w:p>
    <w:p>
      <w:pPr>
        <w:pStyle w:val="ListBullet"/>
        <w:spacing w:after="40"/>
        <w:ind w:left="360"/>
      </w:pPr>
      <w:r>
        <w:rPr>
          <w:sz w:val="22"/>
        </w:rPr>
        <w:t>Admin Team users (Super Admin, Admin, Editor) on desktop browsers.</w:t>
      </w:r>
    </w:p>
    <w:p>
      <w:pPr>
        <w:pStyle w:val="ListBullet"/>
        <w:spacing w:after="40"/>
        <w:ind w:left="360"/>
      </w:pPr>
      <w:r>
        <w:rPr>
          <w:sz w:val="22"/>
        </w:rPr>
        <w:t>Accountants accessing the premium portal (subscription-gated).</w:t>
      </w:r>
    </w:p>
    <w:p>
      <w:pPr>
        <w:pStyle w:val="ListBullet"/>
        <w:spacing w:after="40"/>
        <w:ind w:left="360"/>
      </w:pPr>
      <w:r>
        <w:rPr>
          <w:sz w:val="22"/>
        </w:rPr>
        <w:t>Viewers / stakeholders consuming dashboards.</w:t>
      </w:r>
    </w:p>
    <w:p>
      <w:pPr>
        <w:pStyle w:val="ListBullet"/>
        <w:spacing w:after="40"/>
        <w:ind w:left="360"/>
      </w:pPr>
      <w:r>
        <w:rPr>
          <w:sz w:val="22"/>
        </w:rPr>
        <w:t>Courier partners and suppliers calling our webhook endpoints.</w:t>
      </w:r>
    </w:p>
    <w:p>
      <w:pPr>
        <w:spacing w:before="160" w:after="40"/>
      </w:pPr>
      <w:r>
        <w:rPr>
          <w:b/>
          <w:color w:val="0F2A47"/>
          <w:sz w:val="24"/>
        </w:rPr>
        <w:t>Presentation Layer (Next.js Applications)</w:t>
      </w:r>
    </w:p>
    <w:p>
      <w:pPr>
        <w:pStyle w:val="ListBullet"/>
        <w:spacing w:after="40"/>
        <w:ind w:left="360"/>
      </w:pPr>
      <w:r>
        <w:rPr>
          <w:sz w:val="22"/>
        </w:rPr>
        <w:t>Customer Storefront — Next.js 14 with server-side rendering for SEO and fast first-paint; Tailwind CSS; Redux Toolkit + React Query.</w:t>
      </w:r>
    </w:p>
    <w:p>
      <w:pPr>
        <w:pStyle w:val="ListBullet"/>
        <w:spacing w:after="40"/>
        <w:ind w:left="360"/>
      </w:pPr>
      <w:r>
        <w:rPr>
          <w:sz w:val="22"/>
        </w:rPr>
        <w:t>Admin Web Console — React-based SPA inside Next.js shell; component library shared with the storefront.</w:t>
      </w:r>
    </w:p>
    <w:p>
      <w:pPr>
        <w:pStyle w:val="ListBullet"/>
        <w:spacing w:after="40"/>
        <w:ind w:left="360"/>
      </w:pPr>
      <w:r>
        <w:rPr>
          <w:sz w:val="22"/>
        </w:rPr>
        <w:t>Accounting Portal — separate route group with entitlement-aware components.</w:t>
      </w:r>
    </w:p>
    <w:p>
      <w:pPr>
        <w:pStyle w:val="ListBullet"/>
        <w:spacing w:after="40"/>
        <w:ind w:left="360"/>
      </w:pPr>
      <w:r>
        <w:rPr>
          <w:sz w:val="22"/>
        </w:rPr>
        <w:t>PWA layer — installable, offline cart cache, push notifications.</w:t>
      </w:r>
    </w:p>
    <w:p>
      <w:pPr>
        <w:spacing w:before="160" w:after="40"/>
      </w:pPr>
      <w:r>
        <w:rPr>
          <w:b/>
          <w:color w:val="0F2A47"/>
          <w:sz w:val="24"/>
        </w:rPr>
        <w:t>Application Layer (API &amp; Services)</w:t>
      </w:r>
    </w:p>
    <w:p>
      <w:pPr>
        <w:pStyle w:val="ListBullet"/>
        <w:spacing w:after="40"/>
        <w:ind w:left="360"/>
      </w:pPr>
      <w:r>
        <w:rPr>
          <w:sz w:val="22"/>
        </w:rPr>
        <w:t>API Gateway with rate limiting, request validation and WebSocket upgrade.</w:t>
      </w:r>
    </w:p>
    <w:p>
      <w:pPr>
        <w:pStyle w:val="ListBullet"/>
        <w:spacing w:after="40"/>
        <w:ind w:left="360"/>
      </w:pPr>
      <w:r>
        <w:rPr>
          <w:sz w:val="22"/>
        </w:rPr>
        <w:t>Auth &amp; Identity service — registration, login, 2FA, JWT issuance, OAuth 2.0.</w:t>
      </w:r>
    </w:p>
    <w:p>
      <w:pPr>
        <w:pStyle w:val="ListBullet"/>
        <w:spacing w:after="40"/>
        <w:ind w:left="360"/>
      </w:pPr>
      <w:r>
        <w:rPr>
          <w:sz w:val="22"/>
        </w:rPr>
        <w:t>RBAC Engine — central policy decision point, evaluated on every request.</w:t>
      </w:r>
    </w:p>
    <w:p>
      <w:pPr>
        <w:pStyle w:val="ListBullet"/>
        <w:spacing w:after="40"/>
        <w:ind w:left="360"/>
      </w:pPr>
      <w:r>
        <w:rPr>
          <w:sz w:val="22"/>
        </w:rPr>
        <w:t>Subscription &amp; Billing Engine — entitlements check, plan management, dunning.</w:t>
      </w:r>
    </w:p>
    <w:p>
      <w:pPr>
        <w:pStyle w:val="ListBullet"/>
        <w:spacing w:after="40"/>
        <w:ind w:left="360"/>
      </w:pPr>
      <w:r>
        <w:rPr>
          <w:sz w:val="22"/>
        </w:rPr>
        <w:t>Domain services — Social Media, E-Commerce, Inventory, Order State Machine, CRM &amp; Messaging, Accounting Core (Premium).</w:t>
      </w:r>
    </w:p>
    <w:p>
      <w:pPr>
        <w:spacing w:before="160" w:after="40"/>
      </w:pPr>
      <w:r>
        <w:rPr>
          <w:b/>
          <w:color w:val="0F2A47"/>
          <w:sz w:val="24"/>
        </w:rPr>
        <w:t>Data Layer</w:t>
      </w:r>
    </w:p>
    <w:p>
      <w:pPr>
        <w:pStyle w:val="ListBullet"/>
        <w:spacing w:after="40"/>
        <w:ind w:left="360"/>
      </w:pPr>
      <w:r>
        <w:rPr>
          <w:sz w:val="22"/>
        </w:rPr>
        <w:t>PostgreSQL — primary relational store for users, roles, orders, inventory, subscriptions, ledger.</w:t>
      </w:r>
    </w:p>
    <w:p>
      <w:pPr>
        <w:pStyle w:val="ListBullet"/>
        <w:spacing w:after="40"/>
        <w:ind w:left="360"/>
      </w:pPr>
      <w:r>
        <w:rPr>
          <w:sz w:val="22"/>
        </w:rPr>
        <w:t>Redis — sessions, cart cache, rate-limit counters, job queue backplane.</w:t>
      </w:r>
    </w:p>
    <w:p>
      <w:pPr>
        <w:pStyle w:val="ListBullet"/>
        <w:spacing w:after="40"/>
        <w:ind w:left="360"/>
      </w:pPr>
      <w:r>
        <w:rPr>
          <w:sz w:val="22"/>
        </w:rPr>
        <w:t>Elasticsearch / Meilisearch — fast catalogue search and auto-suggest.</w:t>
      </w:r>
    </w:p>
    <w:p>
      <w:pPr>
        <w:pStyle w:val="ListBullet"/>
        <w:spacing w:after="40"/>
        <w:ind w:left="360"/>
      </w:pPr>
      <w:r>
        <w:rPr>
          <w:sz w:val="22"/>
        </w:rPr>
        <w:t>Object Storage (S3) — product images, invoice PDFs, social media assets.</w:t>
      </w:r>
    </w:p>
    <w:p>
      <w:pPr>
        <w:pStyle w:val="ListBullet"/>
        <w:spacing w:after="40"/>
        <w:ind w:left="360"/>
      </w:pPr>
      <w:r>
        <w:rPr>
          <w:sz w:val="22"/>
        </w:rPr>
        <w:t>Audit Logs DB — append-only, WORM-style storage for compliance.</w:t>
      </w:r>
    </w:p>
    <w:p>
      <w:pPr>
        <w:spacing w:before="160" w:after="40"/>
      </w:pPr>
      <w:r>
        <w:rPr>
          <w:b/>
          <w:color w:val="0F2A47"/>
          <w:sz w:val="24"/>
        </w:rPr>
        <w:t>External Integrations</w:t>
      </w:r>
    </w:p>
    <w:p>
      <w:pPr>
        <w:pStyle w:val="ListBullet"/>
        <w:spacing w:after="40"/>
        <w:ind w:left="360"/>
      </w:pPr>
      <w:r>
        <w:rPr>
          <w:sz w:val="22"/>
        </w:rPr>
        <w:t>Meta Graph API (Facebook + Instagram), TikTok API.</w:t>
      </w:r>
    </w:p>
    <w:p>
      <w:pPr>
        <w:pStyle w:val="ListBullet"/>
        <w:spacing w:after="40"/>
        <w:ind w:left="360"/>
      </w:pPr>
      <w:r>
        <w:rPr>
          <w:sz w:val="22"/>
        </w:rPr>
        <w:t>eSewa, Khalti, Stripe / PayPal.</w:t>
      </w:r>
    </w:p>
    <w:p>
      <w:pPr>
        <w:pStyle w:val="ListBullet"/>
        <w:spacing w:after="40"/>
        <w:ind w:left="360"/>
      </w:pPr>
      <w:r>
        <w:rPr>
          <w:sz w:val="22"/>
        </w:rPr>
        <w:t>SendGrid / SMTP, Twilio / Sparrow SMS, Firebase Cloud Messaging.</w:t>
      </w:r>
    </w:p>
    <w:p>
      <w:pPr>
        <w:pStyle w:val="ListBullet"/>
        <w:spacing w:after="40"/>
        <w:ind w:left="360"/>
      </w:pPr>
      <w:r>
        <w:rPr>
          <w:sz w:val="22"/>
        </w:rPr>
        <w:t>Courier APIs (Pathao, Aramex) and Tax / IRD engine.</w:t>
      </w:r>
    </w:p>
    <w:p>
      <w:pPr>
        <w:spacing w:before="160" w:after="40"/>
      </w:pPr>
      <w:r>
        <w:rPr>
          <w:b/>
          <w:color w:val="0F2A47"/>
          <w:sz w:val="24"/>
        </w:rPr>
        <w:t>Infrastructure</w:t>
      </w:r>
    </w:p>
    <w:p>
      <w:pPr>
        <w:pStyle w:val="ListBullet"/>
        <w:spacing w:after="40"/>
        <w:ind w:left="360"/>
      </w:pPr>
      <w:r>
        <w:rPr>
          <w:sz w:val="22"/>
        </w:rPr>
        <w:t>AWS or GCP — EC2 / EKS, CloudFront / Cloud CDN, S3 / GCS.</w:t>
      </w:r>
    </w:p>
    <w:p>
      <w:pPr>
        <w:pStyle w:val="ListBullet"/>
        <w:spacing w:after="40"/>
        <w:ind w:left="360"/>
      </w:pPr>
      <w:r>
        <w:rPr>
          <w:sz w:val="22"/>
        </w:rPr>
        <w:t>Containers via Docker + Kubernetes for horizontal auto-scaling.</w:t>
      </w:r>
    </w:p>
    <w:p>
      <w:pPr>
        <w:pStyle w:val="ListBullet"/>
        <w:spacing w:after="40"/>
        <w:ind w:left="360"/>
      </w:pPr>
      <w:r>
        <w:rPr>
          <w:sz w:val="22"/>
        </w:rPr>
        <w:t>CI/CD with GitHub Actions and Infrastructure-as-Code (Terraform).</w:t>
      </w:r>
    </w:p>
    <w:p>
      <w:pPr>
        <w:pStyle w:val="ListBullet"/>
        <w:spacing w:after="40"/>
        <w:ind w:left="360"/>
      </w:pPr>
      <w:r>
        <w:rPr>
          <w:sz w:val="22"/>
        </w:rPr>
        <w:t>Monitoring: Sentry (errors), Datadog or New Relic (APM and infra).</w:t>
      </w:r>
    </w:p>
    <w:p>
      <w:pPr>
        <w:pStyle w:val="ListBullet"/>
        <w:spacing w:after="40"/>
        <w:ind w:left="360"/>
      </w:pPr>
      <w:r>
        <w:rPr>
          <w:sz w:val="22"/>
        </w:rPr>
        <w:t>Security: WAF, TLS 1.3 in transit, AES-256 at rest, automated backups.</w:t>
      </w:r>
    </w:p>
    <w:p>
      <w:r>
        <w:br w:type="page"/>
      </w:r>
    </w:p>
    <w:p>
      <w:pPr>
        <w:spacing w:before="360" w:after="160"/>
        <w:pBdr>
          <w:bottom w:val="single" w:sz="8" w:space="4" w:color="E67E22"/>
        </w:pBdr>
      </w:pPr>
      <w:r>
        <w:rPr>
          <w:b/>
          <w:color w:val="0F2A47"/>
          <w:sz w:val="40"/>
        </w:rPr>
        <w:t>7. End-to-End System Flow</w:t>
      </w:r>
    </w:p>
    <w:p>
      <w:pPr>
        <w:spacing w:after="80"/>
      </w:pPr>
      <w:r>
        <w:rPr>
          <w:b w:val="0"/>
          <w:i w:val="0"/>
          <w:color w:val="212932"/>
          <w:sz w:val="22"/>
        </w:rPr>
        <w:t>The flow diagram on the next page shows how an end-to-end customer purchase moves through the system, alongside the parallel administrative and accounting workflows that get triggered automatically.</w:t>
      </w:r>
    </w:p>
    <w:p>
      <w:pPr>
        <w:jc w:val="center"/>
      </w:pPr>
      <w:r>
        <w:drawing>
          <wp:inline xmlns:a="http://schemas.openxmlformats.org/drawingml/2006/main" xmlns:pic="http://schemas.openxmlformats.org/drawingml/2006/picture">
            <wp:extent cx="6217920" cy="4030712"/>
            <wp:docPr id="2" name="Picture 2"/>
            <wp:cNvGraphicFramePr>
              <a:graphicFrameLocks noChangeAspect="1"/>
            </wp:cNvGraphicFramePr>
            <a:graphic>
              <a:graphicData uri="http://schemas.openxmlformats.org/drawingml/2006/picture">
                <pic:pic>
                  <pic:nvPicPr>
                    <pic:cNvPr id="0" name="flow.png"/>
                    <pic:cNvPicPr/>
                  </pic:nvPicPr>
                  <pic:blipFill>
                    <a:blip r:embed="rId10"/>
                    <a:stretch>
                      <a:fillRect/>
                    </a:stretch>
                  </pic:blipFill>
                  <pic:spPr>
                    <a:xfrm>
                      <a:off x="0" y="0"/>
                      <a:ext cx="6217920" cy="4030712"/>
                    </a:xfrm>
                    <a:prstGeom prst="rect"/>
                  </pic:spPr>
                </pic:pic>
              </a:graphicData>
            </a:graphic>
          </wp:inline>
        </w:drawing>
      </w:r>
    </w:p>
    <w:p>
      <w:pPr>
        <w:jc w:val="center"/>
      </w:pPr>
      <w:r>
        <w:rPr>
          <w:i/>
          <w:color w:val="566573"/>
          <w:sz w:val="20"/>
        </w:rPr>
        <w:t>Figure 2 — End-to-End System Flow (Swim-Lane View)</w:t>
      </w:r>
    </w:p>
    <w:p>
      <w:pPr>
        <w:spacing w:before="240" w:after="80"/>
      </w:pPr>
      <w:r>
        <w:rPr>
          <w:b/>
          <w:color w:val="1F77B4"/>
          <w:sz w:val="28"/>
        </w:rPr>
        <w:t>7.1 Walkthrough — A Typical Purchase</w:t>
      </w:r>
    </w:p>
    <w:p>
      <w:pPr>
        <w:pStyle w:val="ListNumber"/>
        <w:spacing w:after="40"/>
      </w:pPr>
      <w:r>
        <w:rPr>
          <w:sz w:val="22"/>
        </w:rPr>
        <w:t>Customer registers (or logs in) on the storefront — Auth &amp; RBAC service issues a JWT.</w:t>
      </w:r>
    </w:p>
    <w:p>
      <w:pPr>
        <w:pStyle w:val="ListNumber"/>
        <w:spacing w:after="40"/>
      </w:pPr>
      <w:r>
        <w:rPr>
          <w:sz w:val="22"/>
        </w:rPr>
        <w:t>Customer browses the catalogue (served from PostgreSQL via Elasticsearch) and adds items to their cart (cached in Redis).</w:t>
      </w:r>
    </w:p>
    <w:p>
      <w:pPr>
        <w:pStyle w:val="ListNumber"/>
        <w:spacing w:after="40"/>
      </w:pPr>
      <w:r>
        <w:rPr>
          <w:sz w:val="22"/>
        </w:rPr>
        <w:t>At checkout, the Order Service creates a Pending order, the inventory service reserves stock, and the Payment Orchestrator initiates the selected gateway (eSewa / Khalti / Stripe).</w:t>
      </w:r>
    </w:p>
    <w:p>
      <w:pPr>
        <w:pStyle w:val="ListNumber"/>
        <w:spacing w:after="40"/>
      </w:pPr>
      <w:r>
        <w:rPr>
          <w:sz w:val="22"/>
        </w:rPr>
        <w:t>On payment verification, the State Machine transitions the order to Confirmed, fires Email + SMS + Push notifications, and posts a journal entry to the Accounting Core (if the tenant has a Premium subscription).</w:t>
      </w:r>
    </w:p>
    <w:p>
      <w:pPr>
        <w:pStyle w:val="ListNumber"/>
        <w:spacing w:after="40"/>
      </w:pPr>
      <w:r>
        <w:rPr>
          <w:sz w:val="22"/>
        </w:rPr>
        <w:t>Admin sees the order in real time via WebSocket; assigns courier; the courier webhook later pushes Out-for-Delivery and Delivered events.</w:t>
      </w:r>
    </w:p>
    <w:p>
      <w:pPr>
        <w:pStyle w:val="ListNumber"/>
        <w:spacing w:after="40"/>
      </w:pPr>
      <w:r>
        <w:rPr>
          <w:sz w:val="22"/>
        </w:rPr>
        <w:t>Customer can track the order live, raise a return inside the return window, or rate the product after delivery.</w:t>
      </w:r>
    </w:p>
    <w:p>
      <w:pPr>
        <w:pStyle w:val="ListNumber"/>
        <w:spacing w:after="40"/>
      </w:pPr>
      <w:r>
        <w:rPr>
          <w:sz w:val="22"/>
        </w:rPr>
        <w:t>Returns and refunds reverse the stock and post the offsetting journal entries, keeping inventory, finance and customer records consistent.</w:t>
      </w:r>
    </w:p>
    <w:p>
      <w:pPr>
        <w:spacing w:before="240" w:after="80"/>
      </w:pPr>
      <w:r>
        <w:rPr>
          <w:b/>
          <w:color w:val="1F77B4"/>
          <w:sz w:val="28"/>
        </w:rPr>
        <w:t>7.2 Cross-Cutting Concerns</w:t>
      </w:r>
    </w:p>
    <w:p>
      <w:pPr>
        <w:pStyle w:val="ListBullet"/>
        <w:spacing w:after="40"/>
        <w:ind w:left="360"/>
      </w:pPr>
      <w:r>
        <w:rPr>
          <w:sz w:val="22"/>
        </w:rPr>
        <w:t>Every cross-lane arrow in the diagram is an authenticated, RBAC-checked API call.</w:t>
      </w:r>
    </w:p>
    <w:p>
      <w:pPr>
        <w:pStyle w:val="ListBullet"/>
        <w:spacing w:after="40"/>
        <w:ind w:left="360"/>
      </w:pPr>
      <w:r>
        <w:rPr>
          <w:sz w:val="22"/>
        </w:rPr>
        <w:t>Every status change broadcasts via WebSocket to relevant dashboards in real time.</w:t>
      </w:r>
    </w:p>
    <w:p>
      <w:pPr>
        <w:pStyle w:val="ListBullet"/>
        <w:spacing w:after="40"/>
        <w:ind w:left="360"/>
      </w:pPr>
      <w:r>
        <w:rPr>
          <w:sz w:val="22"/>
        </w:rPr>
        <w:t>Every business event is appended to the immutable audit log.</w:t>
      </w:r>
    </w:p>
    <w:p>
      <w:pPr>
        <w:pStyle w:val="ListBullet"/>
        <w:spacing w:after="40"/>
        <w:ind w:left="360"/>
      </w:pPr>
      <w:r>
        <w:rPr>
          <w:sz w:val="22"/>
        </w:rPr>
        <w:t>Premium-gated calls go through an entitlement check before executing.</w:t>
      </w:r>
    </w:p>
    <w:p>
      <w:r>
        <w:br w:type="page"/>
      </w:r>
    </w:p>
    <w:p>
      <w:pPr>
        <w:spacing w:before="360" w:after="160"/>
        <w:pBdr>
          <w:bottom w:val="single" w:sz="8" w:space="4" w:color="E67E22"/>
        </w:pBdr>
      </w:pPr>
      <w:r>
        <w:rPr>
          <w:b/>
          <w:color w:val="0F2A47"/>
          <w:sz w:val="40"/>
        </w:rPr>
        <w:t>8. Technology Stack</w:t>
      </w:r>
    </w:p>
    <w:tbl>
      <w:tblPr>
        <w:tblW w:type="auto" w:w="0"/>
        <w:jc w:val="center"/>
        <w:tblLook w:firstColumn="1" w:firstRow="1" w:lastColumn="0" w:lastRow="0" w:noHBand="0" w:noVBand="1" w:val="04A0"/>
      </w:tblPr>
      <w:tblGrid>
        <w:gridCol w:w="3216"/>
        <w:gridCol w:w="3216"/>
        <w:gridCol w:w="3216"/>
      </w:tblGrid>
      <w:tr>
        <w:tc>
          <w:tcPr>
            <w:tcW w:type="dxa" w:w="1872"/>
            <w:shd w:val="clear" w:color="auto" w:fill="0F2A47"/>
            <w:tcBorders>
              <w:top w:val="single" w:sz="4" w:color="BFBFBF"/>
              <w:left w:val="single" w:sz="4" w:color="BFBFBF"/>
              <w:bottom w:val="single" w:sz="4" w:color="BFBFBF"/>
              <w:right w:val="single" w:sz="4" w:color="BFBFBF"/>
            </w:tcBorders>
            <w:vAlign w:val="center"/>
          </w:tcPr>
          <w:p>
            <w:r/>
            <w:r>
              <w:rPr>
                <w:b/>
                <w:color w:val="FFFFFF"/>
                <w:sz w:val="21"/>
              </w:rPr>
              <w:t>Layer</w:t>
            </w:r>
          </w:p>
        </w:tc>
        <w:tc>
          <w:tcPr>
            <w:tcW w:type="dxa" w:w="3888"/>
            <w:shd w:val="clear" w:color="auto" w:fill="0F2A47"/>
            <w:tcBorders>
              <w:top w:val="single" w:sz="4" w:color="BFBFBF"/>
              <w:left w:val="single" w:sz="4" w:color="BFBFBF"/>
              <w:bottom w:val="single" w:sz="4" w:color="BFBFBF"/>
              <w:right w:val="single" w:sz="4" w:color="BFBFBF"/>
            </w:tcBorders>
            <w:vAlign w:val="center"/>
          </w:tcPr>
          <w:p>
            <w:r/>
            <w:r>
              <w:rPr>
                <w:b/>
                <w:color w:val="FFFFFF"/>
                <w:sz w:val="21"/>
              </w:rPr>
              <w:t>Technology</w:t>
            </w:r>
          </w:p>
        </w:tc>
        <w:tc>
          <w:tcPr>
            <w:tcW w:type="dxa" w:w="4320"/>
            <w:shd w:val="clear" w:color="auto" w:fill="0F2A47"/>
            <w:tcBorders>
              <w:top w:val="single" w:sz="4" w:color="BFBFBF"/>
              <w:left w:val="single" w:sz="4" w:color="BFBFBF"/>
              <w:bottom w:val="single" w:sz="4" w:color="BFBFBF"/>
              <w:right w:val="single" w:sz="4" w:color="BFBFBF"/>
            </w:tcBorders>
            <w:vAlign w:val="center"/>
          </w:tcPr>
          <w:p>
            <w:r/>
            <w:r>
              <w:rPr>
                <w:b/>
                <w:color w:val="FFFFFF"/>
                <w:sz w:val="21"/>
              </w:rPr>
              <w:t>Purpose</w:t>
            </w:r>
          </w:p>
        </w:tc>
      </w:tr>
      <w:tr>
        <w:tc>
          <w:tcPr>
            <w:tcW w:type="dxa" w:w="1872"/>
            <w:tcBorders>
              <w:top w:val="single" w:sz="4" w:color="BFBFBF"/>
              <w:left w:val="single" w:sz="4" w:color="BFBFBF"/>
              <w:bottom w:val="single" w:sz="4" w:color="BFBFBF"/>
              <w:right w:val="single" w:sz="4" w:color="BFBFBF"/>
            </w:tcBorders>
            <w:vAlign w:val="center"/>
          </w:tcPr>
          <w:p>
            <w:r/>
            <w:r>
              <w:rPr>
                <w:sz w:val="20"/>
              </w:rPr>
              <w:t>Frontend</w:t>
            </w:r>
          </w:p>
        </w:tc>
        <w:tc>
          <w:tcPr>
            <w:tcW w:type="dxa" w:w="3888"/>
            <w:tcBorders>
              <w:top w:val="single" w:sz="4" w:color="BFBFBF"/>
              <w:left w:val="single" w:sz="4" w:color="BFBFBF"/>
              <w:bottom w:val="single" w:sz="4" w:color="BFBFBF"/>
              <w:right w:val="single" w:sz="4" w:color="BFBFBF"/>
            </w:tcBorders>
            <w:vAlign w:val="center"/>
          </w:tcPr>
          <w:p>
            <w:r/>
            <w:r>
              <w:rPr>
                <w:sz w:val="20"/>
              </w:rPr>
              <w:t>Next.js 14 + React, Tailwind CSS, Redux Toolkit, React Query</w:t>
            </w:r>
          </w:p>
        </w:tc>
        <w:tc>
          <w:tcPr>
            <w:tcW w:type="dxa" w:w="4320"/>
            <w:tcBorders>
              <w:top w:val="single" w:sz="4" w:color="BFBFBF"/>
              <w:left w:val="single" w:sz="4" w:color="BFBFBF"/>
              <w:bottom w:val="single" w:sz="4" w:color="BFBFBF"/>
              <w:right w:val="single" w:sz="4" w:color="BFBFBF"/>
            </w:tcBorders>
            <w:vAlign w:val="center"/>
          </w:tcPr>
          <w:p>
            <w:r/>
            <w:r>
              <w:rPr>
                <w:sz w:val="20"/>
              </w:rPr>
              <w:t>SSR storefront, admin SPA, PWA</w:t>
            </w:r>
          </w:p>
        </w:tc>
      </w:tr>
      <w:tr>
        <w:tc>
          <w:tcPr>
            <w:tcW w:type="dxa" w:w="1872"/>
            <w:shd w:val="clear" w:color="auto" w:fill="F4F6F8"/>
            <w:tcBorders>
              <w:top w:val="single" w:sz="4" w:color="BFBFBF"/>
              <w:left w:val="single" w:sz="4" w:color="BFBFBF"/>
              <w:bottom w:val="single" w:sz="4" w:color="BFBFBF"/>
              <w:right w:val="single" w:sz="4" w:color="BFBFBF"/>
            </w:tcBorders>
            <w:vAlign w:val="center"/>
          </w:tcPr>
          <w:p>
            <w:r/>
            <w:r>
              <w:rPr>
                <w:sz w:val="20"/>
              </w:rPr>
              <w:t>Backend</w:t>
            </w:r>
          </w:p>
        </w:tc>
        <w:tc>
          <w:tcPr>
            <w:tcW w:type="dxa" w:w="3888"/>
            <w:shd w:val="clear" w:color="auto" w:fill="F4F6F8"/>
            <w:tcBorders>
              <w:top w:val="single" w:sz="4" w:color="BFBFBF"/>
              <w:left w:val="single" w:sz="4" w:color="BFBFBF"/>
              <w:bottom w:val="single" w:sz="4" w:color="BFBFBF"/>
              <w:right w:val="single" w:sz="4" w:color="BFBFBF"/>
            </w:tcBorders>
            <w:vAlign w:val="center"/>
          </w:tcPr>
          <w:p>
            <w:r/>
            <w:r>
              <w:rPr>
                <w:sz w:val="20"/>
              </w:rPr>
              <w:t>Node.js (NestJS) or Laravel (PHP)</w:t>
            </w:r>
          </w:p>
        </w:tc>
        <w:tc>
          <w:tcPr>
            <w:tcW w:type="dxa" w:w="4320"/>
            <w:shd w:val="clear" w:color="auto" w:fill="F4F6F8"/>
            <w:tcBorders>
              <w:top w:val="single" w:sz="4" w:color="BFBFBF"/>
              <w:left w:val="single" w:sz="4" w:color="BFBFBF"/>
              <w:bottom w:val="single" w:sz="4" w:color="BFBFBF"/>
              <w:right w:val="single" w:sz="4" w:color="BFBFBF"/>
            </w:tcBorders>
            <w:vAlign w:val="center"/>
          </w:tcPr>
          <w:p>
            <w:r/>
            <w:r>
              <w:rPr>
                <w:sz w:val="20"/>
              </w:rPr>
              <w:t>REST APIs, queues, webhooks</w:t>
            </w:r>
          </w:p>
        </w:tc>
      </w:tr>
      <w:tr>
        <w:tc>
          <w:tcPr>
            <w:tcW w:type="dxa" w:w="1872"/>
            <w:tcBorders>
              <w:top w:val="single" w:sz="4" w:color="BFBFBF"/>
              <w:left w:val="single" w:sz="4" w:color="BFBFBF"/>
              <w:bottom w:val="single" w:sz="4" w:color="BFBFBF"/>
              <w:right w:val="single" w:sz="4" w:color="BFBFBF"/>
            </w:tcBorders>
            <w:vAlign w:val="center"/>
          </w:tcPr>
          <w:p>
            <w:r/>
            <w:r>
              <w:rPr>
                <w:sz w:val="20"/>
              </w:rPr>
              <w:t>Database</w:t>
            </w:r>
          </w:p>
        </w:tc>
        <w:tc>
          <w:tcPr>
            <w:tcW w:type="dxa" w:w="3888"/>
            <w:tcBorders>
              <w:top w:val="single" w:sz="4" w:color="BFBFBF"/>
              <w:left w:val="single" w:sz="4" w:color="BFBFBF"/>
              <w:bottom w:val="single" w:sz="4" w:color="BFBFBF"/>
              <w:right w:val="single" w:sz="4" w:color="BFBFBF"/>
            </w:tcBorders>
            <w:vAlign w:val="center"/>
          </w:tcPr>
          <w:p>
            <w:r/>
            <w:r>
              <w:rPr>
                <w:sz w:val="20"/>
              </w:rPr>
              <w:t>PostgreSQL 16</w:t>
            </w:r>
          </w:p>
        </w:tc>
        <w:tc>
          <w:tcPr>
            <w:tcW w:type="dxa" w:w="4320"/>
            <w:tcBorders>
              <w:top w:val="single" w:sz="4" w:color="BFBFBF"/>
              <w:left w:val="single" w:sz="4" w:color="BFBFBF"/>
              <w:bottom w:val="single" w:sz="4" w:color="BFBFBF"/>
              <w:right w:val="single" w:sz="4" w:color="BFBFBF"/>
            </w:tcBorders>
            <w:vAlign w:val="center"/>
          </w:tcPr>
          <w:p>
            <w:r/>
            <w:r>
              <w:rPr>
                <w:sz w:val="20"/>
              </w:rPr>
              <w:t>Relational primary store</w:t>
            </w:r>
          </w:p>
        </w:tc>
      </w:tr>
      <w:tr>
        <w:tc>
          <w:tcPr>
            <w:tcW w:type="dxa" w:w="1872"/>
            <w:shd w:val="clear" w:color="auto" w:fill="F4F6F8"/>
            <w:tcBorders>
              <w:top w:val="single" w:sz="4" w:color="BFBFBF"/>
              <w:left w:val="single" w:sz="4" w:color="BFBFBF"/>
              <w:bottom w:val="single" w:sz="4" w:color="BFBFBF"/>
              <w:right w:val="single" w:sz="4" w:color="BFBFBF"/>
            </w:tcBorders>
            <w:vAlign w:val="center"/>
          </w:tcPr>
          <w:p>
            <w:r/>
            <w:r>
              <w:rPr>
                <w:sz w:val="20"/>
              </w:rPr>
              <w:t>Cache / Queue</w:t>
            </w:r>
          </w:p>
        </w:tc>
        <w:tc>
          <w:tcPr>
            <w:tcW w:type="dxa" w:w="3888"/>
            <w:shd w:val="clear" w:color="auto" w:fill="F4F6F8"/>
            <w:tcBorders>
              <w:top w:val="single" w:sz="4" w:color="BFBFBF"/>
              <w:left w:val="single" w:sz="4" w:color="BFBFBF"/>
              <w:bottom w:val="single" w:sz="4" w:color="BFBFBF"/>
              <w:right w:val="single" w:sz="4" w:color="BFBFBF"/>
            </w:tcBorders>
            <w:vAlign w:val="center"/>
          </w:tcPr>
          <w:p>
            <w:r/>
            <w:r>
              <w:rPr>
                <w:sz w:val="20"/>
              </w:rPr>
              <w:t>Redis 7</w:t>
            </w:r>
          </w:p>
        </w:tc>
        <w:tc>
          <w:tcPr>
            <w:tcW w:type="dxa" w:w="4320"/>
            <w:shd w:val="clear" w:color="auto" w:fill="F4F6F8"/>
            <w:tcBorders>
              <w:top w:val="single" w:sz="4" w:color="BFBFBF"/>
              <w:left w:val="single" w:sz="4" w:color="BFBFBF"/>
              <w:bottom w:val="single" w:sz="4" w:color="BFBFBF"/>
              <w:right w:val="single" w:sz="4" w:color="BFBFBF"/>
            </w:tcBorders>
            <w:vAlign w:val="center"/>
          </w:tcPr>
          <w:p>
            <w:r/>
            <w:r>
              <w:rPr>
                <w:sz w:val="20"/>
              </w:rPr>
              <w:t>Sessions, cart, rate limits, job queue</w:t>
            </w:r>
          </w:p>
        </w:tc>
      </w:tr>
      <w:tr>
        <w:tc>
          <w:tcPr>
            <w:tcW w:type="dxa" w:w="1872"/>
            <w:tcBorders>
              <w:top w:val="single" w:sz="4" w:color="BFBFBF"/>
              <w:left w:val="single" w:sz="4" w:color="BFBFBF"/>
              <w:bottom w:val="single" w:sz="4" w:color="BFBFBF"/>
              <w:right w:val="single" w:sz="4" w:color="BFBFBF"/>
            </w:tcBorders>
            <w:vAlign w:val="center"/>
          </w:tcPr>
          <w:p>
            <w:r/>
            <w:r>
              <w:rPr>
                <w:sz w:val="20"/>
              </w:rPr>
              <w:t>Search</w:t>
            </w:r>
          </w:p>
        </w:tc>
        <w:tc>
          <w:tcPr>
            <w:tcW w:type="dxa" w:w="3888"/>
            <w:tcBorders>
              <w:top w:val="single" w:sz="4" w:color="BFBFBF"/>
              <w:left w:val="single" w:sz="4" w:color="BFBFBF"/>
              <w:bottom w:val="single" w:sz="4" w:color="BFBFBF"/>
              <w:right w:val="single" w:sz="4" w:color="BFBFBF"/>
            </w:tcBorders>
            <w:vAlign w:val="center"/>
          </w:tcPr>
          <w:p>
            <w:r/>
            <w:r>
              <w:rPr>
                <w:sz w:val="20"/>
              </w:rPr>
              <w:t>Elasticsearch or Meilisearch</w:t>
            </w:r>
          </w:p>
        </w:tc>
        <w:tc>
          <w:tcPr>
            <w:tcW w:type="dxa" w:w="4320"/>
            <w:tcBorders>
              <w:top w:val="single" w:sz="4" w:color="BFBFBF"/>
              <w:left w:val="single" w:sz="4" w:color="BFBFBF"/>
              <w:bottom w:val="single" w:sz="4" w:color="BFBFBF"/>
              <w:right w:val="single" w:sz="4" w:color="BFBFBF"/>
            </w:tcBorders>
            <w:vAlign w:val="center"/>
          </w:tcPr>
          <w:p>
            <w:r/>
            <w:r>
              <w:rPr>
                <w:sz w:val="20"/>
              </w:rPr>
              <w:t>Catalogue full-text and faceted search</w:t>
            </w:r>
          </w:p>
        </w:tc>
      </w:tr>
      <w:tr>
        <w:tc>
          <w:tcPr>
            <w:tcW w:type="dxa" w:w="1872"/>
            <w:shd w:val="clear" w:color="auto" w:fill="F4F6F8"/>
            <w:tcBorders>
              <w:top w:val="single" w:sz="4" w:color="BFBFBF"/>
              <w:left w:val="single" w:sz="4" w:color="BFBFBF"/>
              <w:bottom w:val="single" w:sz="4" w:color="BFBFBF"/>
              <w:right w:val="single" w:sz="4" w:color="BFBFBF"/>
            </w:tcBorders>
            <w:vAlign w:val="center"/>
          </w:tcPr>
          <w:p>
            <w:r/>
            <w:r>
              <w:rPr>
                <w:sz w:val="20"/>
              </w:rPr>
              <w:t>Object Store</w:t>
            </w:r>
          </w:p>
        </w:tc>
        <w:tc>
          <w:tcPr>
            <w:tcW w:type="dxa" w:w="3888"/>
            <w:shd w:val="clear" w:color="auto" w:fill="F4F6F8"/>
            <w:tcBorders>
              <w:top w:val="single" w:sz="4" w:color="BFBFBF"/>
              <w:left w:val="single" w:sz="4" w:color="BFBFBF"/>
              <w:bottom w:val="single" w:sz="4" w:color="BFBFBF"/>
              <w:right w:val="single" w:sz="4" w:color="BFBFBF"/>
            </w:tcBorders>
            <w:vAlign w:val="center"/>
          </w:tcPr>
          <w:p>
            <w:r/>
            <w:r>
              <w:rPr>
                <w:sz w:val="20"/>
              </w:rPr>
              <w:t>AWS S3 / GCS</w:t>
            </w:r>
          </w:p>
        </w:tc>
        <w:tc>
          <w:tcPr>
            <w:tcW w:type="dxa" w:w="4320"/>
            <w:shd w:val="clear" w:color="auto" w:fill="F4F6F8"/>
            <w:tcBorders>
              <w:top w:val="single" w:sz="4" w:color="BFBFBF"/>
              <w:left w:val="single" w:sz="4" w:color="BFBFBF"/>
              <w:bottom w:val="single" w:sz="4" w:color="BFBFBF"/>
              <w:right w:val="single" w:sz="4" w:color="BFBFBF"/>
            </w:tcBorders>
            <w:vAlign w:val="center"/>
          </w:tcPr>
          <w:p>
            <w:r/>
            <w:r>
              <w:rPr>
                <w:sz w:val="20"/>
              </w:rPr>
              <w:t>Images, PDFs, media assets</w:t>
            </w:r>
          </w:p>
        </w:tc>
      </w:tr>
      <w:tr>
        <w:tc>
          <w:tcPr>
            <w:tcW w:type="dxa" w:w="1872"/>
            <w:tcBorders>
              <w:top w:val="single" w:sz="4" w:color="BFBFBF"/>
              <w:left w:val="single" w:sz="4" w:color="BFBFBF"/>
              <w:bottom w:val="single" w:sz="4" w:color="BFBFBF"/>
              <w:right w:val="single" w:sz="4" w:color="BFBFBF"/>
            </w:tcBorders>
            <w:vAlign w:val="center"/>
          </w:tcPr>
          <w:p>
            <w:r/>
            <w:r>
              <w:rPr>
                <w:sz w:val="20"/>
              </w:rPr>
              <w:t>Real-time</w:t>
            </w:r>
          </w:p>
        </w:tc>
        <w:tc>
          <w:tcPr>
            <w:tcW w:type="dxa" w:w="3888"/>
            <w:tcBorders>
              <w:top w:val="single" w:sz="4" w:color="BFBFBF"/>
              <w:left w:val="single" w:sz="4" w:color="BFBFBF"/>
              <w:bottom w:val="single" w:sz="4" w:color="BFBFBF"/>
              <w:right w:val="single" w:sz="4" w:color="BFBFBF"/>
            </w:tcBorders>
            <w:vAlign w:val="center"/>
          </w:tcPr>
          <w:p>
            <w:r/>
            <w:r>
              <w:rPr>
                <w:sz w:val="20"/>
              </w:rPr>
              <w:t>Socket.IO / WebSockets</w:t>
            </w:r>
          </w:p>
        </w:tc>
        <w:tc>
          <w:tcPr>
            <w:tcW w:type="dxa" w:w="4320"/>
            <w:tcBorders>
              <w:top w:val="single" w:sz="4" w:color="BFBFBF"/>
              <w:left w:val="single" w:sz="4" w:color="BFBFBF"/>
              <w:bottom w:val="single" w:sz="4" w:color="BFBFBF"/>
              <w:right w:val="single" w:sz="4" w:color="BFBFBF"/>
            </w:tcBorders>
            <w:vAlign w:val="center"/>
          </w:tcPr>
          <w:p>
            <w:r/>
            <w:r>
              <w:rPr>
                <w:sz w:val="20"/>
              </w:rPr>
              <w:t>Live order updates, inbox events</w:t>
            </w:r>
          </w:p>
        </w:tc>
      </w:tr>
      <w:tr>
        <w:tc>
          <w:tcPr>
            <w:tcW w:type="dxa" w:w="1872"/>
            <w:shd w:val="clear" w:color="auto" w:fill="F4F6F8"/>
            <w:tcBorders>
              <w:top w:val="single" w:sz="4" w:color="BFBFBF"/>
              <w:left w:val="single" w:sz="4" w:color="BFBFBF"/>
              <w:bottom w:val="single" w:sz="4" w:color="BFBFBF"/>
              <w:right w:val="single" w:sz="4" w:color="BFBFBF"/>
            </w:tcBorders>
            <w:vAlign w:val="center"/>
          </w:tcPr>
          <w:p>
            <w:r/>
            <w:r>
              <w:rPr>
                <w:sz w:val="20"/>
              </w:rPr>
              <w:t>Auth</w:t>
            </w:r>
          </w:p>
        </w:tc>
        <w:tc>
          <w:tcPr>
            <w:tcW w:type="dxa" w:w="3888"/>
            <w:shd w:val="clear" w:color="auto" w:fill="F4F6F8"/>
            <w:tcBorders>
              <w:top w:val="single" w:sz="4" w:color="BFBFBF"/>
              <w:left w:val="single" w:sz="4" w:color="BFBFBF"/>
              <w:bottom w:val="single" w:sz="4" w:color="BFBFBF"/>
              <w:right w:val="single" w:sz="4" w:color="BFBFBF"/>
            </w:tcBorders>
            <w:vAlign w:val="center"/>
          </w:tcPr>
          <w:p>
            <w:r/>
            <w:r>
              <w:rPr>
                <w:sz w:val="20"/>
              </w:rPr>
              <w:t>JWT (15-min) + refresh (7d), OAuth 2.0, 2FA (TOTP)</w:t>
            </w:r>
          </w:p>
        </w:tc>
        <w:tc>
          <w:tcPr>
            <w:tcW w:type="dxa" w:w="4320"/>
            <w:shd w:val="clear" w:color="auto" w:fill="F4F6F8"/>
            <w:tcBorders>
              <w:top w:val="single" w:sz="4" w:color="BFBFBF"/>
              <w:left w:val="single" w:sz="4" w:color="BFBFBF"/>
              <w:bottom w:val="single" w:sz="4" w:color="BFBFBF"/>
              <w:right w:val="single" w:sz="4" w:color="BFBFBF"/>
            </w:tcBorders>
            <w:vAlign w:val="center"/>
          </w:tcPr>
          <w:p>
            <w:r/>
            <w:r>
              <w:rPr>
                <w:sz w:val="20"/>
              </w:rPr>
              <w:t>Stateless secure access</w:t>
            </w:r>
          </w:p>
        </w:tc>
      </w:tr>
      <w:tr>
        <w:tc>
          <w:tcPr>
            <w:tcW w:type="dxa" w:w="1872"/>
            <w:tcBorders>
              <w:top w:val="single" w:sz="4" w:color="BFBFBF"/>
              <w:left w:val="single" w:sz="4" w:color="BFBFBF"/>
              <w:bottom w:val="single" w:sz="4" w:color="BFBFBF"/>
              <w:right w:val="single" w:sz="4" w:color="BFBFBF"/>
            </w:tcBorders>
            <w:vAlign w:val="center"/>
          </w:tcPr>
          <w:p>
            <w:r/>
            <w:r>
              <w:rPr>
                <w:sz w:val="20"/>
              </w:rPr>
              <w:t>Social APIs</w:t>
            </w:r>
          </w:p>
        </w:tc>
        <w:tc>
          <w:tcPr>
            <w:tcW w:type="dxa" w:w="3888"/>
            <w:tcBorders>
              <w:top w:val="single" w:sz="4" w:color="BFBFBF"/>
              <w:left w:val="single" w:sz="4" w:color="BFBFBF"/>
              <w:bottom w:val="single" w:sz="4" w:color="BFBFBF"/>
              <w:right w:val="single" w:sz="4" w:color="BFBFBF"/>
            </w:tcBorders>
            <w:vAlign w:val="center"/>
          </w:tcPr>
          <w:p>
            <w:r/>
            <w:r>
              <w:rPr>
                <w:sz w:val="20"/>
              </w:rPr>
              <w:t>Meta Graph API, TikTok Marketing API</w:t>
            </w:r>
          </w:p>
        </w:tc>
        <w:tc>
          <w:tcPr>
            <w:tcW w:type="dxa" w:w="4320"/>
            <w:tcBorders>
              <w:top w:val="single" w:sz="4" w:color="BFBFBF"/>
              <w:left w:val="single" w:sz="4" w:color="BFBFBF"/>
              <w:bottom w:val="single" w:sz="4" w:color="BFBFBF"/>
              <w:right w:val="single" w:sz="4" w:color="BFBFBF"/>
            </w:tcBorders>
            <w:vAlign w:val="center"/>
          </w:tcPr>
          <w:p>
            <w:r/>
            <w:r>
              <w:rPr>
                <w:sz w:val="20"/>
              </w:rPr>
              <w:t>Post, schedule, analytics, inbox</w:t>
            </w:r>
          </w:p>
        </w:tc>
      </w:tr>
      <w:tr>
        <w:tc>
          <w:tcPr>
            <w:tcW w:type="dxa" w:w="1872"/>
            <w:shd w:val="clear" w:color="auto" w:fill="F4F6F8"/>
            <w:tcBorders>
              <w:top w:val="single" w:sz="4" w:color="BFBFBF"/>
              <w:left w:val="single" w:sz="4" w:color="BFBFBF"/>
              <w:bottom w:val="single" w:sz="4" w:color="BFBFBF"/>
              <w:right w:val="single" w:sz="4" w:color="BFBFBF"/>
            </w:tcBorders>
            <w:vAlign w:val="center"/>
          </w:tcPr>
          <w:p>
            <w:r/>
            <w:r>
              <w:rPr>
                <w:sz w:val="20"/>
              </w:rPr>
              <w:t>Payments</w:t>
            </w:r>
          </w:p>
        </w:tc>
        <w:tc>
          <w:tcPr>
            <w:tcW w:type="dxa" w:w="3888"/>
            <w:shd w:val="clear" w:color="auto" w:fill="F4F6F8"/>
            <w:tcBorders>
              <w:top w:val="single" w:sz="4" w:color="BFBFBF"/>
              <w:left w:val="single" w:sz="4" w:color="BFBFBF"/>
              <w:bottom w:val="single" w:sz="4" w:color="BFBFBF"/>
              <w:right w:val="single" w:sz="4" w:color="BFBFBF"/>
            </w:tcBorders>
            <w:vAlign w:val="center"/>
          </w:tcPr>
          <w:p>
            <w:r/>
            <w:r>
              <w:rPr>
                <w:sz w:val="20"/>
              </w:rPr>
              <w:t>Stripe, eSewa, Khalti, PayPal</w:t>
            </w:r>
          </w:p>
        </w:tc>
        <w:tc>
          <w:tcPr>
            <w:tcW w:type="dxa" w:w="4320"/>
            <w:shd w:val="clear" w:color="auto" w:fill="F4F6F8"/>
            <w:tcBorders>
              <w:top w:val="single" w:sz="4" w:color="BFBFBF"/>
              <w:left w:val="single" w:sz="4" w:color="BFBFBF"/>
              <w:bottom w:val="single" w:sz="4" w:color="BFBFBF"/>
              <w:right w:val="single" w:sz="4" w:color="BFBFBF"/>
            </w:tcBorders>
            <w:vAlign w:val="center"/>
          </w:tcPr>
          <w:p>
            <w:r/>
            <w:r>
              <w:rPr>
                <w:sz w:val="20"/>
              </w:rPr>
              <w:t>Checkout, refunds, subscriptions</w:t>
            </w:r>
          </w:p>
        </w:tc>
      </w:tr>
      <w:tr>
        <w:tc>
          <w:tcPr>
            <w:tcW w:type="dxa" w:w="1872"/>
            <w:tcBorders>
              <w:top w:val="single" w:sz="4" w:color="BFBFBF"/>
              <w:left w:val="single" w:sz="4" w:color="BFBFBF"/>
              <w:bottom w:val="single" w:sz="4" w:color="BFBFBF"/>
              <w:right w:val="single" w:sz="4" w:color="BFBFBF"/>
            </w:tcBorders>
            <w:vAlign w:val="center"/>
          </w:tcPr>
          <w:p>
            <w:r/>
            <w:r>
              <w:rPr>
                <w:sz w:val="20"/>
              </w:rPr>
              <w:t>Notifications</w:t>
            </w:r>
          </w:p>
        </w:tc>
        <w:tc>
          <w:tcPr>
            <w:tcW w:type="dxa" w:w="3888"/>
            <w:tcBorders>
              <w:top w:val="single" w:sz="4" w:color="BFBFBF"/>
              <w:left w:val="single" w:sz="4" w:color="BFBFBF"/>
              <w:bottom w:val="single" w:sz="4" w:color="BFBFBF"/>
              <w:right w:val="single" w:sz="4" w:color="BFBFBF"/>
            </w:tcBorders>
            <w:vAlign w:val="center"/>
          </w:tcPr>
          <w:p>
            <w:r/>
            <w:r>
              <w:rPr>
                <w:sz w:val="20"/>
              </w:rPr>
              <w:t>SendGrid / SMTP, Twilio / Sparrow SMS, FCM</w:t>
            </w:r>
          </w:p>
        </w:tc>
        <w:tc>
          <w:tcPr>
            <w:tcW w:type="dxa" w:w="4320"/>
            <w:tcBorders>
              <w:top w:val="single" w:sz="4" w:color="BFBFBF"/>
              <w:left w:val="single" w:sz="4" w:color="BFBFBF"/>
              <w:bottom w:val="single" w:sz="4" w:color="BFBFBF"/>
              <w:right w:val="single" w:sz="4" w:color="BFBFBF"/>
            </w:tcBorders>
            <w:vAlign w:val="center"/>
          </w:tcPr>
          <w:p>
            <w:r/>
            <w:r>
              <w:rPr>
                <w:sz w:val="20"/>
              </w:rPr>
              <w:t>Email, SMS, push</w:t>
            </w:r>
          </w:p>
        </w:tc>
      </w:tr>
      <w:tr>
        <w:tc>
          <w:tcPr>
            <w:tcW w:type="dxa" w:w="1872"/>
            <w:shd w:val="clear" w:color="auto" w:fill="F4F6F8"/>
            <w:tcBorders>
              <w:top w:val="single" w:sz="4" w:color="BFBFBF"/>
              <w:left w:val="single" w:sz="4" w:color="BFBFBF"/>
              <w:bottom w:val="single" w:sz="4" w:color="BFBFBF"/>
              <w:right w:val="single" w:sz="4" w:color="BFBFBF"/>
            </w:tcBorders>
            <w:vAlign w:val="center"/>
          </w:tcPr>
          <w:p>
            <w:r/>
            <w:r>
              <w:rPr>
                <w:sz w:val="20"/>
              </w:rPr>
              <w:t>Search Infra</w:t>
            </w:r>
          </w:p>
        </w:tc>
        <w:tc>
          <w:tcPr>
            <w:tcW w:type="dxa" w:w="3888"/>
            <w:shd w:val="clear" w:color="auto" w:fill="F4F6F8"/>
            <w:tcBorders>
              <w:top w:val="single" w:sz="4" w:color="BFBFBF"/>
              <w:left w:val="single" w:sz="4" w:color="BFBFBF"/>
              <w:bottom w:val="single" w:sz="4" w:color="BFBFBF"/>
              <w:right w:val="single" w:sz="4" w:color="BFBFBF"/>
            </w:tcBorders>
            <w:vAlign w:val="center"/>
          </w:tcPr>
          <w:p>
            <w:r/>
            <w:r>
              <w:rPr>
                <w:sz w:val="20"/>
              </w:rPr>
              <w:t>OpenSearch (managed) optional</w:t>
            </w:r>
          </w:p>
        </w:tc>
        <w:tc>
          <w:tcPr>
            <w:tcW w:type="dxa" w:w="4320"/>
            <w:shd w:val="clear" w:color="auto" w:fill="F4F6F8"/>
            <w:tcBorders>
              <w:top w:val="single" w:sz="4" w:color="BFBFBF"/>
              <w:left w:val="single" w:sz="4" w:color="BFBFBF"/>
              <w:bottom w:val="single" w:sz="4" w:color="BFBFBF"/>
              <w:right w:val="single" w:sz="4" w:color="BFBFBF"/>
            </w:tcBorders>
            <w:vAlign w:val="center"/>
          </w:tcPr>
          <w:p>
            <w:r/>
            <w:r>
              <w:rPr>
                <w:sz w:val="20"/>
              </w:rPr>
              <w:t>Hosted scaling path</w:t>
            </w:r>
          </w:p>
        </w:tc>
      </w:tr>
      <w:tr>
        <w:tc>
          <w:tcPr>
            <w:tcW w:type="dxa" w:w="1872"/>
            <w:tcBorders>
              <w:top w:val="single" w:sz="4" w:color="BFBFBF"/>
              <w:left w:val="single" w:sz="4" w:color="BFBFBF"/>
              <w:bottom w:val="single" w:sz="4" w:color="BFBFBF"/>
              <w:right w:val="single" w:sz="4" w:color="BFBFBF"/>
            </w:tcBorders>
            <w:vAlign w:val="center"/>
          </w:tcPr>
          <w:p>
            <w:r/>
            <w:r>
              <w:rPr>
                <w:sz w:val="20"/>
              </w:rPr>
              <w:t>Cloud</w:t>
            </w:r>
          </w:p>
        </w:tc>
        <w:tc>
          <w:tcPr>
            <w:tcW w:type="dxa" w:w="3888"/>
            <w:tcBorders>
              <w:top w:val="single" w:sz="4" w:color="BFBFBF"/>
              <w:left w:val="single" w:sz="4" w:color="BFBFBF"/>
              <w:bottom w:val="single" w:sz="4" w:color="BFBFBF"/>
              <w:right w:val="single" w:sz="4" w:color="BFBFBF"/>
            </w:tcBorders>
            <w:vAlign w:val="center"/>
          </w:tcPr>
          <w:p>
            <w:r/>
            <w:r>
              <w:rPr>
                <w:sz w:val="20"/>
              </w:rPr>
              <w:t>AWS or GCP (EC2/EKS or GKE, CloudFront / Cloud CDN)</w:t>
            </w:r>
          </w:p>
        </w:tc>
        <w:tc>
          <w:tcPr>
            <w:tcW w:type="dxa" w:w="4320"/>
            <w:tcBorders>
              <w:top w:val="single" w:sz="4" w:color="BFBFBF"/>
              <w:left w:val="single" w:sz="4" w:color="BFBFBF"/>
              <w:bottom w:val="single" w:sz="4" w:color="BFBFBF"/>
              <w:right w:val="single" w:sz="4" w:color="BFBFBF"/>
            </w:tcBorders>
            <w:vAlign w:val="center"/>
          </w:tcPr>
          <w:p>
            <w:r/>
            <w:r>
              <w:rPr>
                <w:sz w:val="20"/>
              </w:rPr>
              <w:t>Scalable infra, global edge</w:t>
            </w:r>
          </w:p>
        </w:tc>
      </w:tr>
      <w:tr>
        <w:tc>
          <w:tcPr>
            <w:tcW w:type="dxa" w:w="1872"/>
            <w:shd w:val="clear" w:color="auto" w:fill="F4F6F8"/>
            <w:tcBorders>
              <w:top w:val="single" w:sz="4" w:color="BFBFBF"/>
              <w:left w:val="single" w:sz="4" w:color="BFBFBF"/>
              <w:bottom w:val="single" w:sz="4" w:color="BFBFBF"/>
              <w:right w:val="single" w:sz="4" w:color="BFBFBF"/>
            </w:tcBorders>
            <w:vAlign w:val="center"/>
          </w:tcPr>
          <w:p>
            <w:r/>
            <w:r>
              <w:rPr>
                <w:sz w:val="20"/>
              </w:rPr>
              <w:t>Containers</w:t>
            </w:r>
          </w:p>
        </w:tc>
        <w:tc>
          <w:tcPr>
            <w:tcW w:type="dxa" w:w="3888"/>
            <w:shd w:val="clear" w:color="auto" w:fill="F4F6F8"/>
            <w:tcBorders>
              <w:top w:val="single" w:sz="4" w:color="BFBFBF"/>
              <w:left w:val="single" w:sz="4" w:color="BFBFBF"/>
              <w:bottom w:val="single" w:sz="4" w:color="BFBFBF"/>
              <w:right w:val="single" w:sz="4" w:color="BFBFBF"/>
            </w:tcBorders>
            <w:vAlign w:val="center"/>
          </w:tcPr>
          <w:p>
            <w:r/>
            <w:r>
              <w:rPr>
                <w:sz w:val="20"/>
              </w:rPr>
              <w:t>Docker + Kubernetes</w:t>
            </w:r>
          </w:p>
        </w:tc>
        <w:tc>
          <w:tcPr>
            <w:tcW w:type="dxa" w:w="4320"/>
            <w:shd w:val="clear" w:color="auto" w:fill="F4F6F8"/>
            <w:tcBorders>
              <w:top w:val="single" w:sz="4" w:color="BFBFBF"/>
              <w:left w:val="single" w:sz="4" w:color="BFBFBF"/>
              <w:bottom w:val="single" w:sz="4" w:color="BFBFBF"/>
              <w:right w:val="single" w:sz="4" w:color="BFBFBF"/>
            </w:tcBorders>
            <w:vAlign w:val="center"/>
          </w:tcPr>
          <w:p>
            <w:r/>
            <w:r>
              <w:rPr>
                <w:sz w:val="20"/>
              </w:rPr>
              <w:t>Service packaging and orchestration</w:t>
            </w:r>
          </w:p>
        </w:tc>
      </w:tr>
      <w:tr>
        <w:tc>
          <w:tcPr>
            <w:tcW w:type="dxa" w:w="1872"/>
            <w:tcBorders>
              <w:top w:val="single" w:sz="4" w:color="BFBFBF"/>
              <w:left w:val="single" w:sz="4" w:color="BFBFBF"/>
              <w:bottom w:val="single" w:sz="4" w:color="BFBFBF"/>
              <w:right w:val="single" w:sz="4" w:color="BFBFBF"/>
            </w:tcBorders>
            <w:vAlign w:val="center"/>
          </w:tcPr>
          <w:p>
            <w:r/>
            <w:r>
              <w:rPr>
                <w:sz w:val="20"/>
              </w:rPr>
              <w:t>CI/CD</w:t>
            </w:r>
          </w:p>
        </w:tc>
        <w:tc>
          <w:tcPr>
            <w:tcW w:type="dxa" w:w="3888"/>
            <w:tcBorders>
              <w:top w:val="single" w:sz="4" w:color="BFBFBF"/>
              <w:left w:val="single" w:sz="4" w:color="BFBFBF"/>
              <w:bottom w:val="single" w:sz="4" w:color="BFBFBF"/>
              <w:right w:val="single" w:sz="4" w:color="BFBFBF"/>
            </w:tcBorders>
            <w:vAlign w:val="center"/>
          </w:tcPr>
          <w:p>
            <w:r/>
            <w:r>
              <w:rPr>
                <w:sz w:val="20"/>
              </w:rPr>
              <w:t>GitHub Actions + Terraform</w:t>
            </w:r>
          </w:p>
        </w:tc>
        <w:tc>
          <w:tcPr>
            <w:tcW w:type="dxa" w:w="4320"/>
            <w:tcBorders>
              <w:top w:val="single" w:sz="4" w:color="BFBFBF"/>
              <w:left w:val="single" w:sz="4" w:color="BFBFBF"/>
              <w:bottom w:val="single" w:sz="4" w:color="BFBFBF"/>
              <w:right w:val="single" w:sz="4" w:color="BFBFBF"/>
            </w:tcBorders>
            <w:vAlign w:val="center"/>
          </w:tcPr>
          <w:p>
            <w:r/>
            <w:r>
              <w:rPr>
                <w:sz w:val="20"/>
              </w:rPr>
              <w:t>Automated build, test, deploy, IaC</w:t>
            </w:r>
          </w:p>
        </w:tc>
      </w:tr>
      <w:tr>
        <w:tc>
          <w:tcPr>
            <w:tcW w:type="dxa" w:w="1872"/>
            <w:shd w:val="clear" w:color="auto" w:fill="F4F6F8"/>
            <w:tcBorders>
              <w:top w:val="single" w:sz="4" w:color="BFBFBF"/>
              <w:left w:val="single" w:sz="4" w:color="BFBFBF"/>
              <w:bottom w:val="single" w:sz="4" w:color="BFBFBF"/>
              <w:right w:val="single" w:sz="4" w:color="BFBFBF"/>
            </w:tcBorders>
            <w:vAlign w:val="center"/>
          </w:tcPr>
          <w:p>
            <w:r/>
            <w:r>
              <w:rPr>
                <w:sz w:val="20"/>
              </w:rPr>
              <w:t>Monitoring</w:t>
            </w:r>
          </w:p>
        </w:tc>
        <w:tc>
          <w:tcPr>
            <w:tcW w:type="dxa" w:w="3888"/>
            <w:shd w:val="clear" w:color="auto" w:fill="F4F6F8"/>
            <w:tcBorders>
              <w:top w:val="single" w:sz="4" w:color="BFBFBF"/>
              <w:left w:val="single" w:sz="4" w:color="BFBFBF"/>
              <w:bottom w:val="single" w:sz="4" w:color="BFBFBF"/>
              <w:right w:val="single" w:sz="4" w:color="BFBFBF"/>
            </w:tcBorders>
            <w:vAlign w:val="center"/>
          </w:tcPr>
          <w:p>
            <w:r/>
            <w:r>
              <w:rPr>
                <w:sz w:val="20"/>
              </w:rPr>
              <w:t>Sentry, Datadog / New Relic, Prometheus + Grafana</w:t>
            </w:r>
          </w:p>
        </w:tc>
        <w:tc>
          <w:tcPr>
            <w:tcW w:type="dxa" w:w="4320"/>
            <w:shd w:val="clear" w:color="auto" w:fill="F4F6F8"/>
            <w:tcBorders>
              <w:top w:val="single" w:sz="4" w:color="BFBFBF"/>
              <w:left w:val="single" w:sz="4" w:color="BFBFBF"/>
              <w:bottom w:val="single" w:sz="4" w:color="BFBFBF"/>
              <w:right w:val="single" w:sz="4" w:color="BFBFBF"/>
            </w:tcBorders>
            <w:vAlign w:val="center"/>
          </w:tcPr>
          <w:p>
            <w:r/>
            <w:r>
              <w:rPr>
                <w:sz w:val="20"/>
              </w:rPr>
              <w:t>Errors, APM, infra metrics</w:t>
            </w:r>
          </w:p>
        </w:tc>
      </w:tr>
      <w:tr>
        <w:tc>
          <w:tcPr>
            <w:tcW w:type="dxa" w:w="1872"/>
            <w:tcBorders>
              <w:top w:val="single" w:sz="4" w:color="BFBFBF"/>
              <w:left w:val="single" w:sz="4" w:color="BFBFBF"/>
              <w:bottom w:val="single" w:sz="4" w:color="BFBFBF"/>
              <w:right w:val="single" w:sz="4" w:color="BFBFBF"/>
            </w:tcBorders>
            <w:vAlign w:val="center"/>
          </w:tcPr>
          <w:p>
            <w:r/>
            <w:r>
              <w:rPr>
                <w:sz w:val="20"/>
              </w:rPr>
              <w:t>Security</w:t>
            </w:r>
          </w:p>
        </w:tc>
        <w:tc>
          <w:tcPr>
            <w:tcW w:type="dxa" w:w="3888"/>
            <w:tcBorders>
              <w:top w:val="single" w:sz="4" w:color="BFBFBF"/>
              <w:left w:val="single" w:sz="4" w:color="BFBFBF"/>
              <w:bottom w:val="single" w:sz="4" w:color="BFBFBF"/>
              <w:right w:val="single" w:sz="4" w:color="BFBFBF"/>
            </w:tcBorders>
            <w:vAlign w:val="center"/>
          </w:tcPr>
          <w:p>
            <w:r/>
            <w:r>
              <w:rPr>
                <w:sz w:val="20"/>
              </w:rPr>
              <w:t>WAF (Cloudflare / AWS), TLS 1.3, AES-256, Vault for secrets</w:t>
            </w:r>
          </w:p>
        </w:tc>
        <w:tc>
          <w:tcPr>
            <w:tcW w:type="dxa" w:w="4320"/>
            <w:tcBorders>
              <w:top w:val="single" w:sz="4" w:color="BFBFBF"/>
              <w:left w:val="single" w:sz="4" w:color="BFBFBF"/>
              <w:bottom w:val="single" w:sz="4" w:color="BFBFBF"/>
              <w:right w:val="single" w:sz="4" w:color="BFBFBF"/>
            </w:tcBorders>
            <w:vAlign w:val="center"/>
          </w:tcPr>
          <w:p>
            <w:r/>
            <w:r>
              <w:rPr>
                <w:sz w:val="20"/>
              </w:rPr>
              <w:t>Defence in depth</w:t>
            </w:r>
          </w:p>
        </w:tc>
      </w:tr>
      <w:tr>
        <w:tc>
          <w:tcPr>
            <w:tcW w:type="dxa" w:w="1872"/>
            <w:shd w:val="clear" w:color="auto" w:fill="F4F6F8"/>
            <w:tcBorders>
              <w:top w:val="single" w:sz="4" w:color="BFBFBF"/>
              <w:left w:val="single" w:sz="4" w:color="BFBFBF"/>
              <w:bottom w:val="single" w:sz="4" w:color="BFBFBF"/>
              <w:right w:val="single" w:sz="4" w:color="BFBFBF"/>
            </w:tcBorders>
            <w:vAlign w:val="center"/>
          </w:tcPr>
          <w:p>
            <w:r/>
            <w:r>
              <w:rPr>
                <w:sz w:val="20"/>
              </w:rPr>
              <w:t>Accounting</w:t>
            </w:r>
          </w:p>
        </w:tc>
        <w:tc>
          <w:tcPr>
            <w:tcW w:type="dxa" w:w="3888"/>
            <w:shd w:val="clear" w:color="auto" w:fill="F4F6F8"/>
            <w:tcBorders>
              <w:top w:val="single" w:sz="4" w:color="BFBFBF"/>
              <w:left w:val="single" w:sz="4" w:color="BFBFBF"/>
              <w:bottom w:val="single" w:sz="4" w:color="BFBFBF"/>
              <w:right w:val="single" w:sz="4" w:color="BFBFBF"/>
            </w:tcBorders>
            <w:vAlign w:val="center"/>
          </w:tcPr>
          <w:p>
            <w:r/>
            <w:r>
              <w:rPr>
                <w:sz w:val="20"/>
              </w:rPr>
              <w:t>Custom service in primary stack; PDF via Puppeteer</w:t>
            </w:r>
          </w:p>
        </w:tc>
        <w:tc>
          <w:tcPr>
            <w:tcW w:type="dxa" w:w="4320"/>
            <w:shd w:val="clear" w:color="auto" w:fill="F4F6F8"/>
            <w:tcBorders>
              <w:top w:val="single" w:sz="4" w:color="BFBFBF"/>
              <w:left w:val="single" w:sz="4" w:color="BFBFBF"/>
              <w:bottom w:val="single" w:sz="4" w:color="BFBFBF"/>
              <w:right w:val="single" w:sz="4" w:color="BFBFBF"/>
            </w:tcBorders>
            <w:vAlign w:val="center"/>
          </w:tcPr>
          <w:p>
            <w:r/>
            <w:r>
              <w:rPr>
                <w:sz w:val="20"/>
              </w:rPr>
              <w:t>Premium module</w:t>
            </w:r>
          </w:p>
        </w:tc>
      </w:tr>
    </w:tbl>
    <w:p>
      <w:pPr>
        <w:spacing w:before="240" w:after="80"/>
      </w:pPr>
      <w:r>
        <w:rPr>
          <w:b/>
          <w:color w:val="1F77B4"/>
          <w:sz w:val="28"/>
        </w:rPr>
        <w:t>8.1 Security Architecture</w:t>
      </w:r>
    </w:p>
    <w:p>
      <w:pPr>
        <w:pStyle w:val="ListBullet"/>
        <w:spacing w:after="40"/>
        <w:ind w:left="360"/>
      </w:pPr>
      <w:r>
        <w:rPr>
          <w:sz w:val="22"/>
        </w:rPr>
        <w:t>Authentication: short-lived JWT access tokens + rotating refresh tokens; OAuth 2.0 for social login; 2FA (TOTP) enforced for Super Admin and Admin.</w:t>
      </w:r>
    </w:p>
    <w:p>
      <w:pPr>
        <w:pStyle w:val="ListBullet"/>
        <w:spacing w:after="40"/>
        <w:ind w:left="360"/>
      </w:pPr>
      <w:r>
        <w:rPr>
          <w:sz w:val="22"/>
        </w:rPr>
        <w:t>Authorization: every API route guarded by RBAC middleware; entitlement check for premium routes.</w:t>
      </w:r>
    </w:p>
    <w:p>
      <w:pPr>
        <w:pStyle w:val="ListBullet"/>
        <w:spacing w:after="40"/>
        <w:ind w:left="360"/>
      </w:pPr>
      <w:r>
        <w:rPr>
          <w:sz w:val="22"/>
        </w:rPr>
        <w:t>Encryption: AES-256 at rest, TLS 1.3 in transit, secrets in Vault / KMS.</w:t>
      </w:r>
    </w:p>
    <w:p>
      <w:pPr>
        <w:pStyle w:val="ListBullet"/>
        <w:spacing w:after="40"/>
        <w:ind w:left="360"/>
      </w:pPr>
      <w:r>
        <w:rPr>
          <w:sz w:val="22"/>
        </w:rPr>
        <w:t>Audit logging: every CRUD action captures user, timestamp, IP and payload diff.</w:t>
      </w:r>
    </w:p>
    <w:p>
      <w:pPr>
        <w:pStyle w:val="ListBullet"/>
        <w:spacing w:after="40"/>
        <w:ind w:left="360"/>
      </w:pPr>
      <w:r>
        <w:rPr>
          <w:sz w:val="22"/>
        </w:rPr>
        <w:t>Rate limiting and brute-force lockout on auth endpoints.</w:t>
      </w:r>
    </w:p>
    <w:p>
      <w:pPr>
        <w:pStyle w:val="ListBullet"/>
        <w:spacing w:after="40"/>
        <w:ind w:left="360"/>
      </w:pPr>
      <w:r>
        <w:rPr>
          <w:sz w:val="22"/>
        </w:rPr>
        <w:t>Periodic dependency scanning (Dependabot / Snyk), third-party pen test pre-launch, annual re-test thereafter.</w:t>
      </w:r>
    </w:p>
    <w:p>
      <w:pPr>
        <w:pStyle w:val="ListBullet"/>
        <w:spacing w:after="40"/>
        <w:ind w:left="360"/>
      </w:pPr>
      <w:r>
        <w:rPr>
          <w:sz w:val="22"/>
        </w:rPr>
        <w:t>PCI scope minimisation: card data never touches our servers (Stripe Elements).</w:t>
      </w:r>
    </w:p>
    <w:p>
      <w:pPr>
        <w:pStyle w:val="ListBullet"/>
        <w:spacing w:after="40"/>
        <w:ind w:left="360"/>
      </w:pPr>
      <w:r>
        <w:rPr>
          <w:sz w:val="22"/>
        </w:rPr>
        <w:t>Data privacy: GDPR-aligned consent, data export, right-to-deletion flows.</w:t>
      </w:r>
    </w:p>
    <w:p>
      <w:r>
        <w:br w:type="page"/>
      </w:r>
    </w:p>
    <w:p>
      <w:pPr>
        <w:spacing w:before="360" w:after="160"/>
        <w:pBdr>
          <w:bottom w:val="single" w:sz="8" w:space="4" w:color="E67E22"/>
        </w:pBdr>
      </w:pPr>
      <w:r>
        <w:rPr>
          <w:b/>
          <w:color w:val="0F2A47"/>
          <w:sz w:val="40"/>
        </w:rPr>
        <w:t>9. Database Design — Key Entities</w:t>
      </w:r>
    </w:p>
    <w:p>
      <w:pPr>
        <w:spacing w:before="240" w:after="80"/>
      </w:pPr>
      <w:r>
        <w:rPr>
          <w:b/>
          <w:color w:val="1F77B4"/>
          <w:sz w:val="28"/>
        </w:rPr>
        <w:t>9.1 Identity &amp; Access</w:t>
      </w:r>
    </w:p>
    <w:p>
      <w:pPr>
        <w:pStyle w:val="ListBullet"/>
        <w:spacing w:after="40"/>
        <w:ind w:left="360"/>
      </w:pPr>
      <w:r>
        <w:rPr>
          <w:sz w:val="22"/>
        </w:rPr>
        <w:t>users (id, email, phone, password_hash, status, two_fa_enabled, created_at).</w:t>
      </w:r>
    </w:p>
    <w:p>
      <w:pPr>
        <w:pStyle w:val="ListBullet"/>
        <w:spacing w:after="40"/>
        <w:ind w:left="360"/>
      </w:pPr>
      <w:r>
        <w:rPr>
          <w:sz w:val="22"/>
        </w:rPr>
        <w:t>roles (id, name, is_system).</w:t>
      </w:r>
    </w:p>
    <w:p>
      <w:pPr>
        <w:pStyle w:val="ListBullet"/>
        <w:spacing w:after="40"/>
        <w:ind w:left="360"/>
      </w:pPr>
      <w:r>
        <w:rPr>
          <w:sz w:val="22"/>
        </w:rPr>
        <w:t>permissions (id, code, description).</w:t>
      </w:r>
    </w:p>
    <w:p>
      <w:pPr>
        <w:pStyle w:val="ListBullet"/>
        <w:spacing w:after="40"/>
        <w:ind w:left="360"/>
      </w:pPr>
      <w:r>
        <w:rPr>
          <w:sz w:val="22"/>
        </w:rPr>
        <w:t>role_permissions (role_id, permission_id).</w:t>
      </w:r>
    </w:p>
    <w:p>
      <w:pPr>
        <w:pStyle w:val="ListBullet"/>
        <w:spacing w:after="40"/>
        <w:ind w:left="360"/>
      </w:pPr>
      <w:r>
        <w:rPr>
          <w:sz w:val="22"/>
        </w:rPr>
        <w:t>user_roles (user_id, role_id).</w:t>
      </w:r>
    </w:p>
    <w:p>
      <w:pPr>
        <w:spacing w:before="240" w:after="80"/>
      </w:pPr>
      <w:r>
        <w:rPr>
          <w:b/>
          <w:color w:val="1F77B4"/>
          <w:sz w:val="28"/>
        </w:rPr>
        <w:t>9.2 Catalogue &amp; Inventory</w:t>
      </w:r>
    </w:p>
    <w:p>
      <w:pPr>
        <w:pStyle w:val="ListBullet"/>
        <w:spacing w:after="40"/>
        <w:ind w:left="360"/>
      </w:pPr>
      <w:r>
        <w:rPr>
          <w:sz w:val="22"/>
        </w:rPr>
        <w:t>products (id, sku, name, slug, brand_id, category_id, base_price, status).</w:t>
      </w:r>
    </w:p>
    <w:p>
      <w:pPr>
        <w:pStyle w:val="ListBullet"/>
        <w:spacing w:after="40"/>
        <w:ind w:left="360"/>
      </w:pPr>
      <w:r>
        <w:rPr>
          <w:sz w:val="22"/>
        </w:rPr>
        <w:t>product_variants (id, product_id, sku, attributes_json, price, stock).</w:t>
      </w:r>
    </w:p>
    <w:p>
      <w:pPr>
        <w:pStyle w:val="ListBullet"/>
        <w:spacing w:after="40"/>
        <w:ind w:left="360"/>
      </w:pPr>
      <w:r>
        <w:rPr>
          <w:sz w:val="22"/>
        </w:rPr>
        <w:t>inventory (product_id, variant_id, on_hand, reserved, available, threshold).</w:t>
      </w:r>
    </w:p>
    <w:p>
      <w:pPr>
        <w:pStyle w:val="ListBullet"/>
        <w:spacing w:after="40"/>
        <w:ind w:left="360"/>
      </w:pPr>
      <w:r>
        <w:rPr>
          <w:sz w:val="22"/>
        </w:rPr>
        <w:t>stock_movements (id, sku, type, qty_change, balance_after, reference_id, user_id, created_at).</w:t>
      </w:r>
    </w:p>
    <w:p>
      <w:pPr>
        <w:pStyle w:val="ListBullet"/>
        <w:spacing w:after="40"/>
        <w:ind w:left="360"/>
      </w:pPr>
      <w:r>
        <w:rPr>
          <w:sz w:val="22"/>
        </w:rPr>
        <w:t>purchase_orders (id, supplier_id, status, expected_at, created_by).</w:t>
      </w:r>
    </w:p>
    <w:p>
      <w:pPr>
        <w:spacing w:before="240" w:after="80"/>
      </w:pPr>
      <w:r>
        <w:rPr>
          <w:b/>
          <w:color w:val="1F77B4"/>
          <w:sz w:val="28"/>
        </w:rPr>
        <w:t>9.3 Orders &amp; Fulfilment</w:t>
      </w:r>
    </w:p>
    <w:p>
      <w:pPr>
        <w:pStyle w:val="ListBullet"/>
        <w:spacing w:after="40"/>
        <w:ind w:left="360"/>
      </w:pPr>
      <w:r>
        <w:rPr>
          <w:sz w:val="22"/>
        </w:rPr>
        <w:t>orders (id, user_id, status, subtotal, discount, delivery_fee, tax, total, payment_method, payment_status, address_id, courier_id, tracking_number, created_at).</w:t>
      </w:r>
    </w:p>
    <w:p>
      <w:pPr>
        <w:pStyle w:val="ListBullet"/>
        <w:spacing w:after="40"/>
        <w:ind w:left="360"/>
      </w:pPr>
      <w:r>
        <w:rPr>
          <w:sz w:val="22"/>
        </w:rPr>
        <w:t>order_items (id, order_id, product_id, variant_id, qty, unit_price, subtotal).</w:t>
      </w:r>
    </w:p>
    <w:p>
      <w:pPr>
        <w:pStyle w:val="ListBullet"/>
        <w:spacing w:after="40"/>
        <w:ind w:left="360"/>
      </w:pPr>
      <w:r>
        <w:rPr>
          <w:sz w:val="22"/>
        </w:rPr>
        <w:t>order_status_history (id, order_id, from_status, to_status, changed_by, created_at).</w:t>
      </w:r>
    </w:p>
    <w:p>
      <w:pPr>
        <w:pStyle w:val="ListBullet"/>
        <w:spacing w:after="40"/>
        <w:ind w:left="360"/>
      </w:pPr>
      <w:r>
        <w:rPr>
          <w:sz w:val="22"/>
        </w:rPr>
        <w:t>returns (id, order_id, reason, photos_json, status).</w:t>
      </w:r>
    </w:p>
    <w:p>
      <w:pPr>
        <w:pStyle w:val="ListBullet"/>
        <w:spacing w:after="40"/>
        <w:ind w:left="360"/>
      </w:pPr>
      <w:r>
        <w:rPr>
          <w:sz w:val="22"/>
        </w:rPr>
        <w:t>refunds (id, order_id, amount, gateway_ref, status, processed_at).</w:t>
      </w:r>
    </w:p>
    <w:p>
      <w:pPr>
        <w:spacing w:before="240" w:after="80"/>
      </w:pPr>
      <w:r>
        <w:rPr>
          <w:b/>
          <w:color w:val="1F77B4"/>
          <w:sz w:val="28"/>
        </w:rPr>
        <w:t>9.4 Social Media</w:t>
      </w:r>
    </w:p>
    <w:p>
      <w:pPr>
        <w:pStyle w:val="ListBullet"/>
        <w:spacing w:after="40"/>
        <w:ind w:left="360"/>
      </w:pPr>
      <w:r>
        <w:rPr>
          <w:sz w:val="22"/>
        </w:rPr>
        <w:t>social_accounts (id, platform, account_id, oauth_token_enc, refresh_token_enc).</w:t>
      </w:r>
    </w:p>
    <w:p>
      <w:pPr>
        <w:pStyle w:val="ListBullet"/>
        <w:spacing w:after="40"/>
        <w:ind w:left="360"/>
      </w:pPr>
      <w:r>
        <w:rPr>
          <w:sz w:val="22"/>
        </w:rPr>
        <w:t>posts (id, content, media_urls_json, status, scheduled_at, published_at).</w:t>
      </w:r>
    </w:p>
    <w:p>
      <w:pPr>
        <w:pStyle w:val="ListBullet"/>
        <w:spacing w:after="40"/>
        <w:ind w:left="360"/>
      </w:pPr>
      <w:r>
        <w:rPr>
          <w:sz w:val="22"/>
        </w:rPr>
        <w:t>post_targets (post_id, social_account_id, platform_post_id, status).</w:t>
      </w:r>
    </w:p>
    <w:p>
      <w:pPr>
        <w:pStyle w:val="ListBullet"/>
        <w:spacing w:after="40"/>
        <w:ind w:left="360"/>
      </w:pPr>
      <w:r>
        <w:rPr>
          <w:sz w:val="22"/>
        </w:rPr>
        <w:t>inbox_messages (id, social_account_id, thread_id, body, direction, assigned_to, status).</w:t>
      </w:r>
    </w:p>
    <w:p>
      <w:pPr>
        <w:spacing w:before="240" w:after="80"/>
      </w:pPr>
      <w:r>
        <w:rPr>
          <w:b/>
          <w:color w:val="1F77B4"/>
          <w:sz w:val="28"/>
        </w:rPr>
        <w:t>9.5 Premium Accounting</w:t>
      </w:r>
    </w:p>
    <w:p>
      <w:pPr>
        <w:pStyle w:val="ListBullet"/>
        <w:spacing w:after="40"/>
        <w:ind w:left="360"/>
      </w:pPr>
      <w:r>
        <w:rPr>
          <w:sz w:val="22"/>
        </w:rPr>
        <w:t>subscriptions (id, tenant_id, plan_code, billing_cycle, status, started_at, expires_at, gateway_ref).</w:t>
      </w:r>
    </w:p>
    <w:p>
      <w:pPr>
        <w:pStyle w:val="ListBullet"/>
        <w:spacing w:after="40"/>
        <w:ind w:left="360"/>
      </w:pPr>
      <w:r>
        <w:rPr>
          <w:sz w:val="22"/>
        </w:rPr>
        <w:t>plan_entitlements (plan_code, feature_code).</w:t>
      </w:r>
    </w:p>
    <w:p>
      <w:pPr>
        <w:pStyle w:val="ListBullet"/>
        <w:spacing w:after="40"/>
        <w:ind w:left="360"/>
      </w:pPr>
      <w:r>
        <w:rPr>
          <w:sz w:val="22"/>
        </w:rPr>
        <w:t>chart_of_accounts (id, code, name, type, parent_id).</w:t>
      </w:r>
    </w:p>
    <w:p>
      <w:pPr>
        <w:pStyle w:val="ListBullet"/>
        <w:spacing w:after="40"/>
        <w:ind w:left="360"/>
      </w:pPr>
      <w:r>
        <w:rPr>
          <w:sz w:val="22"/>
        </w:rPr>
        <w:t>journal_entries (id, posted_at, period_id, reference, source, created_by).</w:t>
      </w:r>
    </w:p>
    <w:p>
      <w:pPr>
        <w:pStyle w:val="ListBullet"/>
        <w:spacing w:after="40"/>
        <w:ind w:left="360"/>
      </w:pPr>
      <w:r>
        <w:rPr>
          <w:sz w:val="22"/>
        </w:rPr>
        <w:t>journal_lines (id, journal_id, account_id, debit, credit, currency).</w:t>
      </w:r>
    </w:p>
    <w:p>
      <w:pPr>
        <w:pStyle w:val="ListBullet"/>
        <w:spacing w:after="40"/>
        <w:ind w:left="360"/>
      </w:pPr>
      <w:r>
        <w:rPr>
          <w:sz w:val="22"/>
        </w:rPr>
        <w:t>tax_rates (id, code, rate_pct, jurisdiction, valid_from).</w:t>
      </w:r>
    </w:p>
    <w:p>
      <w:pPr>
        <w:pStyle w:val="ListBullet"/>
        <w:spacing w:after="40"/>
        <w:ind w:left="360"/>
      </w:pPr>
      <w:r>
        <w:rPr>
          <w:sz w:val="22"/>
        </w:rPr>
        <w:t>invoices (id, order_id, number, issued_at, total, tax_total, pdf_url).</w:t>
      </w:r>
    </w:p>
    <w:p>
      <w:pPr>
        <w:pStyle w:val="ListBullet"/>
        <w:spacing w:after="40"/>
        <w:ind w:left="360"/>
      </w:pPr>
      <w:r>
        <w:rPr>
          <w:sz w:val="22"/>
        </w:rPr>
        <w:t>audit_log (id, actor_id, action, entity, entity_id, before_json, after_json, ip, created_at).</w:t>
      </w:r>
    </w:p>
    <w:p>
      <w:r>
        <w:br w:type="page"/>
      </w:r>
    </w:p>
    <w:p>
      <w:pPr>
        <w:spacing w:before="360" w:after="160"/>
        <w:pBdr>
          <w:bottom w:val="single" w:sz="8" w:space="4" w:color="E67E22"/>
        </w:pBdr>
      </w:pPr>
      <w:r>
        <w:rPr>
          <w:b/>
          <w:color w:val="0F2A47"/>
          <w:sz w:val="40"/>
        </w:rPr>
        <w:t>10. Delivery Roadmap</w:t>
      </w:r>
    </w:p>
    <w:p>
      <w:pPr>
        <w:spacing w:after="80"/>
      </w:pPr>
      <w:r>
        <w:rPr>
          <w:b w:val="0"/>
          <w:i w:val="0"/>
          <w:color w:val="212932"/>
          <w:sz w:val="22"/>
        </w:rPr>
        <w:t>Two work streams run in parallel: the Internal Platform (Admin + Operations) and the Customer Portal (Storefront + Tracking). The Premium Accounting module is sequenced after the operational platform is stable so it can consume real transactional data.</w:t>
      </w:r>
    </w:p>
    <w:tbl>
      <w:tblPr>
        <w:tblW w:type="auto" w:w="0"/>
        <w:jc w:val="center"/>
        <w:tblLook w:firstColumn="1" w:firstRow="1" w:lastColumn="0" w:lastRow="0" w:noHBand="0" w:noVBand="1" w:val="04A0"/>
      </w:tblPr>
      <w:tblGrid>
        <w:gridCol w:w="2412"/>
        <w:gridCol w:w="2412"/>
        <w:gridCol w:w="2412"/>
        <w:gridCol w:w="2412"/>
      </w:tblGrid>
      <w:tr>
        <w:tc>
          <w:tcPr>
            <w:tcW w:type="dxa" w:w="1152"/>
            <w:shd w:val="clear" w:color="auto" w:fill="0F2A47"/>
            <w:tcBorders>
              <w:top w:val="single" w:sz="4" w:color="BFBFBF"/>
              <w:left w:val="single" w:sz="4" w:color="BFBFBF"/>
              <w:bottom w:val="single" w:sz="4" w:color="BFBFBF"/>
              <w:right w:val="single" w:sz="4" w:color="BFBFBF"/>
            </w:tcBorders>
            <w:vAlign w:val="center"/>
          </w:tcPr>
          <w:p>
            <w:r/>
            <w:r>
              <w:rPr>
                <w:b/>
                <w:color w:val="FFFFFF"/>
                <w:sz w:val="21"/>
              </w:rPr>
              <w:t>Phase</w:t>
            </w:r>
          </w:p>
        </w:tc>
        <w:tc>
          <w:tcPr>
            <w:tcW w:type="dxa" w:w="5760"/>
            <w:shd w:val="clear" w:color="auto" w:fill="0F2A47"/>
            <w:tcBorders>
              <w:top w:val="single" w:sz="4" w:color="BFBFBF"/>
              <w:left w:val="single" w:sz="4" w:color="BFBFBF"/>
              <w:bottom w:val="single" w:sz="4" w:color="BFBFBF"/>
              <w:right w:val="single" w:sz="4" w:color="BFBFBF"/>
            </w:tcBorders>
            <w:vAlign w:val="center"/>
          </w:tcPr>
          <w:p>
            <w:r/>
            <w:r>
              <w:rPr>
                <w:b/>
                <w:color w:val="FFFFFF"/>
                <w:sz w:val="21"/>
              </w:rPr>
              <w:t>Scope</w:t>
            </w:r>
          </w:p>
        </w:tc>
        <w:tc>
          <w:tcPr>
            <w:tcW w:type="dxa" w:w="1440"/>
            <w:shd w:val="clear" w:color="auto" w:fill="0F2A47"/>
            <w:tcBorders>
              <w:top w:val="single" w:sz="4" w:color="BFBFBF"/>
              <w:left w:val="single" w:sz="4" w:color="BFBFBF"/>
              <w:bottom w:val="single" w:sz="4" w:color="BFBFBF"/>
              <w:right w:val="single" w:sz="4" w:color="BFBFBF"/>
            </w:tcBorders>
            <w:vAlign w:val="center"/>
          </w:tcPr>
          <w:p>
            <w:r/>
            <w:r>
              <w:rPr>
                <w:b/>
                <w:color w:val="FFFFFF"/>
                <w:sz w:val="21"/>
              </w:rPr>
              <w:t>Duration</w:t>
            </w:r>
          </w:p>
        </w:tc>
        <w:tc>
          <w:tcPr>
            <w:tcW w:type="dxa" w:w="2016"/>
            <w:shd w:val="clear" w:color="auto" w:fill="0F2A47"/>
            <w:tcBorders>
              <w:top w:val="single" w:sz="4" w:color="BFBFBF"/>
              <w:left w:val="single" w:sz="4" w:color="BFBFBF"/>
              <w:bottom w:val="single" w:sz="4" w:color="BFBFBF"/>
              <w:right w:val="single" w:sz="4" w:color="BFBFBF"/>
            </w:tcBorders>
            <w:vAlign w:val="center"/>
          </w:tcPr>
          <w:p>
            <w:r/>
            <w:r>
              <w:rPr>
                <w:b/>
                <w:color w:val="FFFFFF"/>
                <w:sz w:val="21"/>
              </w:rPr>
              <w:t>Milestone</w:t>
            </w:r>
          </w:p>
        </w:tc>
      </w:tr>
      <w:tr>
        <w:tc>
          <w:tcPr>
            <w:tcW w:type="dxa" w:w="1152"/>
            <w:tcBorders>
              <w:top w:val="single" w:sz="4" w:color="BFBFBF"/>
              <w:left w:val="single" w:sz="4" w:color="BFBFBF"/>
              <w:bottom w:val="single" w:sz="4" w:color="BFBFBF"/>
              <w:right w:val="single" w:sz="4" w:color="BFBFBF"/>
            </w:tcBorders>
            <w:vAlign w:val="center"/>
          </w:tcPr>
          <w:p>
            <w:r/>
            <w:r>
              <w:rPr>
                <w:sz w:val="20"/>
              </w:rPr>
              <w:t>Phase 0</w:t>
            </w:r>
          </w:p>
        </w:tc>
        <w:tc>
          <w:tcPr>
            <w:tcW w:type="dxa" w:w="5760"/>
            <w:tcBorders>
              <w:top w:val="single" w:sz="4" w:color="BFBFBF"/>
              <w:left w:val="single" w:sz="4" w:color="BFBFBF"/>
              <w:bottom w:val="single" w:sz="4" w:color="BFBFBF"/>
              <w:right w:val="single" w:sz="4" w:color="BFBFBF"/>
            </w:tcBorders>
            <w:vAlign w:val="center"/>
          </w:tcPr>
          <w:p>
            <w:r/>
            <w:r>
              <w:rPr>
                <w:sz w:val="20"/>
              </w:rPr>
              <w:t>Sprint 0 — repos, CI/CD, design system, API skeleton</w:t>
            </w:r>
          </w:p>
        </w:tc>
        <w:tc>
          <w:tcPr>
            <w:tcW w:type="dxa" w:w="1440"/>
            <w:tcBorders>
              <w:top w:val="single" w:sz="4" w:color="BFBFBF"/>
              <w:left w:val="single" w:sz="4" w:color="BFBFBF"/>
              <w:bottom w:val="single" w:sz="4" w:color="BFBFBF"/>
              <w:right w:val="single" w:sz="4" w:color="BFBFBF"/>
            </w:tcBorders>
            <w:vAlign w:val="center"/>
          </w:tcPr>
          <w:p>
            <w:r/>
            <w:r>
              <w:rPr>
                <w:sz w:val="20"/>
              </w:rPr>
              <w:t>2 weeks</w:t>
            </w:r>
          </w:p>
        </w:tc>
        <w:tc>
          <w:tcPr>
            <w:tcW w:type="dxa" w:w="2016"/>
            <w:tcBorders>
              <w:top w:val="single" w:sz="4" w:color="BFBFBF"/>
              <w:left w:val="single" w:sz="4" w:color="BFBFBF"/>
              <w:bottom w:val="single" w:sz="4" w:color="BFBFBF"/>
              <w:right w:val="single" w:sz="4" w:color="BFBFBF"/>
            </w:tcBorders>
            <w:vAlign w:val="center"/>
          </w:tcPr>
          <w:p>
            <w:r/>
            <w:r>
              <w:rPr>
                <w:sz w:val="20"/>
              </w:rPr>
              <w:t>Foundations Ready</w:t>
            </w:r>
          </w:p>
        </w:tc>
      </w:tr>
      <w:tr>
        <w:tc>
          <w:tcPr>
            <w:tcW w:type="dxa" w:w="1152"/>
            <w:shd w:val="clear" w:color="auto" w:fill="F4F6F8"/>
            <w:tcBorders>
              <w:top w:val="single" w:sz="4" w:color="BFBFBF"/>
              <w:left w:val="single" w:sz="4" w:color="BFBFBF"/>
              <w:bottom w:val="single" w:sz="4" w:color="BFBFBF"/>
              <w:right w:val="single" w:sz="4" w:color="BFBFBF"/>
            </w:tcBorders>
            <w:vAlign w:val="center"/>
          </w:tcPr>
          <w:p>
            <w:r/>
            <w:r>
              <w:rPr>
                <w:sz w:val="20"/>
              </w:rPr>
              <w:t>Phase 1</w:t>
            </w:r>
          </w:p>
        </w:tc>
        <w:tc>
          <w:tcPr>
            <w:tcW w:type="dxa" w:w="5760"/>
            <w:shd w:val="clear" w:color="auto" w:fill="F4F6F8"/>
            <w:tcBorders>
              <w:top w:val="single" w:sz="4" w:color="BFBFBF"/>
              <w:left w:val="single" w:sz="4" w:color="BFBFBF"/>
              <w:bottom w:val="single" w:sz="4" w:color="BFBFBF"/>
              <w:right w:val="single" w:sz="4" w:color="BFBFBF"/>
            </w:tcBorders>
            <w:vAlign w:val="center"/>
          </w:tcPr>
          <w:p>
            <w:r/>
            <w:r>
              <w:rPr>
                <w:sz w:val="20"/>
              </w:rPr>
              <w:t>Auth, RBAC, user management, Super Admin console</w:t>
            </w:r>
          </w:p>
        </w:tc>
        <w:tc>
          <w:tcPr>
            <w:tcW w:type="dxa" w:w="1440"/>
            <w:shd w:val="clear" w:color="auto" w:fill="F4F6F8"/>
            <w:tcBorders>
              <w:top w:val="single" w:sz="4" w:color="BFBFBF"/>
              <w:left w:val="single" w:sz="4" w:color="BFBFBF"/>
              <w:bottom w:val="single" w:sz="4" w:color="BFBFBF"/>
              <w:right w:val="single" w:sz="4" w:color="BFBFBF"/>
            </w:tcBorders>
            <w:vAlign w:val="center"/>
          </w:tcPr>
          <w:p>
            <w:r/>
            <w:r>
              <w:rPr>
                <w:sz w:val="20"/>
              </w:rPr>
              <w:t>8 weeks</w:t>
            </w:r>
          </w:p>
        </w:tc>
        <w:tc>
          <w:tcPr>
            <w:tcW w:type="dxa" w:w="2016"/>
            <w:shd w:val="clear" w:color="auto" w:fill="F4F6F8"/>
            <w:tcBorders>
              <w:top w:val="single" w:sz="4" w:color="BFBFBF"/>
              <w:left w:val="single" w:sz="4" w:color="BFBFBF"/>
              <w:bottom w:val="single" w:sz="4" w:color="BFBFBF"/>
              <w:right w:val="single" w:sz="4" w:color="BFBFBF"/>
            </w:tcBorders>
            <w:vAlign w:val="center"/>
          </w:tcPr>
          <w:p>
            <w:r/>
            <w:r>
              <w:rPr>
                <w:sz w:val="20"/>
              </w:rPr>
              <w:t>Identity Layer</w:t>
            </w:r>
          </w:p>
        </w:tc>
      </w:tr>
      <w:tr>
        <w:tc>
          <w:tcPr>
            <w:tcW w:type="dxa" w:w="1152"/>
            <w:tcBorders>
              <w:top w:val="single" w:sz="4" w:color="BFBFBF"/>
              <w:left w:val="single" w:sz="4" w:color="BFBFBF"/>
              <w:bottom w:val="single" w:sz="4" w:color="BFBFBF"/>
              <w:right w:val="single" w:sz="4" w:color="BFBFBF"/>
            </w:tcBorders>
            <w:vAlign w:val="center"/>
          </w:tcPr>
          <w:p>
            <w:r/>
            <w:r>
              <w:rPr>
                <w:sz w:val="20"/>
              </w:rPr>
              <w:t>Phase 2</w:t>
            </w:r>
          </w:p>
        </w:tc>
        <w:tc>
          <w:tcPr>
            <w:tcW w:type="dxa" w:w="5760"/>
            <w:tcBorders>
              <w:top w:val="single" w:sz="4" w:color="BFBFBF"/>
              <w:left w:val="single" w:sz="4" w:color="BFBFBF"/>
              <w:bottom w:val="single" w:sz="4" w:color="BFBFBF"/>
              <w:right w:val="single" w:sz="4" w:color="BFBFBF"/>
            </w:tcBorders>
            <w:vAlign w:val="center"/>
          </w:tcPr>
          <w:p>
            <w:r/>
            <w:r>
              <w:rPr>
                <w:sz w:val="20"/>
              </w:rPr>
              <w:t>Social Media Hub (Meta + TikTok), composer, inbox, scheduler</w:t>
            </w:r>
          </w:p>
        </w:tc>
        <w:tc>
          <w:tcPr>
            <w:tcW w:type="dxa" w:w="1440"/>
            <w:tcBorders>
              <w:top w:val="single" w:sz="4" w:color="BFBFBF"/>
              <w:left w:val="single" w:sz="4" w:color="BFBFBF"/>
              <w:bottom w:val="single" w:sz="4" w:color="BFBFBF"/>
              <w:right w:val="single" w:sz="4" w:color="BFBFBF"/>
            </w:tcBorders>
            <w:vAlign w:val="center"/>
          </w:tcPr>
          <w:p>
            <w:r/>
            <w:r>
              <w:rPr>
                <w:sz w:val="20"/>
              </w:rPr>
              <w:t>10 weeks</w:t>
            </w:r>
          </w:p>
        </w:tc>
        <w:tc>
          <w:tcPr>
            <w:tcW w:type="dxa" w:w="2016"/>
            <w:tcBorders>
              <w:top w:val="single" w:sz="4" w:color="BFBFBF"/>
              <w:left w:val="single" w:sz="4" w:color="BFBFBF"/>
              <w:bottom w:val="single" w:sz="4" w:color="BFBFBF"/>
              <w:right w:val="single" w:sz="4" w:color="BFBFBF"/>
            </w:tcBorders>
            <w:vAlign w:val="center"/>
          </w:tcPr>
          <w:p>
            <w:r/>
            <w:r>
              <w:rPr>
                <w:sz w:val="20"/>
              </w:rPr>
              <w:t>Marketing Hub</w:t>
            </w:r>
          </w:p>
        </w:tc>
      </w:tr>
      <w:tr>
        <w:tc>
          <w:tcPr>
            <w:tcW w:type="dxa" w:w="1152"/>
            <w:shd w:val="clear" w:color="auto" w:fill="F4F6F8"/>
            <w:tcBorders>
              <w:top w:val="single" w:sz="4" w:color="BFBFBF"/>
              <w:left w:val="single" w:sz="4" w:color="BFBFBF"/>
              <w:bottom w:val="single" w:sz="4" w:color="BFBFBF"/>
              <w:right w:val="single" w:sz="4" w:color="BFBFBF"/>
            </w:tcBorders>
            <w:vAlign w:val="center"/>
          </w:tcPr>
          <w:p>
            <w:r/>
            <w:r>
              <w:rPr>
                <w:sz w:val="20"/>
              </w:rPr>
              <w:t>Phase 3</w:t>
            </w:r>
          </w:p>
        </w:tc>
        <w:tc>
          <w:tcPr>
            <w:tcW w:type="dxa" w:w="5760"/>
            <w:shd w:val="clear" w:color="auto" w:fill="F4F6F8"/>
            <w:tcBorders>
              <w:top w:val="single" w:sz="4" w:color="BFBFBF"/>
              <w:left w:val="single" w:sz="4" w:color="BFBFBF"/>
              <w:bottom w:val="single" w:sz="4" w:color="BFBFBF"/>
              <w:right w:val="single" w:sz="4" w:color="BFBFBF"/>
            </w:tcBorders>
            <w:vAlign w:val="center"/>
          </w:tcPr>
          <w:p>
            <w:r/>
            <w:r>
              <w:rPr>
                <w:sz w:val="20"/>
              </w:rPr>
              <w:t>E-Commerce engine + Customer Storefront + Payments (eSewa, Khalti, Stripe, COD)</w:t>
            </w:r>
          </w:p>
        </w:tc>
        <w:tc>
          <w:tcPr>
            <w:tcW w:type="dxa" w:w="1440"/>
            <w:shd w:val="clear" w:color="auto" w:fill="F4F6F8"/>
            <w:tcBorders>
              <w:top w:val="single" w:sz="4" w:color="BFBFBF"/>
              <w:left w:val="single" w:sz="4" w:color="BFBFBF"/>
              <w:bottom w:val="single" w:sz="4" w:color="BFBFBF"/>
              <w:right w:val="single" w:sz="4" w:color="BFBFBF"/>
            </w:tcBorders>
            <w:vAlign w:val="center"/>
          </w:tcPr>
          <w:p>
            <w:r/>
            <w:r>
              <w:rPr>
                <w:sz w:val="20"/>
              </w:rPr>
              <w:t>12 weeks</w:t>
            </w:r>
          </w:p>
        </w:tc>
        <w:tc>
          <w:tcPr>
            <w:tcW w:type="dxa" w:w="2016"/>
            <w:shd w:val="clear" w:color="auto" w:fill="F4F6F8"/>
            <w:tcBorders>
              <w:top w:val="single" w:sz="4" w:color="BFBFBF"/>
              <w:left w:val="single" w:sz="4" w:color="BFBFBF"/>
              <w:bottom w:val="single" w:sz="4" w:color="BFBFBF"/>
              <w:right w:val="single" w:sz="4" w:color="BFBFBF"/>
            </w:tcBorders>
            <w:vAlign w:val="center"/>
          </w:tcPr>
          <w:p>
            <w:r/>
            <w:r>
              <w:rPr>
                <w:sz w:val="20"/>
              </w:rPr>
              <w:t>Storefront Live</w:t>
            </w:r>
          </w:p>
        </w:tc>
      </w:tr>
      <w:tr>
        <w:tc>
          <w:tcPr>
            <w:tcW w:type="dxa" w:w="1152"/>
            <w:tcBorders>
              <w:top w:val="single" w:sz="4" w:color="BFBFBF"/>
              <w:left w:val="single" w:sz="4" w:color="BFBFBF"/>
              <w:bottom w:val="single" w:sz="4" w:color="BFBFBF"/>
              <w:right w:val="single" w:sz="4" w:color="BFBFBF"/>
            </w:tcBorders>
            <w:vAlign w:val="center"/>
          </w:tcPr>
          <w:p>
            <w:r/>
            <w:r>
              <w:rPr>
                <w:sz w:val="20"/>
              </w:rPr>
              <w:t>Phase 4</w:t>
            </w:r>
          </w:p>
        </w:tc>
        <w:tc>
          <w:tcPr>
            <w:tcW w:type="dxa" w:w="5760"/>
            <w:tcBorders>
              <w:top w:val="single" w:sz="4" w:color="BFBFBF"/>
              <w:left w:val="single" w:sz="4" w:color="BFBFBF"/>
              <w:bottom w:val="single" w:sz="4" w:color="BFBFBF"/>
              <w:right w:val="single" w:sz="4" w:color="BFBFBF"/>
            </w:tcBorders>
            <w:vAlign w:val="center"/>
          </w:tcPr>
          <w:p>
            <w:r/>
            <w:r>
              <w:rPr>
                <w:sz w:val="20"/>
              </w:rPr>
              <w:t>Order Tracking + Inventory + Courier integration + CRM lite</w:t>
            </w:r>
          </w:p>
        </w:tc>
        <w:tc>
          <w:tcPr>
            <w:tcW w:type="dxa" w:w="1440"/>
            <w:tcBorders>
              <w:top w:val="single" w:sz="4" w:color="BFBFBF"/>
              <w:left w:val="single" w:sz="4" w:color="BFBFBF"/>
              <w:bottom w:val="single" w:sz="4" w:color="BFBFBF"/>
              <w:right w:val="single" w:sz="4" w:color="BFBFBF"/>
            </w:tcBorders>
            <w:vAlign w:val="center"/>
          </w:tcPr>
          <w:p>
            <w:r/>
            <w:r>
              <w:rPr>
                <w:sz w:val="20"/>
              </w:rPr>
              <w:t>8 weeks</w:t>
            </w:r>
          </w:p>
        </w:tc>
        <w:tc>
          <w:tcPr>
            <w:tcW w:type="dxa" w:w="2016"/>
            <w:tcBorders>
              <w:top w:val="single" w:sz="4" w:color="BFBFBF"/>
              <w:left w:val="single" w:sz="4" w:color="BFBFBF"/>
              <w:bottom w:val="single" w:sz="4" w:color="BFBFBF"/>
              <w:right w:val="single" w:sz="4" w:color="BFBFBF"/>
            </w:tcBorders>
            <w:vAlign w:val="center"/>
          </w:tcPr>
          <w:p>
            <w:r/>
            <w:r>
              <w:rPr>
                <w:sz w:val="20"/>
              </w:rPr>
              <w:t>Operations Engine</w:t>
            </w:r>
          </w:p>
        </w:tc>
      </w:tr>
      <w:tr>
        <w:tc>
          <w:tcPr>
            <w:tcW w:type="dxa" w:w="1152"/>
            <w:shd w:val="clear" w:color="auto" w:fill="F4F6F8"/>
            <w:tcBorders>
              <w:top w:val="single" w:sz="4" w:color="BFBFBF"/>
              <w:left w:val="single" w:sz="4" w:color="BFBFBF"/>
              <w:bottom w:val="single" w:sz="4" w:color="BFBFBF"/>
              <w:right w:val="single" w:sz="4" w:color="BFBFBF"/>
            </w:tcBorders>
            <w:vAlign w:val="center"/>
          </w:tcPr>
          <w:p>
            <w:r/>
            <w:r>
              <w:rPr>
                <w:sz w:val="20"/>
              </w:rPr>
              <w:t>Phase 5</w:t>
            </w:r>
          </w:p>
        </w:tc>
        <w:tc>
          <w:tcPr>
            <w:tcW w:type="dxa" w:w="5760"/>
            <w:shd w:val="clear" w:color="auto" w:fill="F4F6F8"/>
            <w:tcBorders>
              <w:top w:val="single" w:sz="4" w:color="BFBFBF"/>
              <w:left w:val="single" w:sz="4" w:color="BFBFBF"/>
              <w:bottom w:val="single" w:sz="4" w:color="BFBFBF"/>
              <w:right w:val="single" w:sz="4" w:color="BFBFBF"/>
            </w:tcBorders>
            <w:vAlign w:val="center"/>
          </w:tcPr>
          <w:p>
            <w:r/>
            <w:r>
              <w:rPr>
                <w:sz w:val="20"/>
              </w:rPr>
              <w:t>Reporting, dashboards, analytics consolidation</w:t>
            </w:r>
          </w:p>
        </w:tc>
        <w:tc>
          <w:tcPr>
            <w:tcW w:type="dxa" w:w="1440"/>
            <w:shd w:val="clear" w:color="auto" w:fill="F4F6F8"/>
            <w:tcBorders>
              <w:top w:val="single" w:sz="4" w:color="BFBFBF"/>
              <w:left w:val="single" w:sz="4" w:color="BFBFBF"/>
              <w:bottom w:val="single" w:sz="4" w:color="BFBFBF"/>
              <w:right w:val="single" w:sz="4" w:color="BFBFBF"/>
            </w:tcBorders>
            <w:vAlign w:val="center"/>
          </w:tcPr>
          <w:p>
            <w:r/>
            <w:r>
              <w:rPr>
                <w:sz w:val="20"/>
              </w:rPr>
              <w:t>5 weeks</w:t>
            </w:r>
          </w:p>
        </w:tc>
        <w:tc>
          <w:tcPr>
            <w:tcW w:type="dxa" w:w="2016"/>
            <w:shd w:val="clear" w:color="auto" w:fill="F4F6F8"/>
            <w:tcBorders>
              <w:top w:val="single" w:sz="4" w:color="BFBFBF"/>
              <w:left w:val="single" w:sz="4" w:color="BFBFBF"/>
              <w:bottom w:val="single" w:sz="4" w:color="BFBFBF"/>
              <w:right w:val="single" w:sz="4" w:color="BFBFBF"/>
            </w:tcBorders>
            <w:vAlign w:val="center"/>
          </w:tcPr>
          <w:p>
            <w:r/>
            <w:r>
              <w:rPr>
                <w:sz w:val="20"/>
              </w:rPr>
              <w:t>Intelligence Layer</w:t>
            </w:r>
          </w:p>
        </w:tc>
      </w:tr>
      <w:tr>
        <w:tc>
          <w:tcPr>
            <w:tcW w:type="dxa" w:w="1152"/>
            <w:tcBorders>
              <w:top w:val="single" w:sz="4" w:color="BFBFBF"/>
              <w:left w:val="single" w:sz="4" w:color="BFBFBF"/>
              <w:bottom w:val="single" w:sz="4" w:color="BFBFBF"/>
              <w:right w:val="single" w:sz="4" w:color="BFBFBF"/>
            </w:tcBorders>
            <w:vAlign w:val="center"/>
          </w:tcPr>
          <w:p>
            <w:r/>
            <w:r>
              <w:rPr>
                <w:sz w:val="20"/>
              </w:rPr>
              <w:t>Phase 6</w:t>
            </w:r>
          </w:p>
        </w:tc>
        <w:tc>
          <w:tcPr>
            <w:tcW w:type="dxa" w:w="5760"/>
            <w:tcBorders>
              <w:top w:val="single" w:sz="4" w:color="BFBFBF"/>
              <w:left w:val="single" w:sz="4" w:color="BFBFBF"/>
              <w:bottom w:val="single" w:sz="4" w:color="BFBFBF"/>
              <w:right w:val="single" w:sz="4" w:color="BFBFBF"/>
            </w:tcBorders>
            <w:vAlign w:val="center"/>
          </w:tcPr>
          <w:p>
            <w:r/>
            <w:r>
              <w:rPr>
                <w:sz w:val="20"/>
              </w:rPr>
              <w:t>Premium Accounting &amp; Tax &amp; Audit + Subscription billing</w:t>
            </w:r>
          </w:p>
        </w:tc>
        <w:tc>
          <w:tcPr>
            <w:tcW w:type="dxa" w:w="1440"/>
            <w:tcBorders>
              <w:top w:val="single" w:sz="4" w:color="BFBFBF"/>
              <w:left w:val="single" w:sz="4" w:color="BFBFBF"/>
              <w:bottom w:val="single" w:sz="4" w:color="BFBFBF"/>
              <w:right w:val="single" w:sz="4" w:color="BFBFBF"/>
            </w:tcBorders>
            <w:vAlign w:val="center"/>
          </w:tcPr>
          <w:p>
            <w:r/>
            <w:r>
              <w:rPr>
                <w:sz w:val="20"/>
              </w:rPr>
              <w:t>10 weeks</w:t>
            </w:r>
          </w:p>
        </w:tc>
        <w:tc>
          <w:tcPr>
            <w:tcW w:type="dxa" w:w="2016"/>
            <w:tcBorders>
              <w:top w:val="single" w:sz="4" w:color="BFBFBF"/>
              <w:left w:val="single" w:sz="4" w:color="BFBFBF"/>
              <w:bottom w:val="single" w:sz="4" w:color="BFBFBF"/>
              <w:right w:val="single" w:sz="4" w:color="BFBFBF"/>
            </w:tcBorders>
            <w:vAlign w:val="center"/>
          </w:tcPr>
          <w:p>
            <w:r/>
            <w:r>
              <w:rPr>
                <w:sz w:val="20"/>
              </w:rPr>
              <w:t>Premium Tier</w:t>
            </w:r>
          </w:p>
        </w:tc>
      </w:tr>
      <w:tr>
        <w:tc>
          <w:tcPr>
            <w:tcW w:type="dxa" w:w="1152"/>
            <w:shd w:val="clear" w:color="auto" w:fill="F4F6F8"/>
            <w:tcBorders>
              <w:top w:val="single" w:sz="4" w:color="BFBFBF"/>
              <w:left w:val="single" w:sz="4" w:color="BFBFBF"/>
              <w:bottom w:val="single" w:sz="4" w:color="BFBFBF"/>
              <w:right w:val="single" w:sz="4" w:color="BFBFBF"/>
            </w:tcBorders>
            <w:vAlign w:val="center"/>
          </w:tcPr>
          <w:p>
            <w:r/>
            <w:r>
              <w:rPr>
                <w:sz w:val="20"/>
              </w:rPr>
              <w:t>Phase 7</w:t>
            </w:r>
          </w:p>
        </w:tc>
        <w:tc>
          <w:tcPr>
            <w:tcW w:type="dxa" w:w="5760"/>
            <w:shd w:val="clear" w:color="auto" w:fill="F4F6F8"/>
            <w:tcBorders>
              <w:top w:val="single" w:sz="4" w:color="BFBFBF"/>
              <w:left w:val="single" w:sz="4" w:color="BFBFBF"/>
              <w:bottom w:val="single" w:sz="4" w:color="BFBFBF"/>
              <w:right w:val="single" w:sz="4" w:color="BFBFBF"/>
            </w:tcBorders>
            <w:vAlign w:val="center"/>
          </w:tcPr>
          <w:p>
            <w:r/>
            <w:r>
              <w:rPr>
                <w:sz w:val="20"/>
              </w:rPr>
              <w:t>QA, security audit (third-party), UAT, performance tuning, launch</w:t>
            </w:r>
          </w:p>
        </w:tc>
        <w:tc>
          <w:tcPr>
            <w:tcW w:type="dxa" w:w="1440"/>
            <w:shd w:val="clear" w:color="auto" w:fill="F4F6F8"/>
            <w:tcBorders>
              <w:top w:val="single" w:sz="4" w:color="BFBFBF"/>
              <w:left w:val="single" w:sz="4" w:color="BFBFBF"/>
              <w:bottom w:val="single" w:sz="4" w:color="BFBFBF"/>
              <w:right w:val="single" w:sz="4" w:color="BFBFBF"/>
            </w:tcBorders>
            <w:vAlign w:val="center"/>
          </w:tcPr>
          <w:p>
            <w:r/>
            <w:r>
              <w:rPr>
                <w:sz w:val="20"/>
              </w:rPr>
              <w:t>5 weeks</w:t>
            </w:r>
          </w:p>
        </w:tc>
        <w:tc>
          <w:tcPr>
            <w:tcW w:type="dxa" w:w="2016"/>
            <w:shd w:val="clear" w:color="auto" w:fill="F4F6F8"/>
            <w:tcBorders>
              <w:top w:val="single" w:sz="4" w:color="BFBFBF"/>
              <w:left w:val="single" w:sz="4" w:color="BFBFBF"/>
              <w:bottom w:val="single" w:sz="4" w:color="BFBFBF"/>
              <w:right w:val="single" w:sz="4" w:color="BFBFBF"/>
            </w:tcBorders>
            <w:vAlign w:val="center"/>
          </w:tcPr>
          <w:p>
            <w:r/>
            <w:r>
              <w:rPr>
                <w:sz w:val="20"/>
              </w:rPr>
              <w:t>Go-Live</w:t>
            </w:r>
          </w:p>
        </w:tc>
      </w:tr>
    </w:tbl>
    <w:p>
      <w:pPr>
        <w:spacing w:after="80"/>
      </w:pPr>
      <w:r>
        <w:rPr>
          <w:b w:val="0"/>
          <w:i/>
          <w:color w:val="566573"/>
          <w:sz w:val="20"/>
        </w:rPr>
        <w:t>With Phases 1–4 running with overlapping teams, total wall-clock time is approximately 12 months including the Premium tier. Without the Premium tier, launch is achievable in 9–10 months.</w:t>
      </w:r>
    </w:p>
    <w:p>
      <w:pPr>
        <w:spacing w:before="240" w:after="80"/>
      </w:pPr>
      <w:r>
        <w:rPr>
          <w:b/>
          <w:color w:val="1F77B4"/>
          <w:sz w:val="28"/>
        </w:rPr>
        <w:t>10.1 Phase Dependencies</w:t>
      </w:r>
    </w:p>
    <w:p>
      <w:pPr>
        <w:pStyle w:val="ListBullet"/>
        <w:spacing w:after="40"/>
        <w:ind w:left="360"/>
      </w:pPr>
      <w:r>
        <w:rPr>
          <w:sz w:val="22"/>
        </w:rPr>
        <w:t>Phase 1 (Identity) must complete before any other module — every API depends on it.</w:t>
      </w:r>
    </w:p>
    <w:p>
      <w:pPr>
        <w:pStyle w:val="ListBullet"/>
        <w:spacing w:after="40"/>
        <w:ind w:left="360"/>
      </w:pPr>
      <w:r>
        <w:rPr>
          <w:sz w:val="22"/>
        </w:rPr>
        <w:t>Phases 2, 3 and 4 can run with overlapping teams once Phase 1 is stable.</w:t>
      </w:r>
    </w:p>
    <w:p>
      <w:pPr>
        <w:pStyle w:val="ListBullet"/>
        <w:spacing w:after="40"/>
        <w:ind w:left="360"/>
      </w:pPr>
      <w:r>
        <w:rPr>
          <w:sz w:val="22"/>
        </w:rPr>
        <w:t>Phase 5 needs at least one of Phase 2 / 3 / 4 in production to be meaningful.</w:t>
      </w:r>
    </w:p>
    <w:p>
      <w:pPr>
        <w:pStyle w:val="ListBullet"/>
        <w:spacing w:after="40"/>
        <w:ind w:left="360"/>
      </w:pPr>
      <w:r>
        <w:rPr>
          <w:sz w:val="22"/>
        </w:rPr>
        <w:t>Phase 6 (Premium) reads from Phases 3 and 4 — start no earlier than Phase 3 finish.</w:t>
      </w:r>
    </w:p>
    <w:p>
      <w:pPr>
        <w:pStyle w:val="ListBullet"/>
        <w:spacing w:after="40"/>
        <w:ind w:left="360"/>
      </w:pPr>
      <w:r>
        <w:rPr>
          <w:sz w:val="22"/>
        </w:rPr>
        <w:t>Phase 7 is a hard gate — no production traffic until security and UAT pass.</w:t>
      </w:r>
    </w:p>
    <w:p>
      <w:r>
        <w:br w:type="page"/>
      </w:r>
    </w:p>
    <w:p>
      <w:pPr>
        <w:spacing w:before="360" w:after="160"/>
        <w:pBdr>
          <w:bottom w:val="single" w:sz="8" w:space="4" w:color="E67E22"/>
        </w:pBdr>
      </w:pPr>
      <w:r>
        <w:rPr>
          <w:b/>
          <w:color w:val="0F2A47"/>
          <w:sz w:val="40"/>
        </w:rPr>
        <w:t>11. Indicative Budget</w:t>
      </w:r>
    </w:p>
    <w:p>
      <w:pPr>
        <w:spacing w:after="80"/>
      </w:pPr>
      <w:r>
        <w:rPr>
          <w:b w:val="0"/>
          <w:i/>
          <w:color w:val="566573"/>
          <w:sz w:val="20"/>
        </w:rPr>
        <w:t>Budget figures are planning estimates; final numbers depend on team location (in-house, near-shore, off-shore), seniority mix and any reuse of existing components. Conversions use 1 USD ≈ 133 NPR.</w:t>
      </w:r>
    </w:p>
    <w:p>
      <w:pPr>
        <w:spacing w:before="240" w:after="80"/>
      </w:pPr>
      <w:r>
        <w:rPr>
          <w:b/>
          <w:color w:val="1F77B4"/>
          <w:sz w:val="28"/>
        </w:rPr>
        <w:t>11.1 Build Cost — Team (12 months)</w:t>
      </w:r>
    </w:p>
    <w:tbl>
      <w:tblPr>
        <w:tblW w:type="auto" w:w="0"/>
        <w:jc w:val="center"/>
        <w:tblLook w:firstColumn="1" w:firstRow="1" w:lastColumn="0" w:lastRow="0" w:noHBand="0" w:noVBand="1" w:val="04A0"/>
      </w:tblPr>
      <w:tblGrid>
        <w:gridCol w:w="1930"/>
        <w:gridCol w:w="1930"/>
        <w:gridCol w:w="1930"/>
        <w:gridCol w:w="1930"/>
        <w:gridCol w:w="1930"/>
      </w:tblGrid>
      <w:tr>
        <w:tc>
          <w:tcPr>
            <w:tcW w:type="dxa" w:w="3744"/>
            <w:shd w:val="clear" w:color="auto" w:fill="0F2A47"/>
            <w:tcBorders>
              <w:top w:val="single" w:sz="4" w:color="BFBFBF"/>
              <w:left w:val="single" w:sz="4" w:color="BFBFBF"/>
              <w:bottom w:val="single" w:sz="4" w:color="BFBFBF"/>
              <w:right w:val="single" w:sz="4" w:color="BFBFBF"/>
            </w:tcBorders>
            <w:vAlign w:val="center"/>
          </w:tcPr>
          <w:p>
            <w:r/>
            <w:r>
              <w:rPr>
                <w:b/>
                <w:color w:val="FFFFFF"/>
                <w:sz w:val="21"/>
              </w:rPr>
              <w:t>Role</w:t>
            </w:r>
          </w:p>
        </w:tc>
        <w:tc>
          <w:tcPr>
            <w:tcW w:type="dxa" w:w="1152"/>
            <w:shd w:val="clear" w:color="auto" w:fill="0F2A47"/>
            <w:tcBorders>
              <w:top w:val="single" w:sz="4" w:color="BFBFBF"/>
              <w:left w:val="single" w:sz="4" w:color="BFBFBF"/>
              <w:bottom w:val="single" w:sz="4" w:color="BFBFBF"/>
              <w:right w:val="single" w:sz="4" w:color="BFBFBF"/>
            </w:tcBorders>
            <w:vAlign w:val="center"/>
          </w:tcPr>
          <w:p>
            <w:r/>
            <w:r>
              <w:rPr>
                <w:b/>
                <w:color w:val="FFFFFF"/>
                <w:sz w:val="21"/>
              </w:rPr>
              <w:t>Count</w:t>
            </w:r>
          </w:p>
        </w:tc>
        <w:tc>
          <w:tcPr>
            <w:tcW w:type="dxa" w:w="1872"/>
            <w:shd w:val="clear" w:color="auto" w:fill="0F2A47"/>
            <w:tcBorders>
              <w:top w:val="single" w:sz="4" w:color="BFBFBF"/>
              <w:left w:val="single" w:sz="4" w:color="BFBFBF"/>
              <w:bottom w:val="single" w:sz="4" w:color="BFBFBF"/>
              <w:right w:val="single" w:sz="4" w:color="BFBFBF"/>
            </w:tcBorders>
            <w:vAlign w:val="center"/>
          </w:tcPr>
          <w:p>
            <w:r/>
            <w:r>
              <w:rPr>
                <w:b/>
                <w:color w:val="FFFFFF"/>
                <w:sz w:val="21"/>
              </w:rPr>
              <w:t>Monthly Cost (USD)</w:t>
            </w:r>
          </w:p>
        </w:tc>
        <w:tc>
          <w:tcPr>
            <w:tcW w:type="dxa" w:w="1872"/>
            <w:shd w:val="clear" w:color="auto" w:fill="0F2A47"/>
            <w:tcBorders>
              <w:top w:val="single" w:sz="4" w:color="BFBFBF"/>
              <w:left w:val="single" w:sz="4" w:color="BFBFBF"/>
              <w:bottom w:val="single" w:sz="4" w:color="BFBFBF"/>
              <w:right w:val="single" w:sz="4" w:color="BFBFBF"/>
            </w:tcBorders>
            <w:vAlign w:val="center"/>
          </w:tcPr>
          <w:p>
            <w:r/>
            <w:r>
              <w:rPr>
                <w:b/>
                <w:color w:val="FFFFFF"/>
                <w:sz w:val="21"/>
              </w:rPr>
              <w:t>12-mo Cost (USD)</w:t>
            </w:r>
          </w:p>
        </w:tc>
        <w:tc>
          <w:tcPr>
            <w:tcW w:type="dxa" w:w="2016"/>
            <w:shd w:val="clear" w:color="auto" w:fill="0F2A47"/>
            <w:tcBorders>
              <w:top w:val="single" w:sz="4" w:color="BFBFBF"/>
              <w:left w:val="single" w:sz="4" w:color="BFBFBF"/>
              <w:bottom w:val="single" w:sz="4" w:color="BFBFBF"/>
              <w:right w:val="single" w:sz="4" w:color="BFBFBF"/>
            </w:tcBorders>
            <w:vAlign w:val="center"/>
          </w:tcPr>
          <w:p>
            <w:r/>
            <w:r>
              <w:rPr>
                <w:b/>
                <w:color w:val="FFFFFF"/>
                <w:sz w:val="21"/>
              </w:rPr>
              <w:t>12-mo Cost (NPR)</w:t>
            </w:r>
          </w:p>
        </w:tc>
      </w:tr>
      <w:tr>
        <w:tc>
          <w:tcPr>
            <w:tcW w:type="dxa" w:w="3744"/>
            <w:tcBorders>
              <w:top w:val="single" w:sz="4" w:color="BFBFBF"/>
              <w:left w:val="single" w:sz="4" w:color="BFBFBF"/>
              <w:bottom w:val="single" w:sz="4" w:color="BFBFBF"/>
              <w:right w:val="single" w:sz="4" w:color="BFBFBF"/>
            </w:tcBorders>
            <w:vAlign w:val="center"/>
          </w:tcPr>
          <w:p>
            <w:r/>
            <w:r>
              <w:rPr>
                <w:sz w:val="20"/>
              </w:rPr>
              <w:t>Project / Delivery Manager</w:t>
            </w:r>
          </w:p>
        </w:tc>
        <w:tc>
          <w:tcPr>
            <w:tcW w:type="dxa" w:w="1152"/>
            <w:tcBorders>
              <w:top w:val="single" w:sz="4" w:color="BFBFBF"/>
              <w:left w:val="single" w:sz="4" w:color="BFBFBF"/>
              <w:bottom w:val="single" w:sz="4" w:color="BFBFBF"/>
              <w:right w:val="single" w:sz="4" w:color="BFBFBF"/>
            </w:tcBorders>
            <w:vAlign w:val="center"/>
          </w:tcPr>
          <w:p>
            <w:r/>
            <w:r>
              <w:rPr>
                <w:sz w:val="20"/>
              </w:rPr>
              <w:t>1</w:t>
            </w:r>
          </w:p>
        </w:tc>
        <w:tc>
          <w:tcPr>
            <w:tcW w:type="dxa" w:w="1872"/>
            <w:tcBorders>
              <w:top w:val="single" w:sz="4" w:color="BFBFBF"/>
              <w:left w:val="single" w:sz="4" w:color="BFBFBF"/>
              <w:bottom w:val="single" w:sz="4" w:color="BFBFBF"/>
              <w:right w:val="single" w:sz="4" w:color="BFBFBF"/>
            </w:tcBorders>
            <w:vAlign w:val="center"/>
          </w:tcPr>
          <w:p>
            <w:r/>
            <w:r>
              <w:rPr>
                <w:sz w:val="20"/>
              </w:rPr>
              <w:t>4,500</w:t>
            </w:r>
          </w:p>
        </w:tc>
        <w:tc>
          <w:tcPr>
            <w:tcW w:type="dxa" w:w="1872"/>
            <w:tcBorders>
              <w:top w:val="single" w:sz="4" w:color="BFBFBF"/>
              <w:left w:val="single" w:sz="4" w:color="BFBFBF"/>
              <w:bottom w:val="single" w:sz="4" w:color="BFBFBF"/>
              <w:right w:val="single" w:sz="4" w:color="BFBFBF"/>
            </w:tcBorders>
            <w:vAlign w:val="center"/>
          </w:tcPr>
          <w:p>
            <w:r/>
            <w:r>
              <w:rPr>
                <w:sz w:val="20"/>
              </w:rPr>
              <w:t>54,000</w:t>
            </w:r>
          </w:p>
        </w:tc>
        <w:tc>
          <w:tcPr>
            <w:tcW w:type="dxa" w:w="2016"/>
            <w:tcBorders>
              <w:top w:val="single" w:sz="4" w:color="BFBFBF"/>
              <w:left w:val="single" w:sz="4" w:color="BFBFBF"/>
              <w:bottom w:val="single" w:sz="4" w:color="BFBFBF"/>
              <w:right w:val="single" w:sz="4" w:color="BFBFBF"/>
            </w:tcBorders>
            <w:vAlign w:val="center"/>
          </w:tcPr>
          <w:p>
            <w:r/>
            <w:r>
              <w:rPr>
                <w:sz w:val="20"/>
              </w:rPr>
              <w:t>~ NPR 71.8 L</w:t>
            </w:r>
          </w:p>
        </w:tc>
      </w:tr>
      <w:tr>
        <w:tc>
          <w:tcPr>
            <w:tcW w:type="dxa" w:w="3744"/>
            <w:shd w:val="clear" w:color="auto" w:fill="F4F6F8"/>
            <w:tcBorders>
              <w:top w:val="single" w:sz="4" w:color="BFBFBF"/>
              <w:left w:val="single" w:sz="4" w:color="BFBFBF"/>
              <w:bottom w:val="single" w:sz="4" w:color="BFBFBF"/>
              <w:right w:val="single" w:sz="4" w:color="BFBFBF"/>
            </w:tcBorders>
            <w:vAlign w:val="center"/>
          </w:tcPr>
          <w:p>
            <w:r/>
            <w:r>
              <w:rPr>
                <w:sz w:val="20"/>
              </w:rPr>
              <w:t>Backend Engineers</w:t>
            </w:r>
          </w:p>
        </w:tc>
        <w:tc>
          <w:tcPr>
            <w:tcW w:type="dxa" w:w="1152"/>
            <w:shd w:val="clear" w:color="auto" w:fill="F4F6F8"/>
            <w:tcBorders>
              <w:top w:val="single" w:sz="4" w:color="BFBFBF"/>
              <w:left w:val="single" w:sz="4" w:color="BFBFBF"/>
              <w:bottom w:val="single" w:sz="4" w:color="BFBFBF"/>
              <w:right w:val="single" w:sz="4" w:color="BFBFBF"/>
            </w:tcBorders>
            <w:vAlign w:val="center"/>
          </w:tcPr>
          <w:p>
            <w:r/>
            <w:r>
              <w:rPr>
                <w:sz w:val="20"/>
              </w:rPr>
              <w:t>2</w:t>
            </w:r>
          </w:p>
        </w:tc>
        <w:tc>
          <w:tcPr>
            <w:tcW w:type="dxa" w:w="1872"/>
            <w:shd w:val="clear" w:color="auto" w:fill="F4F6F8"/>
            <w:tcBorders>
              <w:top w:val="single" w:sz="4" w:color="BFBFBF"/>
              <w:left w:val="single" w:sz="4" w:color="BFBFBF"/>
              <w:bottom w:val="single" w:sz="4" w:color="BFBFBF"/>
              <w:right w:val="single" w:sz="4" w:color="BFBFBF"/>
            </w:tcBorders>
            <w:vAlign w:val="center"/>
          </w:tcPr>
          <w:p>
            <w:r/>
            <w:r>
              <w:rPr>
                <w:sz w:val="20"/>
              </w:rPr>
              <w:t>4,500</w:t>
            </w:r>
          </w:p>
        </w:tc>
        <w:tc>
          <w:tcPr>
            <w:tcW w:type="dxa" w:w="1872"/>
            <w:shd w:val="clear" w:color="auto" w:fill="F4F6F8"/>
            <w:tcBorders>
              <w:top w:val="single" w:sz="4" w:color="BFBFBF"/>
              <w:left w:val="single" w:sz="4" w:color="BFBFBF"/>
              <w:bottom w:val="single" w:sz="4" w:color="BFBFBF"/>
              <w:right w:val="single" w:sz="4" w:color="BFBFBF"/>
            </w:tcBorders>
            <w:vAlign w:val="center"/>
          </w:tcPr>
          <w:p>
            <w:r/>
            <w:r>
              <w:rPr>
                <w:sz w:val="20"/>
              </w:rPr>
              <w:t>108,000</w:t>
            </w:r>
          </w:p>
        </w:tc>
        <w:tc>
          <w:tcPr>
            <w:tcW w:type="dxa" w:w="2016"/>
            <w:shd w:val="clear" w:color="auto" w:fill="F4F6F8"/>
            <w:tcBorders>
              <w:top w:val="single" w:sz="4" w:color="BFBFBF"/>
              <w:left w:val="single" w:sz="4" w:color="BFBFBF"/>
              <w:bottom w:val="single" w:sz="4" w:color="BFBFBF"/>
              <w:right w:val="single" w:sz="4" w:color="BFBFBF"/>
            </w:tcBorders>
            <w:vAlign w:val="center"/>
          </w:tcPr>
          <w:p>
            <w:r/>
            <w:r>
              <w:rPr>
                <w:sz w:val="20"/>
              </w:rPr>
              <w:t>~ NPR 1.44 Cr</w:t>
            </w:r>
          </w:p>
        </w:tc>
      </w:tr>
      <w:tr>
        <w:tc>
          <w:tcPr>
            <w:tcW w:type="dxa" w:w="3744"/>
            <w:tcBorders>
              <w:top w:val="single" w:sz="4" w:color="BFBFBF"/>
              <w:left w:val="single" w:sz="4" w:color="BFBFBF"/>
              <w:bottom w:val="single" w:sz="4" w:color="BFBFBF"/>
              <w:right w:val="single" w:sz="4" w:color="BFBFBF"/>
            </w:tcBorders>
            <w:vAlign w:val="center"/>
          </w:tcPr>
          <w:p>
            <w:r/>
            <w:r>
              <w:rPr>
                <w:sz w:val="20"/>
              </w:rPr>
              <w:t>Frontend Engineers</w:t>
            </w:r>
          </w:p>
        </w:tc>
        <w:tc>
          <w:tcPr>
            <w:tcW w:type="dxa" w:w="1152"/>
            <w:tcBorders>
              <w:top w:val="single" w:sz="4" w:color="BFBFBF"/>
              <w:left w:val="single" w:sz="4" w:color="BFBFBF"/>
              <w:bottom w:val="single" w:sz="4" w:color="BFBFBF"/>
              <w:right w:val="single" w:sz="4" w:color="BFBFBF"/>
            </w:tcBorders>
            <w:vAlign w:val="center"/>
          </w:tcPr>
          <w:p>
            <w:r/>
            <w:r>
              <w:rPr>
                <w:sz w:val="20"/>
              </w:rPr>
              <w:t>2</w:t>
            </w:r>
          </w:p>
        </w:tc>
        <w:tc>
          <w:tcPr>
            <w:tcW w:type="dxa" w:w="1872"/>
            <w:tcBorders>
              <w:top w:val="single" w:sz="4" w:color="BFBFBF"/>
              <w:left w:val="single" w:sz="4" w:color="BFBFBF"/>
              <w:bottom w:val="single" w:sz="4" w:color="BFBFBF"/>
              <w:right w:val="single" w:sz="4" w:color="BFBFBF"/>
            </w:tcBorders>
            <w:vAlign w:val="center"/>
          </w:tcPr>
          <w:p>
            <w:r/>
            <w:r>
              <w:rPr>
                <w:sz w:val="20"/>
              </w:rPr>
              <w:t>4,000</w:t>
            </w:r>
          </w:p>
        </w:tc>
        <w:tc>
          <w:tcPr>
            <w:tcW w:type="dxa" w:w="1872"/>
            <w:tcBorders>
              <w:top w:val="single" w:sz="4" w:color="BFBFBF"/>
              <w:left w:val="single" w:sz="4" w:color="BFBFBF"/>
              <w:bottom w:val="single" w:sz="4" w:color="BFBFBF"/>
              <w:right w:val="single" w:sz="4" w:color="BFBFBF"/>
            </w:tcBorders>
            <w:vAlign w:val="center"/>
          </w:tcPr>
          <w:p>
            <w:r/>
            <w:r>
              <w:rPr>
                <w:sz w:val="20"/>
              </w:rPr>
              <w:t>96,000</w:t>
            </w:r>
          </w:p>
        </w:tc>
        <w:tc>
          <w:tcPr>
            <w:tcW w:type="dxa" w:w="2016"/>
            <w:tcBorders>
              <w:top w:val="single" w:sz="4" w:color="BFBFBF"/>
              <w:left w:val="single" w:sz="4" w:color="BFBFBF"/>
              <w:bottom w:val="single" w:sz="4" w:color="BFBFBF"/>
              <w:right w:val="single" w:sz="4" w:color="BFBFBF"/>
            </w:tcBorders>
            <w:vAlign w:val="center"/>
          </w:tcPr>
          <w:p>
            <w:r/>
            <w:r>
              <w:rPr>
                <w:sz w:val="20"/>
              </w:rPr>
              <w:t>~ NPR 1.28 Cr</w:t>
            </w:r>
          </w:p>
        </w:tc>
      </w:tr>
      <w:tr>
        <w:tc>
          <w:tcPr>
            <w:tcW w:type="dxa" w:w="3744"/>
            <w:shd w:val="clear" w:color="auto" w:fill="F4F6F8"/>
            <w:tcBorders>
              <w:top w:val="single" w:sz="4" w:color="BFBFBF"/>
              <w:left w:val="single" w:sz="4" w:color="BFBFBF"/>
              <w:bottom w:val="single" w:sz="4" w:color="BFBFBF"/>
              <w:right w:val="single" w:sz="4" w:color="BFBFBF"/>
            </w:tcBorders>
            <w:vAlign w:val="center"/>
          </w:tcPr>
          <w:p>
            <w:r/>
            <w:r>
              <w:rPr>
                <w:sz w:val="20"/>
              </w:rPr>
              <w:t>Social API Specialist</w:t>
            </w:r>
          </w:p>
        </w:tc>
        <w:tc>
          <w:tcPr>
            <w:tcW w:type="dxa" w:w="1152"/>
            <w:shd w:val="clear" w:color="auto" w:fill="F4F6F8"/>
            <w:tcBorders>
              <w:top w:val="single" w:sz="4" w:color="BFBFBF"/>
              <w:left w:val="single" w:sz="4" w:color="BFBFBF"/>
              <w:bottom w:val="single" w:sz="4" w:color="BFBFBF"/>
              <w:right w:val="single" w:sz="4" w:color="BFBFBF"/>
            </w:tcBorders>
            <w:vAlign w:val="center"/>
          </w:tcPr>
          <w:p>
            <w:r/>
            <w:r>
              <w:rPr>
                <w:sz w:val="20"/>
              </w:rPr>
              <w:t>1</w:t>
            </w:r>
          </w:p>
        </w:tc>
        <w:tc>
          <w:tcPr>
            <w:tcW w:type="dxa" w:w="1872"/>
            <w:shd w:val="clear" w:color="auto" w:fill="F4F6F8"/>
            <w:tcBorders>
              <w:top w:val="single" w:sz="4" w:color="BFBFBF"/>
              <w:left w:val="single" w:sz="4" w:color="BFBFBF"/>
              <w:bottom w:val="single" w:sz="4" w:color="BFBFBF"/>
              <w:right w:val="single" w:sz="4" w:color="BFBFBF"/>
            </w:tcBorders>
            <w:vAlign w:val="center"/>
          </w:tcPr>
          <w:p>
            <w:r/>
            <w:r>
              <w:rPr>
                <w:sz w:val="20"/>
              </w:rPr>
              <w:t>4,500</w:t>
            </w:r>
          </w:p>
        </w:tc>
        <w:tc>
          <w:tcPr>
            <w:tcW w:type="dxa" w:w="1872"/>
            <w:shd w:val="clear" w:color="auto" w:fill="F4F6F8"/>
            <w:tcBorders>
              <w:top w:val="single" w:sz="4" w:color="BFBFBF"/>
              <w:left w:val="single" w:sz="4" w:color="BFBFBF"/>
              <w:bottom w:val="single" w:sz="4" w:color="BFBFBF"/>
              <w:right w:val="single" w:sz="4" w:color="BFBFBF"/>
            </w:tcBorders>
            <w:vAlign w:val="center"/>
          </w:tcPr>
          <w:p>
            <w:r/>
            <w:r>
              <w:rPr>
                <w:sz w:val="20"/>
              </w:rPr>
              <w:t>54,000</w:t>
            </w:r>
          </w:p>
        </w:tc>
        <w:tc>
          <w:tcPr>
            <w:tcW w:type="dxa" w:w="2016"/>
            <w:shd w:val="clear" w:color="auto" w:fill="F4F6F8"/>
            <w:tcBorders>
              <w:top w:val="single" w:sz="4" w:color="BFBFBF"/>
              <w:left w:val="single" w:sz="4" w:color="BFBFBF"/>
              <w:bottom w:val="single" w:sz="4" w:color="BFBFBF"/>
              <w:right w:val="single" w:sz="4" w:color="BFBFBF"/>
            </w:tcBorders>
            <w:vAlign w:val="center"/>
          </w:tcPr>
          <w:p>
            <w:r/>
            <w:r>
              <w:rPr>
                <w:sz w:val="20"/>
              </w:rPr>
              <w:t>~ NPR 71.8 L</w:t>
            </w:r>
          </w:p>
        </w:tc>
      </w:tr>
      <w:tr>
        <w:tc>
          <w:tcPr>
            <w:tcW w:type="dxa" w:w="3744"/>
            <w:tcBorders>
              <w:top w:val="single" w:sz="4" w:color="BFBFBF"/>
              <w:left w:val="single" w:sz="4" w:color="BFBFBF"/>
              <w:bottom w:val="single" w:sz="4" w:color="BFBFBF"/>
              <w:right w:val="single" w:sz="4" w:color="BFBFBF"/>
            </w:tcBorders>
            <w:vAlign w:val="center"/>
          </w:tcPr>
          <w:p>
            <w:r/>
            <w:r>
              <w:rPr>
                <w:sz w:val="20"/>
              </w:rPr>
              <w:t>DevOps / Cloud Engineer</w:t>
            </w:r>
          </w:p>
        </w:tc>
        <w:tc>
          <w:tcPr>
            <w:tcW w:type="dxa" w:w="1152"/>
            <w:tcBorders>
              <w:top w:val="single" w:sz="4" w:color="BFBFBF"/>
              <w:left w:val="single" w:sz="4" w:color="BFBFBF"/>
              <w:bottom w:val="single" w:sz="4" w:color="BFBFBF"/>
              <w:right w:val="single" w:sz="4" w:color="BFBFBF"/>
            </w:tcBorders>
            <w:vAlign w:val="center"/>
          </w:tcPr>
          <w:p>
            <w:r/>
            <w:r>
              <w:rPr>
                <w:sz w:val="20"/>
              </w:rPr>
              <w:t>1</w:t>
            </w:r>
          </w:p>
        </w:tc>
        <w:tc>
          <w:tcPr>
            <w:tcW w:type="dxa" w:w="1872"/>
            <w:tcBorders>
              <w:top w:val="single" w:sz="4" w:color="BFBFBF"/>
              <w:left w:val="single" w:sz="4" w:color="BFBFBF"/>
              <w:bottom w:val="single" w:sz="4" w:color="BFBFBF"/>
              <w:right w:val="single" w:sz="4" w:color="BFBFBF"/>
            </w:tcBorders>
            <w:vAlign w:val="center"/>
          </w:tcPr>
          <w:p>
            <w:r/>
            <w:r>
              <w:rPr>
                <w:sz w:val="20"/>
              </w:rPr>
              <w:t>5,000</w:t>
            </w:r>
          </w:p>
        </w:tc>
        <w:tc>
          <w:tcPr>
            <w:tcW w:type="dxa" w:w="1872"/>
            <w:tcBorders>
              <w:top w:val="single" w:sz="4" w:color="BFBFBF"/>
              <w:left w:val="single" w:sz="4" w:color="BFBFBF"/>
              <w:bottom w:val="single" w:sz="4" w:color="BFBFBF"/>
              <w:right w:val="single" w:sz="4" w:color="BFBFBF"/>
            </w:tcBorders>
            <w:vAlign w:val="center"/>
          </w:tcPr>
          <w:p>
            <w:r/>
            <w:r>
              <w:rPr>
                <w:sz w:val="20"/>
              </w:rPr>
              <w:t>60,000</w:t>
            </w:r>
          </w:p>
        </w:tc>
        <w:tc>
          <w:tcPr>
            <w:tcW w:type="dxa" w:w="2016"/>
            <w:tcBorders>
              <w:top w:val="single" w:sz="4" w:color="BFBFBF"/>
              <w:left w:val="single" w:sz="4" w:color="BFBFBF"/>
              <w:bottom w:val="single" w:sz="4" w:color="BFBFBF"/>
              <w:right w:val="single" w:sz="4" w:color="BFBFBF"/>
            </w:tcBorders>
            <w:vAlign w:val="center"/>
          </w:tcPr>
          <w:p>
            <w:r/>
            <w:r>
              <w:rPr>
                <w:sz w:val="20"/>
              </w:rPr>
              <w:t>~ NPR 79.8 L</w:t>
            </w:r>
          </w:p>
        </w:tc>
      </w:tr>
      <w:tr>
        <w:tc>
          <w:tcPr>
            <w:tcW w:type="dxa" w:w="3744"/>
            <w:shd w:val="clear" w:color="auto" w:fill="F4F6F8"/>
            <w:tcBorders>
              <w:top w:val="single" w:sz="4" w:color="BFBFBF"/>
              <w:left w:val="single" w:sz="4" w:color="BFBFBF"/>
              <w:bottom w:val="single" w:sz="4" w:color="BFBFBF"/>
              <w:right w:val="single" w:sz="4" w:color="BFBFBF"/>
            </w:tcBorders>
            <w:vAlign w:val="center"/>
          </w:tcPr>
          <w:p>
            <w:r/>
            <w:r>
              <w:rPr>
                <w:sz w:val="20"/>
              </w:rPr>
              <w:t>UI / UX Designer</w:t>
            </w:r>
          </w:p>
        </w:tc>
        <w:tc>
          <w:tcPr>
            <w:tcW w:type="dxa" w:w="1152"/>
            <w:shd w:val="clear" w:color="auto" w:fill="F4F6F8"/>
            <w:tcBorders>
              <w:top w:val="single" w:sz="4" w:color="BFBFBF"/>
              <w:left w:val="single" w:sz="4" w:color="BFBFBF"/>
              <w:bottom w:val="single" w:sz="4" w:color="BFBFBF"/>
              <w:right w:val="single" w:sz="4" w:color="BFBFBF"/>
            </w:tcBorders>
            <w:vAlign w:val="center"/>
          </w:tcPr>
          <w:p>
            <w:r/>
            <w:r>
              <w:rPr>
                <w:sz w:val="20"/>
              </w:rPr>
              <w:t>1</w:t>
            </w:r>
          </w:p>
        </w:tc>
        <w:tc>
          <w:tcPr>
            <w:tcW w:type="dxa" w:w="1872"/>
            <w:shd w:val="clear" w:color="auto" w:fill="F4F6F8"/>
            <w:tcBorders>
              <w:top w:val="single" w:sz="4" w:color="BFBFBF"/>
              <w:left w:val="single" w:sz="4" w:color="BFBFBF"/>
              <w:bottom w:val="single" w:sz="4" w:color="BFBFBF"/>
              <w:right w:val="single" w:sz="4" w:color="BFBFBF"/>
            </w:tcBorders>
            <w:vAlign w:val="center"/>
          </w:tcPr>
          <w:p>
            <w:r/>
            <w:r>
              <w:rPr>
                <w:sz w:val="20"/>
              </w:rPr>
              <w:t>3,500</w:t>
            </w:r>
          </w:p>
        </w:tc>
        <w:tc>
          <w:tcPr>
            <w:tcW w:type="dxa" w:w="1872"/>
            <w:shd w:val="clear" w:color="auto" w:fill="F4F6F8"/>
            <w:tcBorders>
              <w:top w:val="single" w:sz="4" w:color="BFBFBF"/>
              <w:left w:val="single" w:sz="4" w:color="BFBFBF"/>
              <w:bottom w:val="single" w:sz="4" w:color="BFBFBF"/>
              <w:right w:val="single" w:sz="4" w:color="BFBFBF"/>
            </w:tcBorders>
            <w:vAlign w:val="center"/>
          </w:tcPr>
          <w:p>
            <w:r/>
            <w:r>
              <w:rPr>
                <w:sz w:val="20"/>
              </w:rPr>
              <w:t>42,000</w:t>
            </w:r>
          </w:p>
        </w:tc>
        <w:tc>
          <w:tcPr>
            <w:tcW w:type="dxa" w:w="2016"/>
            <w:shd w:val="clear" w:color="auto" w:fill="F4F6F8"/>
            <w:tcBorders>
              <w:top w:val="single" w:sz="4" w:color="BFBFBF"/>
              <w:left w:val="single" w:sz="4" w:color="BFBFBF"/>
              <w:bottom w:val="single" w:sz="4" w:color="BFBFBF"/>
              <w:right w:val="single" w:sz="4" w:color="BFBFBF"/>
            </w:tcBorders>
            <w:vAlign w:val="center"/>
          </w:tcPr>
          <w:p>
            <w:r/>
            <w:r>
              <w:rPr>
                <w:sz w:val="20"/>
              </w:rPr>
              <w:t>~ NPR 55.9 L</w:t>
            </w:r>
          </w:p>
        </w:tc>
      </w:tr>
      <w:tr>
        <w:tc>
          <w:tcPr>
            <w:tcW w:type="dxa" w:w="3744"/>
            <w:tcBorders>
              <w:top w:val="single" w:sz="4" w:color="BFBFBF"/>
              <w:left w:val="single" w:sz="4" w:color="BFBFBF"/>
              <w:bottom w:val="single" w:sz="4" w:color="BFBFBF"/>
              <w:right w:val="single" w:sz="4" w:color="BFBFBF"/>
            </w:tcBorders>
            <w:vAlign w:val="center"/>
          </w:tcPr>
          <w:p>
            <w:r/>
            <w:r>
              <w:rPr>
                <w:sz w:val="20"/>
              </w:rPr>
              <w:t>QA Engineer</w:t>
            </w:r>
          </w:p>
        </w:tc>
        <w:tc>
          <w:tcPr>
            <w:tcW w:type="dxa" w:w="1152"/>
            <w:tcBorders>
              <w:top w:val="single" w:sz="4" w:color="BFBFBF"/>
              <w:left w:val="single" w:sz="4" w:color="BFBFBF"/>
              <w:bottom w:val="single" w:sz="4" w:color="BFBFBF"/>
              <w:right w:val="single" w:sz="4" w:color="BFBFBF"/>
            </w:tcBorders>
            <w:vAlign w:val="center"/>
          </w:tcPr>
          <w:p>
            <w:r/>
            <w:r>
              <w:rPr>
                <w:sz w:val="20"/>
              </w:rPr>
              <w:t>1</w:t>
            </w:r>
          </w:p>
        </w:tc>
        <w:tc>
          <w:tcPr>
            <w:tcW w:type="dxa" w:w="1872"/>
            <w:tcBorders>
              <w:top w:val="single" w:sz="4" w:color="BFBFBF"/>
              <w:left w:val="single" w:sz="4" w:color="BFBFBF"/>
              <w:bottom w:val="single" w:sz="4" w:color="BFBFBF"/>
              <w:right w:val="single" w:sz="4" w:color="BFBFBF"/>
            </w:tcBorders>
            <w:vAlign w:val="center"/>
          </w:tcPr>
          <w:p>
            <w:r/>
            <w:r>
              <w:rPr>
                <w:sz w:val="20"/>
              </w:rPr>
              <w:t>3,000</w:t>
            </w:r>
          </w:p>
        </w:tc>
        <w:tc>
          <w:tcPr>
            <w:tcW w:type="dxa" w:w="1872"/>
            <w:tcBorders>
              <w:top w:val="single" w:sz="4" w:color="BFBFBF"/>
              <w:left w:val="single" w:sz="4" w:color="BFBFBF"/>
              <w:bottom w:val="single" w:sz="4" w:color="BFBFBF"/>
              <w:right w:val="single" w:sz="4" w:color="BFBFBF"/>
            </w:tcBorders>
            <w:vAlign w:val="center"/>
          </w:tcPr>
          <w:p>
            <w:r/>
            <w:r>
              <w:rPr>
                <w:sz w:val="20"/>
              </w:rPr>
              <w:t>36,000</w:t>
            </w:r>
          </w:p>
        </w:tc>
        <w:tc>
          <w:tcPr>
            <w:tcW w:type="dxa" w:w="2016"/>
            <w:tcBorders>
              <w:top w:val="single" w:sz="4" w:color="BFBFBF"/>
              <w:left w:val="single" w:sz="4" w:color="BFBFBF"/>
              <w:bottom w:val="single" w:sz="4" w:color="BFBFBF"/>
              <w:right w:val="single" w:sz="4" w:color="BFBFBF"/>
            </w:tcBorders>
            <w:vAlign w:val="center"/>
          </w:tcPr>
          <w:p>
            <w:r/>
            <w:r>
              <w:rPr>
                <w:sz w:val="20"/>
              </w:rPr>
              <w:t>~ NPR 47.9 L</w:t>
            </w:r>
          </w:p>
        </w:tc>
      </w:tr>
      <w:tr>
        <w:tc>
          <w:tcPr>
            <w:tcW w:type="dxa" w:w="3744"/>
            <w:shd w:val="clear" w:color="auto" w:fill="F4F6F8"/>
            <w:tcBorders>
              <w:top w:val="single" w:sz="4" w:color="BFBFBF"/>
              <w:left w:val="single" w:sz="4" w:color="BFBFBF"/>
              <w:bottom w:val="single" w:sz="4" w:color="BFBFBF"/>
              <w:right w:val="single" w:sz="4" w:color="BFBFBF"/>
            </w:tcBorders>
            <w:vAlign w:val="center"/>
          </w:tcPr>
          <w:p>
            <w:r/>
            <w:r>
              <w:rPr>
                <w:sz w:val="20"/>
              </w:rPr>
              <w:t>Accounting-domain Specialist (Phase 6)</w:t>
            </w:r>
          </w:p>
        </w:tc>
        <w:tc>
          <w:tcPr>
            <w:tcW w:type="dxa" w:w="1152"/>
            <w:shd w:val="clear" w:color="auto" w:fill="F4F6F8"/>
            <w:tcBorders>
              <w:top w:val="single" w:sz="4" w:color="BFBFBF"/>
              <w:left w:val="single" w:sz="4" w:color="BFBFBF"/>
              <w:bottom w:val="single" w:sz="4" w:color="BFBFBF"/>
              <w:right w:val="single" w:sz="4" w:color="BFBFBF"/>
            </w:tcBorders>
            <w:vAlign w:val="center"/>
          </w:tcPr>
          <w:p>
            <w:r/>
            <w:r>
              <w:rPr>
                <w:sz w:val="20"/>
              </w:rPr>
              <w:t>1 (6mo)</w:t>
            </w:r>
          </w:p>
        </w:tc>
        <w:tc>
          <w:tcPr>
            <w:tcW w:type="dxa" w:w="1872"/>
            <w:shd w:val="clear" w:color="auto" w:fill="F4F6F8"/>
            <w:tcBorders>
              <w:top w:val="single" w:sz="4" w:color="BFBFBF"/>
              <w:left w:val="single" w:sz="4" w:color="BFBFBF"/>
              <w:bottom w:val="single" w:sz="4" w:color="BFBFBF"/>
              <w:right w:val="single" w:sz="4" w:color="BFBFBF"/>
            </w:tcBorders>
            <w:vAlign w:val="center"/>
          </w:tcPr>
          <w:p>
            <w:r/>
            <w:r>
              <w:rPr>
                <w:sz w:val="20"/>
              </w:rPr>
              <w:t>5,000</w:t>
            </w:r>
          </w:p>
        </w:tc>
        <w:tc>
          <w:tcPr>
            <w:tcW w:type="dxa" w:w="1872"/>
            <w:shd w:val="clear" w:color="auto" w:fill="F4F6F8"/>
            <w:tcBorders>
              <w:top w:val="single" w:sz="4" w:color="BFBFBF"/>
              <w:left w:val="single" w:sz="4" w:color="BFBFBF"/>
              <w:bottom w:val="single" w:sz="4" w:color="BFBFBF"/>
              <w:right w:val="single" w:sz="4" w:color="BFBFBF"/>
            </w:tcBorders>
            <w:vAlign w:val="center"/>
          </w:tcPr>
          <w:p>
            <w:r/>
            <w:r>
              <w:rPr>
                <w:sz w:val="20"/>
              </w:rPr>
              <w:t>30,000</w:t>
            </w:r>
          </w:p>
        </w:tc>
        <w:tc>
          <w:tcPr>
            <w:tcW w:type="dxa" w:w="2016"/>
            <w:shd w:val="clear" w:color="auto" w:fill="F4F6F8"/>
            <w:tcBorders>
              <w:top w:val="single" w:sz="4" w:color="BFBFBF"/>
              <w:left w:val="single" w:sz="4" w:color="BFBFBF"/>
              <w:bottom w:val="single" w:sz="4" w:color="BFBFBF"/>
              <w:right w:val="single" w:sz="4" w:color="BFBFBF"/>
            </w:tcBorders>
            <w:vAlign w:val="center"/>
          </w:tcPr>
          <w:p>
            <w:r/>
            <w:r>
              <w:rPr>
                <w:sz w:val="20"/>
              </w:rPr>
              <w:t>~ NPR 39.9 L</w:t>
            </w:r>
          </w:p>
        </w:tc>
      </w:tr>
      <w:tr>
        <w:tc>
          <w:tcPr>
            <w:tcW w:type="dxa" w:w="3744"/>
            <w:tcBorders>
              <w:top w:val="single" w:sz="4" w:color="BFBFBF"/>
              <w:left w:val="single" w:sz="4" w:color="BFBFBF"/>
              <w:bottom w:val="single" w:sz="4" w:color="BFBFBF"/>
              <w:right w:val="single" w:sz="4" w:color="BFBFBF"/>
            </w:tcBorders>
            <w:vAlign w:val="center"/>
          </w:tcPr>
          <w:p>
            <w:r/>
            <w:r>
              <w:rPr>
                <w:sz w:val="20"/>
              </w:rPr>
              <w:t>Sub-total — Team</w:t>
            </w:r>
          </w:p>
        </w:tc>
        <w:tc>
          <w:tcPr>
            <w:tcW w:type="dxa" w:w="1152"/>
            <w:tcBorders>
              <w:top w:val="single" w:sz="4" w:color="BFBFBF"/>
              <w:left w:val="single" w:sz="4" w:color="BFBFBF"/>
              <w:bottom w:val="single" w:sz="4" w:color="BFBFBF"/>
              <w:right w:val="single" w:sz="4" w:color="BFBFBF"/>
            </w:tcBorders>
            <w:vAlign w:val="center"/>
          </w:tcPr>
          <w:p>
            <w:r/>
            <w:r>
              <w:rPr>
                <w:sz w:val="20"/>
              </w:rPr>
              <w:t>10</w:t>
            </w:r>
          </w:p>
        </w:tc>
        <w:tc>
          <w:tcPr>
            <w:tcW w:type="dxa" w:w="1872"/>
            <w:tcBorders>
              <w:top w:val="single" w:sz="4" w:color="BFBFBF"/>
              <w:left w:val="single" w:sz="4" w:color="BFBFBF"/>
              <w:bottom w:val="single" w:sz="4" w:color="BFBFBF"/>
              <w:right w:val="single" w:sz="4" w:color="BFBFBF"/>
            </w:tcBorders>
            <w:vAlign w:val="center"/>
          </w:tcPr>
          <w:p>
            <w:r/>
            <w:r>
              <w:rPr>
                <w:sz w:val="20"/>
              </w:rPr>
              <w:t>—</w:t>
            </w:r>
          </w:p>
        </w:tc>
        <w:tc>
          <w:tcPr>
            <w:tcW w:type="dxa" w:w="1872"/>
            <w:tcBorders>
              <w:top w:val="single" w:sz="4" w:color="BFBFBF"/>
              <w:left w:val="single" w:sz="4" w:color="BFBFBF"/>
              <w:bottom w:val="single" w:sz="4" w:color="BFBFBF"/>
              <w:right w:val="single" w:sz="4" w:color="BFBFBF"/>
            </w:tcBorders>
            <w:vAlign w:val="center"/>
          </w:tcPr>
          <w:p>
            <w:r/>
            <w:r>
              <w:rPr>
                <w:sz w:val="20"/>
              </w:rPr>
              <w:t>480,000</w:t>
            </w:r>
          </w:p>
        </w:tc>
        <w:tc>
          <w:tcPr>
            <w:tcW w:type="dxa" w:w="2016"/>
            <w:tcBorders>
              <w:top w:val="single" w:sz="4" w:color="BFBFBF"/>
              <w:left w:val="single" w:sz="4" w:color="BFBFBF"/>
              <w:bottom w:val="single" w:sz="4" w:color="BFBFBF"/>
              <w:right w:val="single" w:sz="4" w:color="BFBFBF"/>
            </w:tcBorders>
            <w:vAlign w:val="center"/>
          </w:tcPr>
          <w:p>
            <w:r/>
            <w:r>
              <w:rPr>
                <w:sz w:val="20"/>
              </w:rPr>
              <w:t>~ NPR 6.4 Cr</w:t>
            </w:r>
          </w:p>
        </w:tc>
      </w:tr>
    </w:tbl>
    <w:p>
      <w:pPr>
        <w:spacing w:before="240" w:after="80"/>
      </w:pPr>
      <w:r>
        <w:rPr>
          <w:b/>
          <w:color w:val="1F77B4"/>
          <w:sz w:val="28"/>
        </w:rPr>
        <w:t>11.2 Infrastructure &amp; Third-Party (Year 1)</w:t>
      </w:r>
    </w:p>
    <w:tbl>
      <w:tblPr>
        <w:tblW w:type="auto" w:w="0"/>
        <w:jc w:val="center"/>
        <w:tblLook w:firstColumn="1" w:firstRow="1" w:lastColumn="0" w:lastRow="0" w:noHBand="0" w:noVBand="1" w:val="04A0"/>
      </w:tblPr>
      <w:tblGrid>
        <w:gridCol w:w="3216"/>
        <w:gridCol w:w="3216"/>
        <w:gridCol w:w="3216"/>
      </w:tblGrid>
      <w:tr>
        <w:tc>
          <w:tcPr>
            <w:tcW w:type="dxa" w:w="4320"/>
            <w:shd w:val="clear" w:color="auto" w:fill="0F2A47"/>
            <w:tcBorders>
              <w:top w:val="single" w:sz="4" w:color="BFBFBF"/>
              <w:left w:val="single" w:sz="4" w:color="BFBFBF"/>
              <w:bottom w:val="single" w:sz="4" w:color="BFBFBF"/>
              <w:right w:val="single" w:sz="4" w:color="BFBFBF"/>
            </w:tcBorders>
            <w:vAlign w:val="center"/>
          </w:tcPr>
          <w:p>
            <w:r/>
            <w:r>
              <w:rPr>
                <w:b/>
                <w:color w:val="FFFFFF"/>
                <w:sz w:val="21"/>
              </w:rPr>
              <w:t>Item</w:t>
            </w:r>
          </w:p>
        </w:tc>
        <w:tc>
          <w:tcPr>
            <w:tcW w:type="dxa" w:w="2448"/>
            <w:shd w:val="clear" w:color="auto" w:fill="0F2A47"/>
            <w:tcBorders>
              <w:top w:val="single" w:sz="4" w:color="BFBFBF"/>
              <w:left w:val="single" w:sz="4" w:color="BFBFBF"/>
              <w:bottom w:val="single" w:sz="4" w:color="BFBFBF"/>
              <w:right w:val="single" w:sz="4" w:color="BFBFBF"/>
            </w:tcBorders>
            <w:vAlign w:val="center"/>
          </w:tcPr>
          <w:p>
            <w:r/>
            <w:r>
              <w:rPr>
                <w:b/>
                <w:color w:val="FFFFFF"/>
                <w:sz w:val="21"/>
              </w:rPr>
              <w:t>Annual Cost (USD)</w:t>
            </w:r>
          </w:p>
        </w:tc>
        <w:tc>
          <w:tcPr>
            <w:tcW w:type="dxa" w:w="3744"/>
            <w:shd w:val="clear" w:color="auto" w:fill="0F2A47"/>
            <w:tcBorders>
              <w:top w:val="single" w:sz="4" w:color="BFBFBF"/>
              <w:left w:val="single" w:sz="4" w:color="BFBFBF"/>
              <w:bottom w:val="single" w:sz="4" w:color="BFBFBF"/>
              <w:right w:val="single" w:sz="4" w:color="BFBFBF"/>
            </w:tcBorders>
            <w:vAlign w:val="center"/>
          </w:tcPr>
          <w:p>
            <w:r/>
            <w:r>
              <w:rPr>
                <w:b/>
                <w:color w:val="FFFFFF"/>
                <w:sz w:val="21"/>
              </w:rPr>
              <w:t>Notes</w:t>
            </w:r>
          </w:p>
        </w:tc>
      </w:tr>
      <w:tr>
        <w:tc>
          <w:tcPr>
            <w:tcW w:type="dxa" w:w="4320"/>
            <w:tcBorders>
              <w:top w:val="single" w:sz="4" w:color="BFBFBF"/>
              <w:left w:val="single" w:sz="4" w:color="BFBFBF"/>
              <w:bottom w:val="single" w:sz="4" w:color="BFBFBF"/>
              <w:right w:val="single" w:sz="4" w:color="BFBFBF"/>
            </w:tcBorders>
            <w:vAlign w:val="center"/>
          </w:tcPr>
          <w:p>
            <w:r/>
            <w:r>
              <w:rPr>
                <w:sz w:val="20"/>
              </w:rPr>
              <w:t>Cloud (AWS / GCP) — compute, DB, CDN, S3</w:t>
            </w:r>
          </w:p>
        </w:tc>
        <w:tc>
          <w:tcPr>
            <w:tcW w:type="dxa" w:w="2448"/>
            <w:tcBorders>
              <w:top w:val="single" w:sz="4" w:color="BFBFBF"/>
              <w:left w:val="single" w:sz="4" w:color="BFBFBF"/>
              <w:bottom w:val="single" w:sz="4" w:color="BFBFBF"/>
              <w:right w:val="single" w:sz="4" w:color="BFBFBF"/>
            </w:tcBorders>
            <w:vAlign w:val="center"/>
          </w:tcPr>
          <w:p>
            <w:r/>
            <w:r>
              <w:rPr>
                <w:sz w:val="20"/>
              </w:rPr>
              <w:t>12,000 – 24,000</w:t>
            </w:r>
          </w:p>
        </w:tc>
        <w:tc>
          <w:tcPr>
            <w:tcW w:type="dxa" w:w="3744"/>
            <w:tcBorders>
              <w:top w:val="single" w:sz="4" w:color="BFBFBF"/>
              <w:left w:val="single" w:sz="4" w:color="BFBFBF"/>
              <w:bottom w:val="single" w:sz="4" w:color="BFBFBF"/>
              <w:right w:val="single" w:sz="4" w:color="BFBFBF"/>
            </w:tcBorders>
            <w:vAlign w:val="center"/>
          </w:tcPr>
          <w:p>
            <w:r/>
            <w:r>
              <w:rPr>
                <w:sz w:val="20"/>
              </w:rPr>
              <w:t>Right-sized for ~50k MAU</w:t>
            </w:r>
          </w:p>
        </w:tc>
      </w:tr>
      <w:tr>
        <w:tc>
          <w:tcPr>
            <w:tcW w:type="dxa" w:w="4320"/>
            <w:shd w:val="clear" w:color="auto" w:fill="F4F6F8"/>
            <w:tcBorders>
              <w:top w:val="single" w:sz="4" w:color="BFBFBF"/>
              <w:left w:val="single" w:sz="4" w:color="BFBFBF"/>
              <w:bottom w:val="single" w:sz="4" w:color="BFBFBF"/>
              <w:right w:val="single" w:sz="4" w:color="BFBFBF"/>
            </w:tcBorders>
            <w:vAlign w:val="center"/>
          </w:tcPr>
          <w:p>
            <w:r/>
            <w:r>
              <w:rPr>
                <w:sz w:val="20"/>
              </w:rPr>
              <w:t>Managed PostgreSQL + Redis + Search</w:t>
            </w:r>
          </w:p>
        </w:tc>
        <w:tc>
          <w:tcPr>
            <w:tcW w:type="dxa" w:w="2448"/>
            <w:shd w:val="clear" w:color="auto" w:fill="F4F6F8"/>
            <w:tcBorders>
              <w:top w:val="single" w:sz="4" w:color="BFBFBF"/>
              <w:left w:val="single" w:sz="4" w:color="BFBFBF"/>
              <w:bottom w:val="single" w:sz="4" w:color="BFBFBF"/>
              <w:right w:val="single" w:sz="4" w:color="BFBFBF"/>
            </w:tcBorders>
            <w:vAlign w:val="center"/>
          </w:tcPr>
          <w:p>
            <w:r/>
            <w:r>
              <w:rPr>
                <w:sz w:val="20"/>
              </w:rPr>
              <w:t>6,000 – 9,000</w:t>
            </w:r>
          </w:p>
        </w:tc>
        <w:tc>
          <w:tcPr>
            <w:tcW w:type="dxa" w:w="3744"/>
            <w:shd w:val="clear" w:color="auto" w:fill="F4F6F8"/>
            <w:tcBorders>
              <w:top w:val="single" w:sz="4" w:color="BFBFBF"/>
              <w:left w:val="single" w:sz="4" w:color="BFBFBF"/>
              <w:bottom w:val="single" w:sz="4" w:color="BFBFBF"/>
              <w:right w:val="single" w:sz="4" w:color="BFBFBF"/>
            </w:tcBorders>
            <w:vAlign w:val="center"/>
          </w:tcPr>
          <w:p>
            <w:r/>
            <w:r>
              <w:rPr>
                <w:sz w:val="20"/>
              </w:rPr>
              <w:t>RDS / ElastiCache / OpenSearch</w:t>
            </w:r>
          </w:p>
        </w:tc>
      </w:tr>
      <w:tr>
        <w:tc>
          <w:tcPr>
            <w:tcW w:type="dxa" w:w="4320"/>
            <w:tcBorders>
              <w:top w:val="single" w:sz="4" w:color="BFBFBF"/>
              <w:left w:val="single" w:sz="4" w:color="BFBFBF"/>
              <w:bottom w:val="single" w:sz="4" w:color="BFBFBF"/>
              <w:right w:val="single" w:sz="4" w:color="BFBFBF"/>
            </w:tcBorders>
            <w:vAlign w:val="center"/>
          </w:tcPr>
          <w:p>
            <w:r/>
            <w:r>
              <w:rPr>
                <w:sz w:val="20"/>
              </w:rPr>
              <w:t>Stripe fees (variable)</w:t>
            </w:r>
          </w:p>
        </w:tc>
        <w:tc>
          <w:tcPr>
            <w:tcW w:type="dxa" w:w="2448"/>
            <w:tcBorders>
              <w:top w:val="single" w:sz="4" w:color="BFBFBF"/>
              <w:left w:val="single" w:sz="4" w:color="BFBFBF"/>
              <w:bottom w:val="single" w:sz="4" w:color="BFBFBF"/>
              <w:right w:val="single" w:sz="4" w:color="BFBFBF"/>
            </w:tcBorders>
            <w:vAlign w:val="center"/>
          </w:tcPr>
          <w:p>
            <w:r/>
            <w:r>
              <w:rPr>
                <w:sz w:val="20"/>
              </w:rPr>
              <w:t>%2.9 + $0.30 per txn</w:t>
            </w:r>
          </w:p>
        </w:tc>
        <w:tc>
          <w:tcPr>
            <w:tcW w:type="dxa" w:w="3744"/>
            <w:tcBorders>
              <w:top w:val="single" w:sz="4" w:color="BFBFBF"/>
              <w:left w:val="single" w:sz="4" w:color="BFBFBF"/>
              <w:bottom w:val="single" w:sz="4" w:color="BFBFBF"/>
              <w:right w:val="single" w:sz="4" w:color="BFBFBF"/>
            </w:tcBorders>
            <w:vAlign w:val="center"/>
          </w:tcPr>
          <w:p>
            <w:r/>
            <w:r>
              <w:rPr>
                <w:sz w:val="20"/>
              </w:rPr>
              <w:t>Pass-through</w:t>
            </w:r>
          </w:p>
        </w:tc>
      </w:tr>
      <w:tr>
        <w:tc>
          <w:tcPr>
            <w:tcW w:type="dxa" w:w="4320"/>
            <w:shd w:val="clear" w:color="auto" w:fill="F4F6F8"/>
            <w:tcBorders>
              <w:top w:val="single" w:sz="4" w:color="BFBFBF"/>
              <w:left w:val="single" w:sz="4" w:color="BFBFBF"/>
              <w:bottom w:val="single" w:sz="4" w:color="BFBFBF"/>
              <w:right w:val="single" w:sz="4" w:color="BFBFBF"/>
            </w:tcBorders>
            <w:vAlign w:val="center"/>
          </w:tcPr>
          <w:p>
            <w:r/>
            <w:r>
              <w:rPr>
                <w:sz w:val="20"/>
              </w:rPr>
              <w:t>eSewa / Khalti merchant fees</w:t>
            </w:r>
          </w:p>
        </w:tc>
        <w:tc>
          <w:tcPr>
            <w:tcW w:type="dxa" w:w="2448"/>
            <w:shd w:val="clear" w:color="auto" w:fill="F4F6F8"/>
            <w:tcBorders>
              <w:top w:val="single" w:sz="4" w:color="BFBFBF"/>
              <w:left w:val="single" w:sz="4" w:color="BFBFBF"/>
              <w:bottom w:val="single" w:sz="4" w:color="BFBFBF"/>
              <w:right w:val="single" w:sz="4" w:color="BFBFBF"/>
            </w:tcBorders>
            <w:vAlign w:val="center"/>
          </w:tcPr>
          <w:p>
            <w:r/>
            <w:r>
              <w:rPr>
                <w:sz w:val="20"/>
              </w:rPr>
              <w:t>1.5–2.5% per txn</w:t>
            </w:r>
          </w:p>
        </w:tc>
        <w:tc>
          <w:tcPr>
            <w:tcW w:type="dxa" w:w="3744"/>
            <w:shd w:val="clear" w:color="auto" w:fill="F4F6F8"/>
            <w:tcBorders>
              <w:top w:val="single" w:sz="4" w:color="BFBFBF"/>
              <w:left w:val="single" w:sz="4" w:color="BFBFBF"/>
              <w:bottom w:val="single" w:sz="4" w:color="BFBFBF"/>
              <w:right w:val="single" w:sz="4" w:color="BFBFBF"/>
            </w:tcBorders>
            <w:vAlign w:val="center"/>
          </w:tcPr>
          <w:p>
            <w:r/>
            <w:r>
              <w:rPr>
                <w:sz w:val="20"/>
              </w:rPr>
              <w:t>Negotiable at volume</w:t>
            </w:r>
          </w:p>
        </w:tc>
      </w:tr>
      <w:tr>
        <w:tc>
          <w:tcPr>
            <w:tcW w:type="dxa" w:w="4320"/>
            <w:tcBorders>
              <w:top w:val="single" w:sz="4" w:color="BFBFBF"/>
              <w:left w:val="single" w:sz="4" w:color="BFBFBF"/>
              <w:bottom w:val="single" w:sz="4" w:color="BFBFBF"/>
              <w:right w:val="single" w:sz="4" w:color="BFBFBF"/>
            </w:tcBorders>
            <w:vAlign w:val="center"/>
          </w:tcPr>
          <w:p>
            <w:r/>
            <w:r>
              <w:rPr>
                <w:sz w:val="20"/>
              </w:rPr>
              <w:t>SendGrid / Twilio / Sparrow SMS</w:t>
            </w:r>
          </w:p>
        </w:tc>
        <w:tc>
          <w:tcPr>
            <w:tcW w:type="dxa" w:w="2448"/>
            <w:tcBorders>
              <w:top w:val="single" w:sz="4" w:color="BFBFBF"/>
              <w:left w:val="single" w:sz="4" w:color="BFBFBF"/>
              <w:bottom w:val="single" w:sz="4" w:color="BFBFBF"/>
              <w:right w:val="single" w:sz="4" w:color="BFBFBF"/>
            </w:tcBorders>
            <w:vAlign w:val="center"/>
          </w:tcPr>
          <w:p>
            <w:r/>
            <w:r>
              <w:rPr>
                <w:sz w:val="20"/>
              </w:rPr>
              <w:t>1,800 – 4,800</w:t>
            </w:r>
          </w:p>
        </w:tc>
        <w:tc>
          <w:tcPr>
            <w:tcW w:type="dxa" w:w="3744"/>
            <w:tcBorders>
              <w:top w:val="single" w:sz="4" w:color="BFBFBF"/>
              <w:left w:val="single" w:sz="4" w:color="BFBFBF"/>
              <w:bottom w:val="single" w:sz="4" w:color="BFBFBF"/>
              <w:right w:val="single" w:sz="4" w:color="BFBFBF"/>
            </w:tcBorders>
            <w:vAlign w:val="center"/>
          </w:tcPr>
          <w:p>
            <w:r/>
            <w:r>
              <w:rPr>
                <w:sz w:val="20"/>
              </w:rPr>
              <w:t>Depends on volume</w:t>
            </w:r>
          </w:p>
        </w:tc>
      </w:tr>
      <w:tr>
        <w:tc>
          <w:tcPr>
            <w:tcW w:type="dxa" w:w="4320"/>
            <w:shd w:val="clear" w:color="auto" w:fill="F4F6F8"/>
            <w:tcBorders>
              <w:top w:val="single" w:sz="4" w:color="BFBFBF"/>
              <w:left w:val="single" w:sz="4" w:color="BFBFBF"/>
              <w:bottom w:val="single" w:sz="4" w:color="BFBFBF"/>
              <w:right w:val="single" w:sz="4" w:color="BFBFBF"/>
            </w:tcBorders>
            <w:vAlign w:val="center"/>
          </w:tcPr>
          <w:p>
            <w:r/>
            <w:r>
              <w:rPr>
                <w:sz w:val="20"/>
              </w:rPr>
              <w:t>Monitoring (Sentry + Datadog)</w:t>
            </w:r>
          </w:p>
        </w:tc>
        <w:tc>
          <w:tcPr>
            <w:tcW w:type="dxa" w:w="2448"/>
            <w:shd w:val="clear" w:color="auto" w:fill="F4F6F8"/>
            <w:tcBorders>
              <w:top w:val="single" w:sz="4" w:color="BFBFBF"/>
              <w:left w:val="single" w:sz="4" w:color="BFBFBF"/>
              <w:bottom w:val="single" w:sz="4" w:color="BFBFBF"/>
              <w:right w:val="single" w:sz="4" w:color="BFBFBF"/>
            </w:tcBorders>
            <w:vAlign w:val="center"/>
          </w:tcPr>
          <w:p>
            <w:r/>
            <w:r>
              <w:rPr>
                <w:sz w:val="20"/>
              </w:rPr>
              <w:t>3,000 – 6,000</w:t>
            </w:r>
          </w:p>
        </w:tc>
        <w:tc>
          <w:tcPr>
            <w:tcW w:type="dxa" w:w="3744"/>
            <w:shd w:val="clear" w:color="auto" w:fill="F4F6F8"/>
            <w:tcBorders>
              <w:top w:val="single" w:sz="4" w:color="BFBFBF"/>
              <w:left w:val="single" w:sz="4" w:color="BFBFBF"/>
              <w:bottom w:val="single" w:sz="4" w:color="BFBFBF"/>
              <w:right w:val="single" w:sz="4" w:color="BFBFBF"/>
            </w:tcBorders>
            <w:vAlign w:val="center"/>
          </w:tcPr>
          <w:p>
            <w:r/>
            <w:r>
              <w:rPr>
                <w:sz w:val="20"/>
              </w:rPr>
              <w:t>Tiered by host count</w:t>
            </w:r>
          </w:p>
        </w:tc>
      </w:tr>
      <w:tr>
        <w:tc>
          <w:tcPr>
            <w:tcW w:type="dxa" w:w="4320"/>
            <w:tcBorders>
              <w:top w:val="single" w:sz="4" w:color="BFBFBF"/>
              <w:left w:val="single" w:sz="4" w:color="BFBFBF"/>
              <w:bottom w:val="single" w:sz="4" w:color="BFBFBF"/>
              <w:right w:val="single" w:sz="4" w:color="BFBFBF"/>
            </w:tcBorders>
            <w:vAlign w:val="center"/>
          </w:tcPr>
          <w:p>
            <w:r/>
            <w:r>
              <w:rPr>
                <w:sz w:val="20"/>
              </w:rPr>
              <w:t>Domain, SSL, WAF, DNS</w:t>
            </w:r>
          </w:p>
        </w:tc>
        <w:tc>
          <w:tcPr>
            <w:tcW w:type="dxa" w:w="2448"/>
            <w:tcBorders>
              <w:top w:val="single" w:sz="4" w:color="BFBFBF"/>
              <w:left w:val="single" w:sz="4" w:color="BFBFBF"/>
              <w:bottom w:val="single" w:sz="4" w:color="BFBFBF"/>
              <w:right w:val="single" w:sz="4" w:color="BFBFBF"/>
            </w:tcBorders>
            <w:vAlign w:val="center"/>
          </w:tcPr>
          <w:p>
            <w:r/>
            <w:r>
              <w:rPr>
                <w:sz w:val="20"/>
              </w:rPr>
              <w:t>1,200</w:t>
            </w:r>
          </w:p>
        </w:tc>
        <w:tc>
          <w:tcPr>
            <w:tcW w:type="dxa" w:w="3744"/>
            <w:tcBorders>
              <w:top w:val="single" w:sz="4" w:color="BFBFBF"/>
              <w:left w:val="single" w:sz="4" w:color="BFBFBF"/>
              <w:bottom w:val="single" w:sz="4" w:color="BFBFBF"/>
              <w:right w:val="single" w:sz="4" w:color="BFBFBF"/>
            </w:tcBorders>
            <w:vAlign w:val="center"/>
          </w:tcPr>
          <w:p>
            <w:r/>
            <w:r>
              <w:rPr>
                <w:sz w:val="20"/>
              </w:rPr>
              <w:t>Cloudflare Pro tier</w:t>
            </w:r>
          </w:p>
        </w:tc>
      </w:tr>
      <w:tr>
        <w:tc>
          <w:tcPr>
            <w:tcW w:type="dxa" w:w="4320"/>
            <w:shd w:val="clear" w:color="auto" w:fill="F4F6F8"/>
            <w:tcBorders>
              <w:top w:val="single" w:sz="4" w:color="BFBFBF"/>
              <w:left w:val="single" w:sz="4" w:color="BFBFBF"/>
              <w:bottom w:val="single" w:sz="4" w:color="BFBFBF"/>
              <w:right w:val="single" w:sz="4" w:color="BFBFBF"/>
            </w:tcBorders>
            <w:vAlign w:val="center"/>
          </w:tcPr>
          <w:p>
            <w:r/>
            <w:r>
              <w:rPr>
                <w:sz w:val="20"/>
              </w:rPr>
              <w:t>Security pen-test (one-off)</w:t>
            </w:r>
          </w:p>
        </w:tc>
        <w:tc>
          <w:tcPr>
            <w:tcW w:type="dxa" w:w="2448"/>
            <w:shd w:val="clear" w:color="auto" w:fill="F4F6F8"/>
            <w:tcBorders>
              <w:top w:val="single" w:sz="4" w:color="BFBFBF"/>
              <w:left w:val="single" w:sz="4" w:color="BFBFBF"/>
              <w:bottom w:val="single" w:sz="4" w:color="BFBFBF"/>
              <w:right w:val="single" w:sz="4" w:color="BFBFBF"/>
            </w:tcBorders>
            <w:vAlign w:val="center"/>
          </w:tcPr>
          <w:p>
            <w:r/>
            <w:r>
              <w:rPr>
                <w:sz w:val="20"/>
              </w:rPr>
              <w:t>8,000 – 15,000</w:t>
            </w:r>
          </w:p>
        </w:tc>
        <w:tc>
          <w:tcPr>
            <w:tcW w:type="dxa" w:w="3744"/>
            <w:shd w:val="clear" w:color="auto" w:fill="F4F6F8"/>
            <w:tcBorders>
              <w:top w:val="single" w:sz="4" w:color="BFBFBF"/>
              <w:left w:val="single" w:sz="4" w:color="BFBFBF"/>
              <w:bottom w:val="single" w:sz="4" w:color="BFBFBF"/>
              <w:right w:val="single" w:sz="4" w:color="BFBFBF"/>
            </w:tcBorders>
            <w:vAlign w:val="center"/>
          </w:tcPr>
          <w:p>
            <w:r/>
            <w:r>
              <w:rPr>
                <w:sz w:val="20"/>
              </w:rPr>
              <w:t>Third-party audit pre-launch</w:t>
            </w:r>
          </w:p>
        </w:tc>
      </w:tr>
      <w:tr>
        <w:tc>
          <w:tcPr>
            <w:tcW w:type="dxa" w:w="4320"/>
            <w:tcBorders>
              <w:top w:val="single" w:sz="4" w:color="BFBFBF"/>
              <w:left w:val="single" w:sz="4" w:color="BFBFBF"/>
              <w:bottom w:val="single" w:sz="4" w:color="BFBFBF"/>
              <w:right w:val="single" w:sz="4" w:color="BFBFBF"/>
            </w:tcBorders>
            <w:vAlign w:val="center"/>
          </w:tcPr>
          <w:p>
            <w:r/>
            <w:r>
              <w:rPr>
                <w:sz w:val="20"/>
              </w:rPr>
              <w:t>Sub-total — Infra &amp; 3rd-party</w:t>
            </w:r>
          </w:p>
        </w:tc>
        <w:tc>
          <w:tcPr>
            <w:tcW w:type="dxa" w:w="2448"/>
            <w:tcBorders>
              <w:top w:val="single" w:sz="4" w:color="BFBFBF"/>
              <w:left w:val="single" w:sz="4" w:color="BFBFBF"/>
              <w:bottom w:val="single" w:sz="4" w:color="BFBFBF"/>
              <w:right w:val="single" w:sz="4" w:color="BFBFBF"/>
            </w:tcBorders>
            <w:vAlign w:val="center"/>
          </w:tcPr>
          <w:p>
            <w:r/>
            <w:r>
              <w:rPr>
                <w:sz w:val="20"/>
              </w:rPr>
              <w:t>≈ 32,000 – 60,000</w:t>
            </w:r>
          </w:p>
        </w:tc>
        <w:tc>
          <w:tcPr>
            <w:tcW w:type="dxa" w:w="3744"/>
            <w:tcBorders>
              <w:top w:val="single" w:sz="4" w:color="BFBFBF"/>
              <w:left w:val="single" w:sz="4" w:color="BFBFBF"/>
              <w:bottom w:val="single" w:sz="4" w:color="BFBFBF"/>
              <w:right w:val="single" w:sz="4" w:color="BFBFBF"/>
            </w:tcBorders>
            <w:vAlign w:val="center"/>
          </w:tcPr>
          <w:p>
            <w:r/>
            <w:r>
              <w:rPr>
                <w:sz w:val="20"/>
              </w:rPr>
              <w:t>Excludes payment fees</w:t>
            </w:r>
          </w:p>
        </w:tc>
      </w:tr>
    </w:tbl>
    <w:p>
      <w:pPr>
        <w:spacing w:before="240" w:after="80"/>
      </w:pPr>
      <w:r>
        <w:rPr>
          <w:b/>
          <w:color w:val="1F77B4"/>
          <w:sz w:val="28"/>
        </w:rPr>
        <w:t>11.3 Contingency &amp; Total</w:t>
      </w:r>
    </w:p>
    <w:tbl>
      <w:tblPr>
        <w:tblW w:type="auto" w:w="0"/>
        <w:jc w:val="center"/>
        <w:tblLook w:firstColumn="1" w:firstRow="1" w:lastColumn="0" w:lastRow="0" w:noHBand="0" w:noVBand="1" w:val="04A0"/>
      </w:tblPr>
      <w:tblGrid>
        <w:gridCol w:w="3216"/>
        <w:gridCol w:w="3216"/>
        <w:gridCol w:w="3216"/>
      </w:tblGrid>
      <w:tr>
        <w:tc>
          <w:tcPr>
            <w:tcW w:type="dxa" w:w="4320"/>
            <w:shd w:val="clear" w:color="auto" w:fill="0F2A47"/>
            <w:tcBorders>
              <w:top w:val="single" w:sz="4" w:color="BFBFBF"/>
              <w:left w:val="single" w:sz="4" w:color="BFBFBF"/>
              <w:bottom w:val="single" w:sz="4" w:color="BFBFBF"/>
              <w:right w:val="single" w:sz="4" w:color="BFBFBF"/>
            </w:tcBorders>
            <w:vAlign w:val="center"/>
          </w:tcPr>
          <w:p>
            <w:r/>
            <w:r>
              <w:rPr>
                <w:b/>
                <w:color w:val="FFFFFF"/>
                <w:sz w:val="21"/>
              </w:rPr>
              <w:t>Item</w:t>
            </w:r>
          </w:p>
        </w:tc>
        <w:tc>
          <w:tcPr>
            <w:tcW w:type="dxa" w:w="2880"/>
            <w:shd w:val="clear" w:color="auto" w:fill="0F2A47"/>
            <w:tcBorders>
              <w:top w:val="single" w:sz="4" w:color="BFBFBF"/>
              <w:left w:val="single" w:sz="4" w:color="BFBFBF"/>
              <w:bottom w:val="single" w:sz="4" w:color="BFBFBF"/>
              <w:right w:val="single" w:sz="4" w:color="BFBFBF"/>
            </w:tcBorders>
            <w:vAlign w:val="center"/>
          </w:tcPr>
          <w:p>
            <w:r/>
            <w:r>
              <w:rPr>
                <w:b/>
                <w:color w:val="FFFFFF"/>
                <w:sz w:val="21"/>
              </w:rPr>
              <w:t>Cost (USD)</w:t>
            </w:r>
          </w:p>
        </w:tc>
        <w:tc>
          <w:tcPr>
            <w:tcW w:type="dxa" w:w="3312"/>
            <w:shd w:val="clear" w:color="auto" w:fill="0F2A47"/>
            <w:tcBorders>
              <w:top w:val="single" w:sz="4" w:color="BFBFBF"/>
              <w:left w:val="single" w:sz="4" w:color="BFBFBF"/>
              <w:bottom w:val="single" w:sz="4" w:color="BFBFBF"/>
              <w:right w:val="single" w:sz="4" w:color="BFBFBF"/>
            </w:tcBorders>
            <w:vAlign w:val="center"/>
          </w:tcPr>
          <w:p>
            <w:r/>
            <w:r>
              <w:rPr>
                <w:b/>
                <w:color w:val="FFFFFF"/>
                <w:sz w:val="21"/>
              </w:rPr>
              <w:t>Cost (NPR)</w:t>
            </w:r>
          </w:p>
        </w:tc>
      </w:tr>
      <w:tr>
        <w:tc>
          <w:tcPr>
            <w:tcW w:type="dxa" w:w="4320"/>
            <w:tcBorders>
              <w:top w:val="single" w:sz="4" w:color="BFBFBF"/>
              <w:left w:val="single" w:sz="4" w:color="BFBFBF"/>
              <w:bottom w:val="single" w:sz="4" w:color="BFBFBF"/>
              <w:right w:val="single" w:sz="4" w:color="BFBFBF"/>
            </w:tcBorders>
            <w:vAlign w:val="center"/>
          </w:tcPr>
          <w:p>
            <w:r/>
            <w:r>
              <w:rPr>
                <w:sz w:val="20"/>
              </w:rPr>
              <w:t>Team (12 months)</w:t>
            </w:r>
          </w:p>
        </w:tc>
        <w:tc>
          <w:tcPr>
            <w:tcW w:type="dxa" w:w="2880"/>
            <w:tcBorders>
              <w:top w:val="single" w:sz="4" w:color="BFBFBF"/>
              <w:left w:val="single" w:sz="4" w:color="BFBFBF"/>
              <w:bottom w:val="single" w:sz="4" w:color="BFBFBF"/>
              <w:right w:val="single" w:sz="4" w:color="BFBFBF"/>
            </w:tcBorders>
            <w:vAlign w:val="center"/>
          </w:tcPr>
          <w:p>
            <w:r/>
            <w:r>
              <w:rPr>
                <w:sz w:val="20"/>
              </w:rPr>
              <w:t>480,000</w:t>
            </w:r>
          </w:p>
        </w:tc>
        <w:tc>
          <w:tcPr>
            <w:tcW w:type="dxa" w:w="3312"/>
            <w:tcBorders>
              <w:top w:val="single" w:sz="4" w:color="BFBFBF"/>
              <w:left w:val="single" w:sz="4" w:color="BFBFBF"/>
              <w:bottom w:val="single" w:sz="4" w:color="BFBFBF"/>
              <w:right w:val="single" w:sz="4" w:color="BFBFBF"/>
            </w:tcBorders>
            <w:vAlign w:val="center"/>
          </w:tcPr>
          <w:p>
            <w:r/>
            <w:r>
              <w:rPr>
                <w:sz w:val="20"/>
              </w:rPr>
              <w:t>~ 6.4 Cr</w:t>
            </w:r>
          </w:p>
        </w:tc>
      </w:tr>
      <w:tr>
        <w:tc>
          <w:tcPr>
            <w:tcW w:type="dxa" w:w="4320"/>
            <w:shd w:val="clear" w:color="auto" w:fill="F4F6F8"/>
            <w:tcBorders>
              <w:top w:val="single" w:sz="4" w:color="BFBFBF"/>
              <w:left w:val="single" w:sz="4" w:color="BFBFBF"/>
              <w:bottom w:val="single" w:sz="4" w:color="BFBFBF"/>
              <w:right w:val="single" w:sz="4" w:color="BFBFBF"/>
            </w:tcBorders>
            <w:vAlign w:val="center"/>
          </w:tcPr>
          <w:p>
            <w:r/>
            <w:r>
              <w:rPr>
                <w:sz w:val="20"/>
              </w:rPr>
              <w:t>Infrastructure &amp; 3rd-party</w:t>
            </w:r>
          </w:p>
        </w:tc>
        <w:tc>
          <w:tcPr>
            <w:tcW w:type="dxa" w:w="2880"/>
            <w:shd w:val="clear" w:color="auto" w:fill="F4F6F8"/>
            <w:tcBorders>
              <w:top w:val="single" w:sz="4" w:color="BFBFBF"/>
              <w:left w:val="single" w:sz="4" w:color="BFBFBF"/>
              <w:bottom w:val="single" w:sz="4" w:color="BFBFBF"/>
              <w:right w:val="single" w:sz="4" w:color="BFBFBF"/>
            </w:tcBorders>
            <w:vAlign w:val="center"/>
          </w:tcPr>
          <w:p>
            <w:r/>
            <w:r>
              <w:rPr>
                <w:sz w:val="20"/>
              </w:rPr>
              <w:t>≈ 46,000 (mid)</w:t>
            </w:r>
          </w:p>
        </w:tc>
        <w:tc>
          <w:tcPr>
            <w:tcW w:type="dxa" w:w="3312"/>
            <w:shd w:val="clear" w:color="auto" w:fill="F4F6F8"/>
            <w:tcBorders>
              <w:top w:val="single" w:sz="4" w:color="BFBFBF"/>
              <w:left w:val="single" w:sz="4" w:color="BFBFBF"/>
              <w:bottom w:val="single" w:sz="4" w:color="BFBFBF"/>
              <w:right w:val="single" w:sz="4" w:color="BFBFBF"/>
            </w:tcBorders>
            <w:vAlign w:val="center"/>
          </w:tcPr>
          <w:p>
            <w:r/>
            <w:r>
              <w:rPr>
                <w:sz w:val="20"/>
              </w:rPr>
              <w:t>~ 61.2 L</w:t>
            </w:r>
          </w:p>
        </w:tc>
      </w:tr>
      <w:tr>
        <w:tc>
          <w:tcPr>
            <w:tcW w:type="dxa" w:w="4320"/>
            <w:tcBorders>
              <w:top w:val="single" w:sz="4" w:color="BFBFBF"/>
              <w:left w:val="single" w:sz="4" w:color="BFBFBF"/>
              <w:bottom w:val="single" w:sz="4" w:color="BFBFBF"/>
              <w:right w:val="single" w:sz="4" w:color="BFBFBF"/>
            </w:tcBorders>
            <w:vAlign w:val="center"/>
          </w:tcPr>
          <w:p>
            <w:r/>
            <w:r>
              <w:rPr>
                <w:sz w:val="20"/>
              </w:rPr>
              <w:t>Contingency (15%)</w:t>
            </w:r>
          </w:p>
        </w:tc>
        <w:tc>
          <w:tcPr>
            <w:tcW w:type="dxa" w:w="2880"/>
            <w:tcBorders>
              <w:top w:val="single" w:sz="4" w:color="BFBFBF"/>
              <w:left w:val="single" w:sz="4" w:color="BFBFBF"/>
              <w:bottom w:val="single" w:sz="4" w:color="BFBFBF"/>
              <w:right w:val="single" w:sz="4" w:color="BFBFBF"/>
            </w:tcBorders>
            <w:vAlign w:val="center"/>
          </w:tcPr>
          <w:p>
            <w:r/>
            <w:r>
              <w:rPr>
                <w:sz w:val="20"/>
              </w:rPr>
              <w:t>≈ 79,000</w:t>
            </w:r>
          </w:p>
        </w:tc>
        <w:tc>
          <w:tcPr>
            <w:tcW w:type="dxa" w:w="3312"/>
            <w:tcBorders>
              <w:top w:val="single" w:sz="4" w:color="BFBFBF"/>
              <w:left w:val="single" w:sz="4" w:color="BFBFBF"/>
              <w:bottom w:val="single" w:sz="4" w:color="BFBFBF"/>
              <w:right w:val="single" w:sz="4" w:color="BFBFBF"/>
            </w:tcBorders>
            <w:vAlign w:val="center"/>
          </w:tcPr>
          <w:p>
            <w:r/>
            <w:r>
              <w:rPr>
                <w:sz w:val="20"/>
              </w:rPr>
              <w:t>~ 1.05 Cr</w:t>
            </w:r>
          </w:p>
        </w:tc>
      </w:tr>
      <w:tr>
        <w:tc>
          <w:tcPr>
            <w:tcW w:type="dxa" w:w="4320"/>
            <w:shd w:val="clear" w:color="auto" w:fill="F4F6F8"/>
            <w:tcBorders>
              <w:top w:val="single" w:sz="4" w:color="BFBFBF"/>
              <w:left w:val="single" w:sz="4" w:color="BFBFBF"/>
              <w:bottom w:val="single" w:sz="4" w:color="BFBFBF"/>
              <w:right w:val="single" w:sz="4" w:color="BFBFBF"/>
            </w:tcBorders>
            <w:vAlign w:val="center"/>
          </w:tcPr>
          <w:p>
            <w:r/>
            <w:r>
              <w:rPr>
                <w:sz w:val="20"/>
              </w:rPr>
              <w:t>Total — Year 1</w:t>
            </w:r>
          </w:p>
        </w:tc>
        <w:tc>
          <w:tcPr>
            <w:tcW w:type="dxa" w:w="2880"/>
            <w:shd w:val="clear" w:color="auto" w:fill="F4F6F8"/>
            <w:tcBorders>
              <w:top w:val="single" w:sz="4" w:color="BFBFBF"/>
              <w:left w:val="single" w:sz="4" w:color="BFBFBF"/>
              <w:bottom w:val="single" w:sz="4" w:color="BFBFBF"/>
              <w:right w:val="single" w:sz="4" w:color="BFBFBF"/>
            </w:tcBorders>
            <w:vAlign w:val="center"/>
          </w:tcPr>
          <w:p>
            <w:r/>
            <w:r>
              <w:rPr>
                <w:sz w:val="20"/>
              </w:rPr>
              <w:t>≈ 605,000</w:t>
            </w:r>
          </w:p>
        </w:tc>
        <w:tc>
          <w:tcPr>
            <w:tcW w:type="dxa" w:w="3312"/>
            <w:shd w:val="clear" w:color="auto" w:fill="F4F6F8"/>
            <w:tcBorders>
              <w:top w:val="single" w:sz="4" w:color="BFBFBF"/>
              <w:left w:val="single" w:sz="4" w:color="BFBFBF"/>
              <w:bottom w:val="single" w:sz="4" w:color="BFBFBF"/>
              <w:right w:val="single" w:sz="4" w:color="BFBFBF"/>
            </w:tcBorders>
            <w:vAlign w:val="center"/>
          </w:tcPr>
          <w:p>
            <w:r/>
            <w:r>
              <w:rPr>
                <w:sz w:val="20"/>
              </w:rPr>
              <w:t>~ 8.05 Cr</w:t>
            </w:r>
          </w:p>
        </w:tc>
      </w:tr>
    </w:tbl>
    <w:p>
      <w:pPr>
        <w:spacing w:after="80"/>
      </w:pPr>
      <w:r>
        <w:rPr>
          <w:b w:val="0"/>
          <w:i/>
          <w:color w:val="566573"/>
          <w:sz w:val="20"/>
        </w:rPr>
        <w:t>Reducing scope to MVP (drop Premium Accounting and TikTok integration) cuts build cost by roughly 25–30%. Off-shoring all engineering to Nepal / India can reduce team cost by 40–60%, bringing Year-1 cost into the USD 250–350k range.</w:t>
      </w:r>
    </w:p>
    <w:p>
      <w:r>
        <w:br w:type="page"/>
      </w:r>
    </w:p>
    <w:p>
      <w:pPr>
        <w:spacing w:before="360" w:after="160"/>
        <w:pBdr>
          <w:bottom w:val="single" w:sz="8" w:space="4" w:color="E67E22"/>
        </w:pBdr>
      </w:pPr>
      <w:r>
        <w:rPr>
          <w:b/>
          <w:color w:val="0F2A47"/>
          <w:sz w:val="40"/>
        </w:rPr>
        <w:t>12. Risk Register &amp; Mitigations</w:t>
      </w:r>
    </w:p>
    <w:tbl>
      <w:tblPr>
        <w:tblW w:type="auto" w:w="0"/>
        <w:jc w:val="center"/>
        <w:tblLook w:firstColumn="1" w:firstRow="1" w:lastColumn="0" w:lastRow="0" w:noHBand="0" w:noVBand="1" w:val="04A0"/>
      </w:tblPr>
      <w:tblGrid>
        <w:gridCol w:w="2412"/>
        <w:gridCol w:w="2412"/>
        <w:gridCol w:w="2412"/>
        <w:gridCol w:w="2412"/>
      </w:tblGrid>
      <w:tr>
        <w:tc>
          <w:tcPr>
            <w:tcW w:type="dxa" w:w="3456"/>
            <w:shd w:val="clear" w:color="auto" w:fill="0F2A47"/>
            <w:tcBorders>
              <w:top w:val="single" w:sz="4" w:color="BFBFBF"/>
              <w:left w:val="single" w:sz="4" w:color="BFBFBF"/>
              <w:bottom w:val="single" w:sz="4" w:color="BFBFBF"/>
              <w:right w:val="single" w:sz="4" w:color="BFBFBF"/>
            </w:tcBorders>
            <w:vAlign w:val="center"/>
          </w:tcPr>
          <w:p>
            <w:r/>
            <w:r>
              <w:rPr>
                <w:b/>
                <w:color w:val="FFFFFF"/>
                <w:sz w:val="21"/>
              </w:rPr>
              <w:t>Risk</w:t>
            </w:r>
          </w:p>
        </w:tc>
        <w:tc>
          <w:tcPr>
            <w:tcW w:type="dxa" w:w="1296"/>
            <w:shd w:val="clear" w:color="auto" w:fill="0F2A47"/>
            <w:tcBorders>
              <w:top w:val="single" w:sz="4" w:color="BFBFBF"/>
              <w:left w:val="single" w:sz="4" w:color="BFBFBF"/>
              <w:bottom w:val="single" w:sz="4" w:color="BFBFBF"/>
              <w:right w:val="single" w:sz="4" w:color="BFBFBF"/>
            </w:tcBorders>
            <w:vAlign w:val="center"/>
          </w:tcPr>
          <w:p>
            <w:r/>
            <w:r>
              <w:rPr>
                <w:b/>
                <w:color w:val="FFFFFF"/>
                <w:sz w:val="21"/>
              </w:rPr>
              <w:t>Likelihood</w:t>
            </w:r>
          </w:p>
        </w:tc>
        <w:tc>
          <w:tcPr>
            <w:tcW w:type="dxa" w:w="1296"/>
            <w:shd w:val="clear" w:color="auto" w:fill="0F2A47"/>
            <w:tcBorders>
              <w:top w:val="single" w:sz="4" w:color="BFBFBF"/>
              <w:left w:val="single" w:sz="4" w:color="BFBFBF"/>
              <w:bottom w:val="single" w:sz="4" w:color="BFBFBF"/>
              <w:right w:val="single" w:sz="4" w:color="BFBFBF"/>
            </w:tcBorders>
            <w:vAlign w:val="center"/>
          </w:tcPr>
          <w:p>
            <w:r/>
            <w:r>
              <w:rPr>
                <w:b/>
                <w:color w:val="FFFFFF"/>
                <w:sz w:val="21"/>
              </w:rPr>
              <w:t>Impact</w:t>
            </w:r>
          </w:p>
        </w:tc>
        <w:tc>
          <w:tcPr>
            <w:tcW w:type="dxa" w:w="4464"/>
            <w:shd w:val="clear" w:color="auto" w:fill="0F2A47"/>
            <w:tcBorders>
              <w:top w:val="single" w:sz="4" w:color="BFBFBF"/>
              <w:left w:val="single" w:sz="4" w:color="BFBFBF"/>
              <w:bottom w:val="single" w:sz="4" w:color="BFBFBF"/>
              <w:right w:val="single" w:sz="4" w:color="BFBFBF"/>
            </w:tcBorders>
            <w:vAlign w:val="center"/>
          </w:tcPr>
          <w:p>
            <w:r/>
            <w:r>
              <w:rPr>
                <w:b/>
                <w:color w:val="FFFFFF"/>
                <w:sz w:val="21"/>
              </w:rPr>
              <w:t>Mitigation</w:t>
            </w:r>
          </w:p>
        </w:tc>
      </w:tr>
      <w:tr>
        <w:tc>
          <w:tcPr>
            <w:tcW w:type="dxa" w:w="3456"/>
            <w:tcBorders>
              <w:top w:val="single" w:sz="4" w:color="BFBFBF"/>
              <w:left w:val="single" w:sz="4" w:color="BFBFBF"/>
              <w:bottom w:val="single" w:sz="4" w:color="BFBFBF"/>
              <w:right w:val="single" w:sz="4" w:color="BFBFBF"/>
            </w:tcBorders>
            <w:vAlign w:val="center"/>
          </w:tcPr>
          <w:p>
            <w:r/>
            <w:r>
              <w:rPr>
                <w:sz w:val="20"/>
              </w:rPr>
              <w:t>Social API policy / pricing changes (Meta, TikTok)</w:t>
            </w:r>
          </w:p>
        </w:tc>
        <w:tc>
          <w:tcPr>
            <w:tcW w:type="dxa" w:w="1296"/>
            <w:tcBorders>
              <w:top w:val="single" w:sz="4" w:color="BFBFBF"/>
              <w:left w:val="single" w:sz="4" w:color="BFBFBF"/>
              <w:bottom w:val="single" w:sz="4" w:color="BFBFBF"/>
              <w:right w:val="single" w:sz="4" w:color="BFBFBF"/>
            </w:tcBorders>
            <w:vAlign w:val="center"/>
          </w:tcPr>
          <w:p>
            <w:r/>
            <w:r>
              <w:rPr>
                <w:sz w:val="20"/>
              </w:rPr>
              <w:t>Medium</w:t>
            </w:r>
          </w:p>
        </w:tc>
        <w:tc>
          <w:tcPr>
            <w:tcW w:type="dxa" w:w="1296"/>
            <w:tcBorders>
              <w:top w:val="single" w:sz="4" w:color="BFBFBF"/>
              <w:left w:val="single" w:sz="4" w:color="BFBFBF"/>
              <w:bottom w:val="single" w:sz="4" w:color="BFBFBF"/>
              <w:right w:val="single" w:sz="4" w:color="BFBFBF"/>
            </w:tcBorders>
            <w:vAlign w:val="center"/>
          </w:tcPr>
          <w:p>
            <w:r/>
            <w:r>
              <w:rPr>
                <w:sz w:val="20"/>
              </w:rPr>
              <w:t>High</w:t>
            </w:r>
          </w:p>
        </w:tc>
        <w:tc>
          <w:tcPr>
            <w:tcW w:type="dxa" w:w="4464"/>
            <w:tcBorders>
              <w:top w:val="single" w:sz="4" w:color="BFBFBF"/>
              <w:left w:val="single" w:sz="4" w:color="BFBFBF"/>
              <w:bottom w:val="single" w:sz="4" w:color="BFBFBF"/>
              <w:right w:val="single" w:sz="4" w:color="BFBFBF"/>
            </w:tcBorders>
            <w:vAlign w:val="center"/>
          </w:tcPr>
          <w:p>
            <w:r/>
            <w:r>
              <w:rPr>
                <w:sz w:val="20"/>
              </w:rPr>
              <w:t>Abstraction layer in code; design swap-out path; track official API changelogs.</w:t>
            </w:r>
          </w:p>
        </w:tc>
      </w:tr>
      <w:tr>
        <w:tc>
          <w:tcPr>
            <w:tcW w:type="dxa" w:w="3456"/>
            <w:shd w:val="clear" w:color="auto" w:fill="F4F6F8"/>
            <w:tcBorders>
              <w:top w:val="single" w:sz="4" w:color="BFBFBF"/>
              <w:left w:val="single" w:sz="4" w:color="BFBFBF"/>
              <w:bottom w:val="single" w:sz="4" w:color="BFBFBF"/>
              <w:right w:val="single" w:sz="4" w:color="BFBFBF"/>
            </w:tcBorders>
            <w:vAlign w:val="center"/>
          </w:tcPr>
          <w:p>
            <w:r/>
            <w:r>
              <w:rPr>
                <w:sz w:val="20"/>
              </w:rPr>
              <w:t>Payment gateway downtime (eSewa / Khalti / Stripe)</w:t>
            </w:r>
          </w:p>
        </w:tc>
        <w:tc>
          <w:tcPr>
            <w:tcW w:type="dxa" w:w="1296"/>
            <w:shd w:val="clear" w:color="auto" w:fill="F4F6F8"/>
            <w:tcBorders>
              <w:top w:val="single" w:sz="4" w:color="BFBFBF"/>
              <w:left w:val="single" w:sz="4" w:color="BFBFBF"/>
              <w:bottom w:val="single" w:sz="4" w:color="BFBFBF"/>
              <w:right w:val="single" w:sz="4" w:color="BFBFBF"/>
            </w:tcBorders>
            <w:vAlign w:val="center"/>
          </w:tcPr>
          <w:p>
            <w:r/>
            <w:r>
              <w:rPr>
                <w:sz w:val="20"/>
              </w:rPr>
              <w:t>Low</w:t>
            </w:r>
          </w:p>
        </w:tc>
        <w:tc>
          <w:tcPr>
            <w:tcW w:type="dxa" w:w="1296"/>
            <w:shd w:val="clear" w:color="auto" w:fill="F4F6F8"/>
            <w:tcBorders>
              <w:top w:val="single" w:sz="4" w:color="BFBFBF"/>
              <w:left w:val="single" w:sz="4" w:color="BFBFBF"/>
              <w:bottom w:val="single" w:sz="4" w:color="BFBFBF"/>
              <w:right w:val="single" w:sz="4" w:color="BFBFBF"/>
            </w:tcBorders>
            <w:vAlign w:val="center"/>
          </w:tcPr>
          <w:p>
            <w:r/>
            <w:r>
              <w:rPr>
                <w:sz w:val="20"/>
              </w:rPr>
              <w:t>High</w:t>
            </w:r>
          </w:p>
        </w:tc>
        <w:tc>
          <w:tcPr>
            <w:tcW w:type="dxa" w:w="4464"/>
            <w:shd w:val="clear" w:color="auto" w:fill="F4F6F8"/>
            <w:tcBorders>
              <w:top w:val="single" w:sz="4" w:color="BFBFBF"/>
              <w:left w:val="single" w:sz="4" w:color="BFBFBF"/>
              <w:bottom w:val="single" w:sz="4" w:color="BFBFBF"/>
              <w:right w:val="single" w:sz="4" w:color="BFBFBF"/>
            </w:tcBorders>
            <w:vAlign w:val="center"/>
          </w:tcPr>
          <w:p>
            <w:r/>
            <w:r>
              <w:rPr>
                <w:sz w:val="20"/>
              </w:rPr>
              <w:t>Implement multiple gateways with automatic failover; clear retry UI.</w:t>
            </w:r>
          </w:p>
        </w:tc>
      </w:tr>
      <w:tr>
        <w:tc>
          <w:tcPr>
            <w:tcW w:type="dxa" w:w="3456"/>
            <w:tcBorders>
              <w:top w:val="single" w:sz="4" w:color="BFBFBF"/>
              <w:left w:val="single" w:sz="4" w:color="BFBFBF"/>
              <w:bottom w:val="single" w:sz="4" w:color="BFBFBF"/>
              <w:right w:val="single" w:sz="4" w:color="BFBFBF"/>
            </w:tcBorders>
            <w:vAlign w:val="center"/>
          </w:tcPr>
          <w:p>
            <w:r/>
            <w:r>
              <w:rPr>
                <w:sz w:val="20"/>
              </w:rPr>
              <w:t>Scope creep delaying launch</w:t>
            </w:r>
          </w:p>
        </w:tc>
        <w:tc>
          <w:tcPr>
            <w:tcW w:type="dxa" w:w="1296"/>
            <w:tcBorders>
              <w:top w:val="single" w:sz="4" w:color="BFBFBF"/>
              <w:left w:val="single" w:sz="4" w:color="BFBFBF"/>
              <w:bottom w:val="single" w:sz="4" w:color="BFBFBF"/>
              <w:right w:val="single" w:sz="4" w:color="BFBFBF"/>
            </w:tcBorders>
            <w:vAlign w:val="center"/>
          </w:tcPr>
          <w:p>
            <w:r/>
            <w:r>
              <w:rPr>
                <w:sz w:val="20"/>
              </w:rPr>
              <w:t>High</w:t>
            </w:r>
          </w:p>
        </w:tc>
        <w:tc>
          <w:tcPr>
            <w:tcW w:type="dxa" w:w="1296"/>
            <w:tcBorders>
              <w:top w:val="single" w:sz="4" w:color="BFBFBF"/>
              <w:left w:val="single" w:sz="4" w:color="BFBFBF"/>
              <w:bottom w:val="single" w:sz="4" w:color="BFBFBF"/>
              <w:right w:val="single" w:sz="4" w:color="BFBFBF"/>
            </w:tcBorders>
            <w:vAlign w:val="center"/>
          </w:tcPr>
          <w:p>
            <w:r/>
            <w:r>
              <w:rPr>
                <w:sz w:val="20"/>
              </w:rPr>
              <w:t>Medium</w:t>
            </w:r>
          </w:p>
        </w:tc>
        <w:tc>
          <w:tcPr>
            <w:tcW w:type="dxa" w:w="4464"/>
            <w:tcBorders>
              <w:top w:val="single" w:sz="4" w:color="BFBFBF"/>
              <w:left w:val="single" w:sz="4" w:color="BFBFBF"/>
              <w:bottom w:val="single" w:sz="4" w:color="BFBFBF"/>
              <w:right w:val="single" w:sz="4" w:color="BFBFBF"/>
            </w:tcBorders>
            <w:vAlign w:val="center"/>
          </w:tcPr>
          <w:p>
            <w:r/>
            <w:r>
              <w:rPr>
                <w:sz w:val="20"/>
              </w:rPr>
              <w:t>Strict change-control; new requests go to post-launch backlog; signed-off scope per phase.</w:t>
            </w:r>
          </w:p>
        </w:tc>
      </w:tr>
      <w:tr>
        <w:tc>
          <w:tcPr>
            <w:tcW w:type="dxa" w:w="3456"/>
            <w:shd w:val="clear" w:color="auto" w:fill="F4F6F8"/>
            <w:tcBorders>
              <w:top w:val="single" w:sz="4" w:color="BFBFBF"/>
              <w:left w:val="single" w:sz="4" w:color="BFBFBF"/>
              <w:bottom w:val="single" w:sz="4" w:color="BFBFBF"/>
              <w:right w:val="single" w:sz="4" w:color="BFBFBF"/>
            </w:tcBorders>
            <w:vAlign w:val="center"/>
          </w:tcPr>
          <w:p>
            <w:r/>
            <w:r>
              <w:rPr>
                <w:sz w:val="20"/>
              </w:rPr>
              <w:t>Data privacy / GDPR / local regulator gaps</w:t>
            </w:r>
          </w:p>
        </w:tc>
        <w:tc>
          <w:tcPr>
            <w:tcW w:type="dxa" w:w="1296"/>
            <w:shd w:val="clear" w:color="auto" w:fill="F4F6F8"/>
            <w:tcBorders>
              <w:top w:val="single" w:sz="4" w:color="BFBFBF"/>
              <w:left w:val="single" w:sz="4" w:color="BFBFBF"/>
              <w:bottom w:val="single" w:sz="4" w:color="BFBFBF"/>
              <w:right w:val="single" w:sz="4" w:color="BFBFBF"/>
            </w:tcBorders>
            <w:vAlign w:val="center"/>
          </w:tcPr>
          <w:p>
            <w:r/>
            <w:r>
              <w:rPr>
                <w:sz w:val="20"/>
              </w:rPr>
              <w:t>Medium</w:t>
            </w:r>
          </w:p>
        </w:tc>
        <w:tc>
          <w:tcPr>
            <w:tcW w:type="dxa" w:w="1296"/>
            <w:shd w:val="clear" w:color="auto" w:fill="F4F6F8"/>
            <w:tcBorders>
              <w:top w:val="single" w:sz="4" w:color="BFBFBF"/>
              <w:left w:val="single" w:sz="4" w:color="BFBFBF"/>
              <w:bottom w:val="single" w:sz="4" w:color="BFBFBF"/>
              <w:right w:val="single" w:sz="4" w:color="BFBFBF"/>
            </w:tcBorders>
            <w:vAlign w:val="center"/>
          </w:tcPr>
          <w:p>
            <w:r/>
            <w:r>
              <w:rPr>
                <w:sz w:val="20"/>
              </w:rPr>
              <w:t>High</w:t>
            </w:r>
          </w:p>
        </w:tc>
        <w:tc>
          <w:tcPr>
            <w:tcW w:type="dxa" w:w="4464"/>
            <w:shd w:val="clear" w:color="auto" w:fill="F4F6F8"/>
            <w:tcBorders>
              <w:top w:val="single" w:sz="4" w:color="BFBFBF"/>
              <w:left w:val="single" w:sz="4" w:color="BFBFBF"/>
              <w:bottom w:val="single" w:sz="4" w:color="BFBFBF"/>
              <w:right w:val="single" w:sz="4" w:color="BFBFBF"/>
            </w:tcBorders>
            <w:vAlign w:val="center"/>
          </w:tcPr>
          <w:p>
            <w:r/>
            <w:r>
              <w:rPr>
                <w:sz w:val="20"/>
              </w:rPr>
              <w:t>Privacy-by-design in Phase 1: consent, export, deletion; legal review pre-launch.</w:t>
            </w:r>
          </w:p>
        </w:tc>
      </w:tr>
      <w:tr>
        <w:tc>
          <w:tcPr>
            <w:tcW w:type="dxa" w:w="3456"/>
            <w:tcBorders>
              <w:top w:val="single" w:sz="4" w:color="BFBFBF"/>
              <w:left w:val="single" w:sz="4" w:color="BFBFBF"/>
              <w:bottom w:val="single" w:sz="4" w:color="BFBFBF"/>
              <w:right w:val="single" w:sz="4" w:color="BFBFBF"/>
            </w:tcBorders>
            <w:vAlign w:val="center"/>
          </w:tcPr>
          <w:p>
            <w:r/>
            <w:r>
              <w:rPr>
                <w:sz w:val="20"/>
              </w:rPr>
              <w:t>Performance under flash-sale load</w:t>
            </w:r>
          </w:p>
        </w:tc>
        <w:tc>
          <w:tcPr>
            <w:tcW w:type="dxa" w:w="1296"/>
            <w:tcBorders>
              <w:top w:val="single" w:sz="4" w:color="BFBFBF"/>
              <w:left w:val="single" w:sz="4" w:color="BFBFBF"/>
              <w:bottom w:val="single" w:sz="4" w:color="BFBFBF"/>
              <w:right w:val="single" w:sz="4" w:color="BFBFBF"/>
            </w:tcBorders>
            <w:vAlign w:val="center"/>
          </w:tcPr>
          <w:p>
            <w:r/>
            <w:r>
              <w:rPr>
                <w:sz w:val="20"/>
              </w:rPr>
              <w:t>Medium</w:t>
            </w:r>
          </w:p>
        </w:tc>
        <w:tc>
          <w:tcPr>
            <w:tcW w:type="dxa" w:w="1296"/>
            <w:tcBorders>
              <w:top w:val="single" w:sz="4" w:color="BFBFBF"/>
              <w:left w:val="single" w:sz="4" w:color="BFBFBF"/>
              <w:bottom w:val="single" w:sz="4" w:color="BFBFBF"/>
              <w:right w:val="single" w:sz="4" w:color="BFBFBF"/>
            </w:tcBorders>
            <w:vAlign w:val="center"/>
          </w:tcPr>
          <w:p>
            <w:r/>
            <w:r>
              <w:rPr>
                <w:sz w:val="20"/>
              </w:rPr>
              <w:t>Medium</w:t>
            </w:r>
          </w:p>
        </w:tc>
        <w:tc>
          <w:tcPr>
            <w:tcW w:type="dxa" w:w="4464"/>
            <w:tcBorders>
              <w:top w:val="single" w:sz="4" w:color="BFBFBF"/>
              <w:left w:val="single" w:sz="4" w:color="BFBFBF"/>
              <w:bottom w:val="single" w:sz="4" w:color="BFBFBF"/>
              <w:right w:val="single" w:sz="4" w:color="BFBFBF"/>
            </w:tcBorders>
            <w:vAlign w:val="center"/>
          </w:tcPr>
          <w:p>
            <w:r/>
            <w:r>
              <w:rPr>
                <w:sz w:val="20"/>
              </w:rPr>
              <w:t>Load test before launch; CDN + Redis caching; queue-based order intake; auto-scaling.</w:t>
            </w:r>
          </w:p>
        </w:tc>
      </w:tr>
      <w:tr>
        <w:tc>
          <w:tcPr>
            <w:tcW w:type="dxa" w:w="3456"/>
            <w:shd w:val="clear" w:color="auto" w:fill="F4F6F8"/>
            <w:tcBorders>
              <w:top w:val="single" w:sz="4" w:color="BFBFBF"/>
              <w:left w:val="single" w:sz="4" w:color="BFBFBF"/>
              <w:bottom w:val="single" w:sz="4" w:color="BFBFBF"/>
              <w:right w:val="single" w:sz="4" w:color="BFBFBF"/>
            </w:tcBorders>
            <w:vAlign w:val="center"/>
          </w:tcPr>
          <w:p>
            <w:r/>
            <w:r>
              <w:rPr>
                <w:sz w:val="20"/>
              </w:rPr>
              <w:t>Key engineer departure mid-build</w:t>
            </w:r>
          </w:p>
        </w:tc>
        <w:tc>
          <w:tcPr>
            <w:tcW w:type="dxa" w:w="1296"/>
            <w:shd w:val="clear" w:color="auto" w:fill="F4F6F8"/>
            <w:tcBorders>
              <w:top w:val="single" w:sz="4" w:color="BFBFBF"/>
              <w:left w:val="single" w:sz="4" w:color="BFBFBF"/>
              <w:bottom w:val="single" w:sz="4" w:color="BFBFBF"/>
              <w:right w:val="single" w:sz="4" w:color="BFBFBF"/>
            </w:tcBorders>
            <w:vAlign w:val="center"/>
          </w:tcPr>
          <w:p>
            <w:r/>
            <w:r>
              <w:rPr>
                <w:sz w:val="20"/>
              </w:rPr>
              <w:t>Low</w:t>
            </w:r>
          </w:p>
        </w:tc>
        <w:tc>
          <w:tcPr>
            <w:tcW w:type="dxa" w:w="1296"/>
            <w:shd w:val="clear" w:color="auto" w:fill="F4F6F8"/>
            <w:tcBorders>
              <w:top w:val="single" w:sz="4" w:color="BFBFBF"/>
              <w:left w:val="single" w:sz="4" w:color="BFBFBF"/>
              <w:bottom w:val="single" w:sz="4" w:color="BFBFBF"/>
              <w:right w:val="single" w:sz="4" w:color="BFBFBF"/>
            </w:tcBorders>
            <w:vAlign w:val="center"/>
          </w:tcPr>
          <w:p>
            <w:r/>
            <w:r>
              <w:rPr>
                <w:sz w:val="20"/>
              </w:rPr>
              <w:t>Medium</w:t>
            </w:r>
          </w:p>
        </w:tc>
        <w:tc>
          <w:tcPr>
            <w:tcW w:type="dxa" w:w="4464"/>
            <w:shd w:val="clear" w:color="auto" w:fill="F4F6F8"/>
            <w:tcBorders>
              <w:top w:val="single" w:sz="4" w:color="BFBFBF"/>
              <w:left w:val="single" w:sz="4" w:color="BFBFBF"/>
              <w:bottom w:val="single" w:sz="4" w:color="BFBFBF"/>
              <w:right w:val="single" w:sz="4" w:color="BFBFBF"/>
            </w:tcBorders>
            <w:vAlign w:val="center"/>
          </w:tcPr>
          <w:p>
            <w:r/>
            <w:r>
              <w:rPr>
                <w:sz w:val="20"/>
              </w:rPr>
              <w:t>Documentation standards from day 1; pair programming; knowledge-sharing each sprint.</w:t>
            </w:r>
          </w:p>
        </w:tc>
      </w:tr>
      <w:tr>
        <w:tc>
          <w:tcPr>
            <w:tcW w:type="dxa" w:w="3456"/>
            <w:tcBorders>
              <w:top w:val="single" w:sz="4" w:color="BFBFBF"/>
              <w:left w:val="single" w:sz="4" w:color="BFBFBF"/>
              <w:bottom w:val="single" w:sz="4" w:color="BFBFBF"/>
              <w:right w:val="single" w:sz="4" w:color="BFBFBF"/>
            </w:tcBorders>
            <w:vAlign w:val="center"/>
          </w:tcPr>
          <w:p>
            <w:r/>
            <w:r>
              <w:rPr>
                <w:sz w:val="20"/>
              </w:rPr>
              <w:t>Accounting module accuracy issues</w:t>
            </w:r>
          </w:p>
        </w:tc>
        <w:tc>
          <w:tcPr>
            <w:tcW w:type="dxa" w:w="1296"/>
            <w:tcBorders>
              <w:top w:val="single" w:sz="4" w:color="BFBFBF"/>
              <w:left w:val="single" w:sz="4" w:color="BFBFBF"/>
              <w:bottom w:val="single" w:sz="4" w:color="BFBFBF"/>
              <w:right w:val="single" w:sz="4" w:color="BFBFBF"/>
            </w:tcBorders>
            <w:vAlign w:val="center"/>
          </w:tcPr>
          <w:p>
            <w:r/>
            <w:r>
              <w:rPr>
                <w:sz w:val="20"/>
              </w:rPr>
              <w:t>Medium</w:t>
            </w:r>
          </w:p>
        </w:tc>
        <w:tc>
          <w:tcPr>
            <w:tcW w:type="dxa" w:w="1296"/>
            <w:tcBorders>
              <w:top w:val="single" w:sz="4" w:color="BFBFBF"/>
              <w:left w:val="single" w:sz="4" w:color="BFBFBF"/>
              <w:bottom w:val="single" w:sz="4" w:color="BFBFBF"/>
              <w:right w:val="single" w:sz="4" w:color="BFBFBF"/>
            </w:tcBorders>
            <w:vAlign w:val="center"/>
          </w:tcPr>
          <w:p>
            <w:r/>
            <w:r>
              <w:rPr>
                <w:sz w:val="20"/>
              </w:rPr>
              <w:t>High</w:t>
            </w:r>
          </w:p>
        </w:tc>
        <w:tc>
          <w:tcPr>
            <w:tcW w:type="dxa" w:w="4464"/>
            <w:tcBorders>
              <w:top w:val="single" w:sz="4" w:color="BFBFBF"/>
              <w:left w:val="single" w:sz="4" w:color="BFBFBF"/>
              <w:bottom w:val="single" w:sz="4" w:color="BFBFBF"/>
              <w:right w:val="single" w:sz="4" w:color="BFBFBF"/>
            </w:tcBorders>
            <w:vAlign w:val="center"/>
          </w:tcPr>
          <w:p>
            <w:r/>
            <w:r>
              <w:rPr>
                <w:sz w:val="20"/>
              </w:rPr>
              <w:t>Hire a domain specialist; double-entry test fixtures; reconciliation tooling; independent CA review before pricing as a paid product.</w:t>
            </w:r>
          </w:p>
        </w:tc>
      </w:tr>
      <w:tr>
        <w:tc>
          <w:tcPr>
            <w:tcW w:type="dxa" w:w="3456"/>
            <w:shd w:val="clear" w:color="auto" w:fill="F4F6F8"/>
            <w:tcBorders>
              <w:top w:val="single" w:sz="4" w:color="BFBFBF"/>
              <w:left w:val="single" w:sz="4" w:color="BFBFBF"/>
              <w:bottom w:val="single" w:sz="4" w:color="BFBFBF"/>
              <w:right w:val="single" w:sz="4" w:color="BFBFBF"/>
            </w:tcBorders>
            <w:vAlign w:val="center"/>
          </w:tcPr>
          <w:p>
            <w:r/>
            <w:r>
              <w:rPr>
                <w:sz w:val="20"/>
              </w:rPr>
              <w:t>Premium subscription churn</w:t>
            </w:r>
          </w:p>
        </w:tc>
        <w:tc>
          <w:tcPr>
            <w:tcW w:type="dxa" w:w="1296"/>
            <w:shd w:val="clear" w:color="auto" w:fill="F4F6F8"/>
            <w:tcBorders>
              <w:top w:val="single" w:sz="4" w:color="BFBFBF"/>
              <w:left w:val="single" w:sz="4" w:color="BFBFBF"/>
              <w:bottom w:val="single" w:sz="4" w:color="BFBFBF"/>
              <w:right w:val="single" w:sz="4" w:color="BFBFBF"/>
            </w:tcBorders>
            <w:vAlign w:val="center"/>
          </w:tcPr>
          <w:p>
            <w:r/>
            <w:r>
              <w:rPr>
                <w:sz w:val="20"/>
              </w:rPr>
              <w:t>Medium</w:t>
            </w:r>
          </w:p>
        </w:tc>
        <w:tc>
          <w:tcPr>
            <w:tcW w:type="dxa" w:w="1296"/>
            <w:shd w:val="clear" w:color="auto" w:fill="F4F6F8"/>
            <w:tcBorders>
              <w:top w:val="single" w:sz="4" w:color="BFBFBF"/>
              <w:left w:val="single" w:sz="4" w:color="BFBFBF"/>
              <w:bottom w:val="single" w:sz="4" w:color="BFBFBF"/>
              <w:right w:val="single" w:sz="4" w:color="BFBFBF"/>
            </w:tcBorders>
            <w:vAlign w:val="center"/>
          </w:tcPr>
          <w:p>
            <w:r/>
            <w:r>
              <w:rPr>
                <w:sz w:val="20"/>
              </w:rPr>
              <w:t>Medium</w:t>
            </w:r>
          </w:p>
        </w:tc>
        <w:tc>
          <w:tcPr>
            <w:tcW w:type="dxa" w:w="4464"/>
            <w:shd w:val="clear" w:color="auto" w:fill="F4F6F8"/>
            <w:tcBorders>
              <w:top w:val="single" w:sz="4" w:color="BFBFBF"/>
              <w:left w:val="single" w:sz="4" w:color="BFBFBF"/>
              <w:bottom w:val="single" w:sz="4" w:color="BFBFBF"/>
              <w:right w:val="single" w:sz="4" w:color="BFBFBF"/>
            </w:tcBorders>
            <w:vAlign w:val="center"/>
          </w:tcPr>
          <w:p>
            <w:r/>
            <w:r>
              <w:rPr>
                <w:sz w:val="20"/>
              </w:rPr>
              <w:t>Strong onboarding, scheduled health-check emails, in-app NPS; export-on-cancel reduces lock-in fear.</w:t>
            </w:r>
          </w:p>
        </w:tc>
      </w:tr>
      <w:tr>
        <w:tc>
          <w:tcPr>
            <w:tcW w:type="dxa" w:w="3456"/>
            <w:tcBorders>
              <w:top w:val="single" w:sz="4" w:color="BFBFBF"/>
              <w:left w:val="single" w:sz="4" w:color="BFBFBF"/>
              <w:bottom w:val="single" w:sz="4" w:color="BFBFBF"/>
              <w:right w:val="single" w:sz="4" w:color="BFBFBF"/>
            </w:tcBorders>
            <w:vAlign w:val="center"/>
          </w:tcPr>
          <w:p>
            <w:r/>
            <w:r>
              <w:rPr>
                <w:sz w:val="20"/>
              </w:rPr>
              <w:t>Courier integration unreliability</w:t>
            </w:r>
          </w:p>
        </w:tc>
        <w:tc>
          <w:tcPr>
            <w:tcW w:type="dxa" w:w="1296"/>
            <w:tcBorders>
              <w:top w:val="single" w:sz="4" w:color="BFBFBF"/>
              <w:left w:val="single" w:sz="4" w:color="BFBFBF"/>
              <w:bottom w:val="single" w:sz="4" w:color="BFBFBF"/>
              <w:right w:val="single" w:sz="4" w:color="BFBFBF"/>
            </w:tcBorders>
            <w:vAlign w:val="center"/>
          </w:tcPr>
          <w:p>
            <w:r/>
            <w:r>
              <w:rPr>
                <w:sz w:val="20"/>
              </w:rPr>
              <w:t>Medium</w:t>
            </w:r>
          </w:p>
        </w:tc>
        <w:tc>
          <w:tcPr>
            <w:tcW w:type="dxa" w:w="1296"/>
            <w:tcBorders>
              <w:top w:val="single" w:sz="4" w:color="BFBFBF"/>
              <w:left w:val="single" w:sz="4" w:color="BFBFBF"/>
              <w:bottom w:val="single" w:sz="4" w:color="BFBFBF"/>
              <w:right w:val="single" w:sz="4" w:color="BFBFBF"/>
            </w:tcBorders>
            <w:vAlign w:val="center"/>
          </w:tcPr>
          <w:p>
            <w:r/>
            <w:r>
              <w:rPr>
                <w:sz w:val="20"/>
              </w:rPr>
              <w:t>Medium</w:t>
            </w:r>
          </w:p>
        </w:tc>
        <w:tc>
          <w:tcPr>
            <w:tcW w:type="dxa" w:w="4464"/>
            <w:tcBorders>
              <w:top w:val="single" w:sz="4" w:color="BFBFBF"/>
              <w:left w:val="single" w:sz="4" w:color="BFBFBF"/>
              <w:bottom w:val="single" w:sz="4" w:color="BFBFBF"/>
              <w:right w:val="single" w:sz="4" w:color="BFBFBF"/>
            </w:tcBorders>
            <w:vAlign w:val="center"/>
          </w:tcPr>
          <w:p>
            <w:r/>
            <w:r>
              <w:rPr>
                <w:sz w:val="20"/>
              </w:rPr>
              <w:t>Manual override path; tracking via courier-pulled status if webhook is silent for &gt;2h.</w:t>
            </w:r>
          </w:p>
        </w:tc>
      </w:tr>
      <w:tr>
        <w:tc>
          <w:tcPr>
            <w:tcW w:type="dxa" w:w="3456"/>
            <w:shd w:val="clear" w:color="auto" w:fill="F4F6F8"/>
            <w:tcBorders>
              <w:top w:val="single" w:sz="4" w:color="BFBFBF"/>
              <w:left w:val="single" w:sz="4" w:color="BFBFBF"/>
              <w:bottom w:val="single" w:sz="4" w:color="BFBFBF"/>
              <w:right w:val="single" w:sz="4" w:color="BFBFBF"/>
            </w:tcBorders>
            <w:vAlign w:val="center"/>
          </w:tcPr>
          <w:p>
            <w:r/>
            <w:r>
              <w:rPr>
                <w:sz w:val="20"/>
              </w:rPr>
              <w:t>Currency / FX fluctuation in pricing</w:t>
            </w:r>
          </w:p>
        </w:tc>
        <w:tc>
          <w:tcPr>
            <w:tcW w:type="dxa" w:w="1296"/>
            <w:shd w:val="clear" w:color="auto" w:fill="F4F6F8"/>
            <w:tcBorders>
              <w:top w:val="single" w:sz="4" w:color="BFBFBF"/>
              <w:left w:val="single" w:sz="4" w:color="BFBFBF"/>
              <w:bottom w:val="single" w:sz="4" w:color="BFBFBF"/>
              <w:right w:val="single" w:sz="4" w:color="BFBFBF"/>
            </w:tcBorders>
            <w:vAlign w:val="center"/>
          </w:tcPr>
          <w:p>
            <w:r/>
            <w:r>
              <w:rPr>
                <w:sz w:val="20"/>
              </w:rPr>
              <w:t>Low</w:t>
            </w:r>
          </w:p>
        </w:tc>
        <w:tc>
          <w:tcPr>
            <w:tcW w:type="dxa" w:w="1296"/>
            <w:shd w:val="clear" w:color="auto" w:fill="F4F6F8"/>
            <w:tcBorders>
              <w:top w:val="single" w:sz="4" w:color="BFBFBF"/>
              <w:left w:val="single" w:sz="4" w:color="BFBFBF"/>
              <w:bottom w:val="single" w:sz="4" w:color="BFBFBF"/>
              <w:right w:val="single" w:sz="4" w:color="BFBFBF"/>
            </w:tcBorders>
            <w:vAlign w:val="center"/>
          </w:tcPr>
          <w:p>
            <w:r/>
            <w:r>
              <w:rPr>
                <w:sz w:val="20"/>
              </w:rPr>
              <w:t>Low</w:t>
            </w:r>
          </w:p>
        </w:tc>
        <w:tc>
          <w:tcPr>
            <w:tcW w:type="dxa" w:w="4464"/>
            <w:shd w:val="clear" w:color="auto" w:fill="F4F6F8"/>
            <w:tcBorders>
              <w:top w:val="single" w:sz="4" w:color="BFBFBF"/>
              <w:left w:val="single" w:sz="4" w:color="BFBFBF"/>
              <w:bottom w:val="single" w:sz="4" w:color="BFBFBF"/>
              <w:right w:val="single" w:sz="4" w:color="BFBFBF"/>
            </w:tcBorders>
            <w:vAlign w:val="center"/>
          </w:tcPr>
          <w:p>
            <w:r/>
            <w:r>
              <w:rPr>
                <w:sz w:val="20"/>
              </w:rPr>
              <w:t>Daily FX feed; tenant chooses settlement currency; quote-in-NPR option.</w:t>
            </w:r>
          </w:p>
        </w:tc>
      </w:tr>
    </w:tbl>
    <w:p>
      <w:r>
        <w:br w:type="page"/>
      </w:r>
    </w:p>
    <w:p>
      <w:pPr>
        <w:spacing w:before="360" w:after="160"/>
        <w:pBdr>
          <w:bottom w:val="single" w:sz="8" w:space="4" w:color="E67E22"/>
        </w:pBdr>
      </w:pPr>
      <w:r>
        <w:rPr>
          <w:b/>
          <w:color w:val="0F2A47"/>
          <w:sz w:val="40"/>
        </w:rPr>
        <w:t>13. Success Metrics &amp; KPIs</w:t>
      </w:r>
    </w:p>
    <w:p>
      <w:pPr>
        <w:spacing w:before="240" w:after="80"/>
      </w:pPr>
      <w:r>
        <w:rPr>
          <w:b/>
          <w:color w:val="1F77B4"/>
          <w:sz w:val="28"/>
        </w:rPr>
        <w:t>13.1 Operational KPIs</w:t>
      </w:r>
    </w:p>
    <w:p>
      <w:pPr>
        <w:pStyle w:val="ListBullet"/>
        <w:spacing w:after="40"/>
        <w:ind w:left="360"/>
      </w:pPr>
      <w:r>
        <w:rPr>
          <w:sz w:val="22"/>
        </w:rPr>
        <w:t>Order processing time from payment confirmation to dispatch — target &lt; 4 hours.</w:t>
      </w:r>
    </w:p>
    <w:p>
      <w:pPr>
        <w:pStyle w:val="ListBullet"/>
        <w:spacing w:after="40"/>
        <w:ind w:left="360"/>
      </w:pPr>
      <w:r>
        <w:rPr>
          <w:sz w:val="22"/>
        </w:rPr>
        <w:t>Cart-to-checkout conversion rate — target &gt; 35%.</w:t>
      </w:r>
    </w:p>
    <w:p>
      <w:pPr>
        <w:pStyle w:val="ListBullet"/>
        <w:spacing w:after="40"/>
        <w:ind w:left="360"/>
      </w:pPr>
      <w:r>
        <w:rPr>
          <w:sz w:val="22"/>
        </w:rPr>
        <w:t>Checkout-to-paid conversion rate — target &gt; 75%.</w:t>
      </w:r>
    </w:p>
    <w:p>
      <w:pPr>
        <w:pStyle w:val="ListBullet"/>
        <w:spacing w:after="40"/>
        <w:ind w:left="360"/>
      </w:pPr>
      <w:r>
        <w:rPr>
          <w:sz w:val="22"/>
        </w:rPr>
        <w:t>Average order-tracking events delivered per order — target ≥ 5.</w:t>
      </w:r>
    </w:p>
    <w:p>
      <w:pPr>
        <w:pStyle w:val="ListBullet"/>
        <w:spacing w:after="40"/>
        <w:ind w:left="360"/>
      </w:pPr>
      <w:r>
        <w:rPr>
          <w:sz w:val="22"/>
        </w:rPr>
        <w:t>Customer support ticket resolution time — target &lt; 24 hours median.</w:t>
      </w:r>
    </w:p>
    <w:p>
      <w:pPr>
        <w:spacing w:before="240" w:after="80"/>
      </w:pPr>
      <w:r>
        <w:rPr>
          <w:b/>
          <w:color w:val="1F77B4"/>
          <w:sz w:val="28"/>
        </w:rPr>
        <w:t>13.2 Marketing KPIs</w:t>
      </w:r>
    </w:p>
    <w:p>
      <w:pPr>
        <w:pStyle w:val="ListBullet"/>
        <w:spacing w:after="40"/>
        <w:ind w:left="360"/>
      </w:pPr>
      <w:r>
        <w:rPr>
          <w:sz w:val="22"/>
        </w:rPr>
        <w:t>Time saved per week on social management — target ≥ 40% vs manual tool switching.</w:t>
      </w:r>
    </w:p>
    <w:p>
      <w:pPr>
        <w:pStyle w:val="ListBullet"/>
        <w:spacing w:after="40"/>
        <w:ind w:left="360"/>
      </w:pPr>
      <w:r>
        <w:rPr>
          <w:sz w:val="22"/>
        </w:rPr>
        <w:t>Social engagement rate uplift — target +20% within 90 days post-launch.</w:t>
      </w:r>
    </w:p>
    <w:p>
      <w:pPr>
        <w:pStyle w:val="ListBullet"/>
        <w:spacing w:after="40"/>
        <w:ind w:left="360"/>
      </w:pPr>
      <w:r>
        <w:rPr>
          <w:sz w:val="22"/>
        </w:rPr>
        <w:t>Cross-channel post-failure rate — target &lt; 0.5%.</w:t>
      </w:r>
    </w:p>
    <w:p>
      <w:pPr>
        <w:spacing w:before="240" w:after="80"/>
      </w:pPr>
      <w:r>
        <w:rPr>
          <w:b/>
          <w:color w:val="1F77B4"/>
          <w:sz w:val="28"/>
        </w:rPr>
        <w:t>13.3 Technical KPIs</w:t>
      </w:r>
    </w:p>
    <w:p>
      <w:pPr>
        <w:pStyle w:val="ListBullet"/>
        <w:spacing w:after="40"/>
        <w:ind w:left="360"/>
      </w:pPr>
      <w:r>
        <w:rPr>
          <w:sz w:val="22"/>
        </w:rPr>
        <w:t>Platform uptime — target 99.9% monthly.</w:t>
      </w:r>
    </w:p>
    <w:p>
      <w:pPr>
        <w:pStyle w:val="ListBullet"/>
        <w:spacing w:after="40"/>
        <w:ind w:left="360"/>
      </w:pPr>
      <w:r>
        <w:rPr>
          <w:sz w:val="22"/>
        </w:rPr>
        <w:t>p95 API latency — target &lt; 300 ms.</w:t>
      </w:r>
    </w:p>
    <w:p>
      <w:pPr>
        <w:pStyle w:val="ListBullet"/>
        <w:spacing w:after="40"/>
        <w:ind w:left="360"/>
      </w:pPr>
      <w:r>
        <w:rPr>
          <w:sz w:val="22"/>
        </w:rPr>
        <w:t>Zero critical security incidents in first 12 months post-launch.</w:t>
      </w:r>
    </w:p>
    <w:p>
      <w:pPr>
        <w:pStyle w:val="ListBullet"/>
        <w:spacing w:after="40"/>
        <w:ind w:left="360"/>
      </w:pPr>
      <w:r>
        <w:rPr>
          <w:sz w:val="22"/>
        </w:rPr>
        <w:t>Deployment frequency — target weekly to production.</w:t>
      </w:r>
    </w:p>
    <w:p>
      <w:pPr>
        <w:spacing w:before="240" w:after="80"/>
      </w:pPr>
      <w:r>
        <w:rPr>
          <w:b/>
          <w:color w:val="1F77B4"/>
          <w:sz w:val="28"/>
        </w:rPr>
        <w:t>13.4 Premium / Commercial KPIs</w:t>
      </w:r>
    </w:p>
    <w:p>
      <w:pPr>
        <w:pStyle w:val="ListBullet"/>
        <w:spacing w:after="40"/>
        <w:ind w:left="360"/>
      </w:pPr>
      <w:r>
        <w:rPr>
          <w:sz w:val="22"/>
        </w:rPr>
        <w:t>Free-trial-to-paid conversion — target ≥ 20%.</w:t>
      </w:r>
    </w:p>
    <w:p>
      <w:pPr>
        <w:pStyle w:val="ListBullet"/>
        <w:spacing w:after="40"/>
        <w:ind w:left="360"/>
      </w:pPr>
      <w:r>
        <w:rPr>
          <w:sz w:val="22"/>
        </w:rPr>
        <w:t>Monthly recurring revenue (MRR) — target USD 25k by month 6 post-launch.</w:t>
      </w:r>
    </w:p>
    <w:p>
      <w:pPr>
        <w:pStyle w:val="ListBullet"/>
        <w:spacing w:after="40"/>
        <w:ind w:left="360"/>
      </w:pPr>
      <w:r>
        <w:rPr>
          <w:sz w:val="22"/>
        </w:rPr>
        <w:t>Churn — target &lt; 4% monthly.</w:t>
      </w:r>
    </w:p>
    <w:p>
      <w:pPr>
        <w:pStyle w:val="ListBullet"/>
        <w:spacing w:after="40"/>
        <w:ind w:left="360"/>
      </w:pPr>
      <w:r>
        <w:rPr>
          <w:sz w:val="22"/>
        </w:rPr>
        <w:t>Net revenue retention — target &gt; 105%.</w:t>
      </w:r>
    </w:p>
    <w:p>
      <w:r>
        <w:br w:type="page"/>
      </w:r>
    </w:p>
    <w:p>
      <w:pPr>
        <w:spacing w:before="360" w:after="160"/>
        <w:pBdr>
          <w:bottom w:val="single" w:sz="8" w:space="4" w:color="E67E22"/>
        </w:pBdr>
      </w:pPr>
      <w:r>
        <w:rPr>
          <w:b/>
          <w:color w:val="0F2A47"/>
          <w:sz w:val="40"/>
        </w:rPr>
        <w:t>14. Recommended Team Structure</w:t>
      </w:r>
    </w:p>
    <w:p>
      <w:pPr>
        <w:pStyle w:val="ListBullet"/>
        <w:spacing w:after="40"/>
        <w:ind w:left="360"/>
      </w:pPr>
      <w:r>
        <w:rPr>
          <w:sz w:val="22"/>
        </w:rPr>
        <w:t>1 × Project / Delivery Manager — sprint planning, stakeholder communication.</w:t>
      </w:r>
    </w:p>
    <w:p>
      <w:pPr>
        <w:pStyle w:val="ListBullet"/>
        <w:spacing w:after="40"/>
        <w:ind w:left="360"/>
      </w:pPr>
      <w:r>
        <w:rPr>
          <w:sz w:val="22"/>
        </w:rPr>
        <w:t>2 × Backend Engineers — APIs, database, RBAC, payments, accounting service.</w:t>
      </w:r>
    </w:p>
    <w:p>
      <w:pPr>
        <w:pStyle w:val="ListBullet"/>
        <w:spacing w:after="40"/>
        <w:ind w:left="360"/>
      </w:pPr>
      <w:r>
        <w:rPr>
          <w:sz w:val="22"/>
        </w:rPr>
        <w:t>2 × Frontend Engineers — Next.js storefront and admin console.</w:t>
      </w:r>
    </w:p>
    <w:p>
      <w:pPr>
        <w:pStyle w:val="ListBullet"/>
        <w:spacing w:after="40"/>
        <w:ind w:left="360"/>
      </w:pPr>
      <w:r>
        <w:rPr>
          <w:sz w:val="22"/>
        </w:rPr>
        <w:t>1 × Social Media API Specialist — Meta and TikTok integrations, OAuth flows.</w:t>
      </w:r>
    </w:p>
    <w:p>
      <w:pPr>
        <w:pStyle w:val="ListBullet"/>
        <w:spacing w:after="40"/>
        <w:ind w:left="360"/>
      </w:pPr>
      <w:r>
        <w:rPr>
          <w:sz w:val="22"/>
        </w:rPr>
        <w:t>1 × DevOps / Cloud Engineer — infra, CI/CD, security, monitoring.</w:t>
      </w:r>
    </w:p>
    <w:p>
      <w:pPr>
        <w:pStyle w:val="ListBullet"/>
        <w:spacing w:after="40"/>
        <w:ind w:left="360"/>
      </w:pPr>
      <w:r>
        <w:rPr>
          <w:sz w:val="22"/>
        </w:rPr>
        <w:t>1 × UI / UX Designer — design system, wireframes, user testing.</w:t>
      </w:r>
    </w:p>
    <w:p>
      <w:pPr>
        <w:pStyle w:val="ListBullet"/>
        <w:spacing w:after="40"/>
        <w:ind w:left="360"/>
      </w:pPr>
      <w:r>
        <w:rPr>
          <w:sz w:val="22"/>
        </w:rPr>
        <w:t>1 × QA Engineer — test plans, automation, regression, UAT coordination.</w:t>
      </w:r>
    </w:p>
    <w:p>
      <w:pPr>
        <w:pStyle w:val="ListBullet"/>
        <w:spacing w:after="40"/>
        <w:ind w:left="360"/>
      </w:pPr>
      <w:r>
        <w:rPr>
          <w:sz w:val="22"/>
        </w:rPr>
        <w:t>1 × Accounting Domain Specialist (Phase 6) — CoA, tax rules, audit pack.</w:t>
      </w:r>
    </w:p>
    <w:p>
      <w:pPr>
        <w:spacing w:after="80"/>
      </w:pPr>
      <w:r>
        <w:rPr>
          <w:b w:val="0"/>
          <w:i/>
          <w:color w:val="566573"/>
          <w:sz w:val="20"/>
        </w:rPr>
        <w:t>Total: 9–10 FTE for the duration of the project, with the accounting specialist engaged only for the Phase 6 window (6 months).</w:t>
      </w:r>
    </w:p>
    <w:p>
      <w:pPr>
        <w:spacing w:before="360" w:after="160"/>
        <w:pBdr>
          <w:bottom w:val="single" w:sz="8" w:space="4" w:color="E67E22"/>
        </w:pBdr>
      </w:pPr>
      <w:r>
        <w:rPr>
          <w:b/>
          <w:color w:val="0F2A47"/>
          <w:sz w:val="40"/>
        </w:rPr>
        <w:t>15. Recommended Next Steps</w:t>
      </w:r>
    </w:p>
    <w:p>
      <w:pPr>
        <w:pStyle w:val="ListNumber"/>
        <w:spacing w:after="40"/>
      </w:pPr>
      <w:r>
        <w:rPr>
          <w:sz w:val="22"/>
        </w:rPr>
        <w:t>Stakeholder sign-off on this plan and on scope boundaries (especially the Premium tier and pricing).</w:t>
      </w:r>
    </w:p>
    <w:p>
      <w:pPr>
        <w:pStyle w:val="ListNumber"/>
        <w:spacing w:after="40"/>
      </w:pPr>
      <w:r>
        <w:rPr>
          <w:sz w:val="22"/>
        </w:rPr>
        <w:t>Apply for Meta Business API and TikTok Marketing API developer access (can take 2–4 weeks).</w:t>
      </w:r>
    </w:p>
    <w:p>
      <w:pPr>
        <w:pStyle w:val="ListNumber"/>
        <w:spacing w:after="40"/>
      </w:pPr>
      <w:r>
        <w:rPr>
          <w:sz w:val="22"/>
        </w:rPr>
        <w:t>Apply for eSewa and Khalti merchant accounts and sandbox credentials (1–2 weeks).</w:t>
      </w:r>
    </w:p>
    <w:p>
      <w:pPr>
        <w:pStyle w:val="ListNumber"/>
        <w:spacing w:after="40"/>
      </w:pPr>
      <w:r>
        <w:rPr>
          <w:sz w:val="22"/>
        </w:rPr>
        <w:t>Confirm backend framework (NestJS vs Laravel) and cloud provider (AWS vs GCP).</w:t>
      </w:r>
    </w:p>
    <w:p>
      <w:pPr>
        <w:pStyle w:val="ListNumber"/>
        <w:spacing w:after="40"/>
      </w:pPr>
      <w:r>
        <w:rPr>
          <w:sz w:val="22"/>
        </w:rPr>
        <w:t>Assemble the core team — start with PM, 1 BE, 1 FE, 1 designer; ramp up by Phase 2 kickoff.</w:t>
      </w:r>
    </w:p>
    <w:p>
      <w:pPr>
        <w:pStyle w:val="ListNumber"/>
        <w:spacing w:after="40"/>
      </w:pPr>
      <w:r>
        <w:rPr>
          <w:sz w:val="22"/>
        </w:rPr>
        <w:t>Sprint 0 (2 weeks): set up monorepo or polyrepo, CI/CD, design system, API skeleton, staging environment.</w:t>
      </w:r>
    </w:p>
    <w:p>
      <w:pPr>
        <w:pStyle w:val="ListNumber"/>
        <w:spacing w:after="40"/>
      </w:pPr>
      <w:r>
        <w:rPr>
          <w:sz w:val="22"/>
        </w:rPr>
        <w:t>Begin Phase 1 (Identity &amp; RBAC) — the foundation everything else depends on.</w:t>
      </w:r>
    </w:p>
    <w:p>
      <w:pPr>
        <w:pStyle w:val="ListNumber"/>
        <w:spacing w:after="40"/>
      </w:pPr>
      <w:r>
        <w:rPr>
          <w:sz w:val="22"/>
        </w:rPr>
        <w:t>Run a focused 4-week discovery with a Chartered Accountant before Phase 6 to lock down chart of accounts, tax rules and audit pack format.</w:t>
      </w:r>
    </w:p>
    <w:p>
      <w:pPr>
        <w:pStyle w:val="ListNumber"/>
        <w:spacing w:after="40"/>
      </w:pPr>
      <w:r>
        <w:rPr>
          <w:sz w:val="22"/>
        </w:rPr>
        <w:t>Define pricing experiments for the Premium tier — competitive benchmark, WTP survey, lifetime-vs-recurring breakeven analysis.</w:t>
      </w:r>
    </w:p>
    <w:p>
      <w:pPr>
        <w:pStyle w:val="ListNumber"/>
        <w:spacing w:after="40"/>
      </w:pPr>
      <w:r>
        <w:rPr>
          <w:sz w:val="22"/>
        </w:rPr>
        <w:t>Establish a post-launch operations runbook — on-call rota, incident playbook, weekly metrics review.</w:t>
      </w:r>
    </w:p>
    <w:p>
      <w:pPr>
        <w:pBdr>
          <w:bottom w:val="single" w:sz="6" w:space="1" w:color="BFBFBF"/>
        </w:pBdr>
      </w:pPr>
    </w:p>
    <w:p>
      <w:pPr>
        <w:spacing w:after="80"/>
        <w:jc w:val="center"/>
      </w:pPr>
      <w:r>
        <w:rPr>
          <w:b w:val="0"/>
          <w:i/>
          <w:color w:val="566573"/>
          <w:sz w:val="20"/>
        </w:rPr>
        <w:t>End of Report  |  Unified Marketing &amp; E-Commerce Management Platform  |  v2.0  |  May 2026</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1293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