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56194C" w14:textId="77777777" w:rsidR="00C37C4A" w:rsidRDefault="00C37C4A">
      <w:pPr>
        <w:spacing w:line="240" w:lineRule="auto"/>
        <w:rPr>
          <w:rFonts w:ascii="Google Sans" w:eastAsia="Google Sans" w:hAnsi="Google Sans" w:cs="Google Sans"/>
          <w:b/>
          <w:color w:val="0070C0"/>
          <w:u w:val="single"/>
        </w:rPr>
      </w:pPr>
    </w:p>
    <w:p w14:paraId="34156003" w14:textId="77777777" w:rsidR="00C37C4A" w:rsidRDefault="00000000">
      <w:pPr>
        <w:spacing w:before="200" w:after="200" w:line="360" w:lineRule="auto"/>
        <w:ind w:left="-360" w:right="-360"/>
        <w:rPr>
          <w:rFonts w:ascii="Google Sans" w:eastAsia="Google Sans" w:hAnsi="Google Sans" w:cs="Google Sans"/>
          <w:b/>
          <w:color w:val="3C4043"/>
          <w:sz w:val="40"/>
          <w:szCs w:val="40"/>
        </w:rPr>
      </w:pPr>
      <w:r>
        <w:rPr>
          <w:rFonts w:ascii="Google Sans" w:eastAsia="Google Sans" w:hAnsi="Google Sans" w:cs="Google Sans"/>
          <w:b/>
          <w:color w:val="3C4043"/>
          <w:sz w:val="40"/>
          <w:szCs w:val="40"/>
        </w:rPr>
        <w:t>Incident report analysis</w:t>
      </w:r>
    </w:p>
    <w:p w14:paraId="3311200B" w14:textId="77777777" w:rsidR="00C37C4A"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b/>
          <w:color w:val="34A853"/>
          <w:sz w:val="24"/>
          <w:szCs w:val="24"/>
        </w:rPr>
        <w:t>Instructions</w:t>
      </w:r>
    </w:p>
    <w:p w14:paraId="33070E61" w14:textId="77777777" w:rsidR="00C37C4A" w:rsidRDefault="00000000">
      <w:pPr>
        <w:spacing w:after="200" w:line="360" w:lineRule="auto"/>
        <w:ind w:left="-360" w:right="-360"/>
        <w:rPr>
          <w:rFonts w:ascii="Google Sans" w:eastAsia="Google Sans" w:hAnsi="Google Sans" w:cs="Google Sans"/>
          <w:sz w:val="24"/>
          <w:szCs w:val="24"/>
        </w:rPr>
      </w:pPr>
      <w:r>
        <w:rPr>
          <w:rFonts w:ascii="Google Sans" w:eastAsia="Google Sans" w:hAnsi="Google Sans" w:cs="Google Sans"/>
          <w:sz w:val="24"/>
          <w:szCs w:val="24"/>
        </w:rPr>
        <w:t xml:space="preserve">As you continue through this course, you may use this template to record your findings after completing an activity or just to take notes on what you've learned about a specific tool or concept. You can also use this chart </w:t>
      </w:r>
      <w:proofErr w:type="gramStart"/>
      <w:r>
        <w:rPr>
          <w:rFonts w:ascii="Google Sans" w:eastAsia="Google Sans" w:hAnsi="Google Sans" w:cs="Google Sans"/>
          <w:sz w:val="24"/>
          <w:szCs w:val="24"/>
        </w:rPr>
        <w:t>as a way to</w:t>
      </w:r>
      <w:proofErr w:type="gramEnd"/>
      <w:r>
        <w:rPr>
          <w:rFonts w:ascii="Google Sans" w:eastAsia="Google Sans" w:hAnsi="Google Sans" w:cs="Google Sans"/>
          <w:sz w:val="24"/>
          <w:szCs w:val="24"/>
        </w:rPr>
        <w:t xml:space="preserve"> continue practicing applying the NIST CSF framework to different situations you may encounter.</w:t>
      </w:r>
    </w:p>
    <w:tbl>
      <w:tblPr>
        <w:tblStyle w:val="a"/>
        <w:tblW w:w="10080"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8025"/>
      </w:tblGrid>
      <w:tr w:rsidR="00C37C4A" w14:paraId="2B1D0B89" w14:textId="77777777">
        <w:trPr>
          <w:trHeight w:val="420"/>
        </w:trPr>
        <w:tc>
          <w:tcPr>
            <w:tcW w:w="2055" w:type="dxa"/>
            <w:tcMar>
              <w:top w:w="100" w:type="dxa"/>
              <w:left w:w="100" w:type="dxa"/>
              <w:bottom w:w="100" w:type="dxa"/>
              <w:right w:w="100" w:type="dxa"/>
            </w:tcMar>
          </w:tcPr>
          <w:p w14:paraId="30BF648C" w14:textId="77777777" w:rsidR="00C37C4A" w:rsidRDefault="00000000">
            <w:pPr>
              <w:widowControl w:val="0"/>
              <w:spacing w:line="360" w:lineRule="auto"/>
              <w:rPr>
                <w:rFonts w:ascii="Google Sans" w:eastAsia="Google Sans" w:hAnsi="Google Sans" w:cs="Google Sans"/>
                <w:b/>
              </w:rPr>
            </w:pPr>
            <w:r>
              <w:rPr>
                <w:rFonts w:ascii="Google Sans" w:eastAsia="Google Sans" w:hAnsi="Google Sans" w:cs="Google Sans"/>
                <w:b/>
              </w:rPr>
              <w:t>Summary</w:t>
            </w:r>
          </w:p>
        </w:tc>
        <w:tc>
          <w:tcPr>
            <w:tcW w:w="8025" w:type="dxa"/>
            <w:tcMar>
              <w:top w:w="100" w:type="dxa"/>
              <w:left w:w="100" w:type="dxa"/>
              <w:bottom w:w="100" w:type="dxa"/>
              <w:right w:w="100" w:type="dxa"/>
            </w:tcMar>
          </w:tcPr>
          <w:p w14:paraId="39812960" w14:textId="77777777" w:rsidR="00C37C4A" w:rsidRDefault="00000000">
            <w:pPr>
              <w:widowControl w:val="0"/>
              <w:spacing w:line="360" w:lineRule="auto"/>
              <w:rPr>
                <w:rFonts w:ascii="Google Sans" w:eastAsia="Google Sans" w:hAnsi="Google Sans" w:cs="Google Sans"/>
              </w:rPr>
            </w:pPr>
            <w:r>
              <w:rPr>
                <w:rFonts w:ascii="Google Sans" w:eastAsia="Google Sans" w:hAnsi="Google Sans" w:cs="Google Sans"/>
              </w:rPr>
              <w:t>The company experienced a security event when all network services suddenly stopped responding. The cybersecurity team found the disruption was caused by a distributed denial of services (DDoS) attack through a flood of incoming ICMP packets. The team responded by blocking the attack and stopping all non-critical network services, so that critical network services could be restored.</w:t>
            </w:r>
          </w:p>
        </w:tc>
      </w:tr>
      <w:tr w:rsidR="00C37C4A" w14:paraId="7DAE2027" w14:textId="77777777">
        <w:trPr>
          <w:trHeight w:val="420"/>
        </w:trPr>
        <w:tc>
          <w:tcPr>
            <w:tcW w:w="2055" w:type="dxa"/>
            <w:tcMar>
              <w:top w:w="100" w:type="dxa"/>
              <w:left w:w="100" w:type="dxa"/>
              <w:bottom w:w="100" w:type="dxa"/>
              <w:right w:w="100" w:type="dxa"/>
            </w:tcMar>
          </w:tcPr>
          <w:p w14:paraId="14506170" w14:textId="77777777" w:rsidR="00C37C4A" w:rsidRDefault="00000000">
            <w:pPr>
              <w:widowControl w:val="0"/>
              <w:spacing w:line="360" w:lineRule="auto"/>
              <w:rPr>
                <w:rFonts w:ascii="Google Sans" w:eastAsia="Google Sans" w:hAnsi="Google Sans" w:cs="Google Sans"/>
              </w:rPr>
            </w:pPr>
            <w:r>
              <w:rPr>
                <w:rFonts w:ascii="Google Sans" w:eastAsia="Google Sans" w:hAnsi="Google Sans" w:cs="Google Sans"/>
              </w:rPr>
              <w:t>Identify</w:t>
            </w:r>
          </w:p>
        </w:tc>
        <w:tc>
          <w:tcPr>
            <w:tcW w:w="8025" w:type="dxa"/>
            <w:tcMar>
              <w:top w:w="100" w:type="dxa"/>
              <w:left w:w="100" w:type="dxa"/>
              <w:bottom w:w="100" w:type="dxa"/>
              <w:right w:w="100" w:type="dxa"/>
            </w:tcMar>
          </w:tcPr>
          <w:p w14:paraId="6AB6B0EB" w14:textId="77777777" w:rsidR="00C37C4A"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A malicious actor or </w:t>
            </w:r>
            <w:proofErr w:type="gramStart"/>
            <w:r>
              <w:rPr>
                <w:rFonts w:ascii="Google Sans" w:eastAsia="Google Sans" w:hAnsi="Google Sans" w:cs="Google Sans"/>
              </w:rPr>
              <w:t>actors</w:t>
            </w:r>
            <w:proofErr w:type="gramEnd"/>
            <w:r>
              <w:rPr>
                <w:rFonts w:ascii="Google Sans" w:eastAsia="Google Sans" w:hAnsi="Google Sans" w:cs="Google Sans"/>
              </w:rPr>
              <w:t xml:space="preserve"> targeted the company with an ICMP flood attack. The entire internal network was affected. All critical network resources needed to be secured and restored to a functioning state.</w:t>
            </w:r>
          </w:p>
        </w:tc>
      </w:tr>
      <w:tr w:rsidR="00C37C4A" w14:paraId="1527B545" w14:textId="77777777">
        <w:trPr>
          <w:trHeight w:val="420"/>
        </w:trPr>
        <w:tc>
          <w:tcPr>
            <w:tcW w:w="2055" w:type="dxa"/>
            <w:tcMar>
              <w:top w:w="100" w:type="dxa"/>
              <w:left w:w="100" w:type="dxa"/>
              <w:bottom w:w="100" w:type="dxa"/>
              <w:right w:w="100" w:type="dxa"/>
            </w:tcMar>
          </w:tcPr>
          <w:p w14:paraId="1C1470E1" w14:textId="77777777" w:rsidR="00C37C4A" w:rsidRDefault="00000000">
            <w:pPr>
              <w:widowControl w:val="0"/>
              <w:spacing w:line="360" w:lineRule="auto"/>
              <w:rPr>
                <w:rFonts w:ascii="Google Sans" w:eastAsia="Google Sans" w:hAnsi="Google Sans" w:cs="Google Sans"/>
              </w:rPr>
            </w:pPr>
            <w:r>
              <w:rPr>
                <w:rFonts w:ascii="Google Sans" w:eastAsia="Google Sans" w:hAnsi="Google Sans" w:cs="Google Sans"/>
              </w:rPr>
              <w:t>Protect</w:t>
            </w:r>
          </w:p>
        </w:tc>
        <w:tc>
          <w:tcPr>
            <w:tcW w:w="8025" w:type="dxa"/>
            <w:tcMar>
              <w:top w:w="100" w:type="dxa"/>
              <w:left w:w="100" w:type="dxa"/>
              <w:bottom w:w="100" w:type="dxa"/>
              <w:right w:w="100" w:type="dxa"/>
            </w:tcMar>
          </w:tcPr>
          <w:p w14:paraId="573B3331" w14:textId="77777777" w:rsidR="00C37C4A" w:rsidRDefault="00000000">
            <w:pPr>
              <w:widowControl w:val="0"/>
              <w:spacing w:line="360" w:lineRule="auto"/>
              <w:rPr>
                <w:rFonts w:ascii="Google Sans" w:eastAsia="Google Sans" w:hAnsi="Google Sans" w:cs="Google Sans"/>
              </w:rPr>
            </w:pPr>
            <w:r>
              <w:rPr>
                <w:rFonts w:ascii="Google Sans" w:eastAsia="Google Sans" w:hAnsi="Google Sans" w:cs="Google Sans"/>
              </w:rPr>
              <w:t>The cybersecurity team implemented a new firewall rule to limit the rate of incoming ICMP packets and an IDS/IPS system to filter out some ICMP traffic based on suspicious characteristics.</w:t>
            </w:r>
          </w:p>
        </w:tc>
      </w:tr>
      <w:tr w:rsidR="00C37C4A" w14:paraId="12F5DDAF" w14:textId="77777777">
        <w:trPr>
          <w:trHeight w:val="1061"/>
        </w:trPr>
        <w:tc>
          <w:tcPr>
            <w:tcW w:w="2055" w:type="dxa"/>
            <w:tcMar>
              <w:top w:w="100" w:type="dxa"/>
              <w:left w:w="100" w:type="dxa"/>
              <w:bottom w:w="100" w:type="dxa"/>
              <w:right w:w="100" w:type="dxa"/>
            </w:tcMar>
          </w:tcPr>
          <w:p w14:paraId="2F61E312" w14:textId="77777777" w:rsidR="00C37C4A" w:rsidRDefault="00000000">
            <w:pPr>
              <w:widowControl w:val="0"/>
              <w:spacing w:line="360" w:lineRule="auto"/>
              <w:rPr>
                <w:rFonts w:ascii="Google Sans" w:eastAsia="Google Sans" w:hAnsi="Google Sans" w:cs="Google Sans"/>
              </w:rPr>
            </w:pPr>
            <w:r>
              <w:rPr>
                <w:rFonts w:ascii="Google Sans" w:eastAsia="Google Sans" w:hAnsi="Google Sans" w:cs="Google Sans"/>
              </w:rPr>
              <w:t>Detect</w:t>
            </w:r>
          </w:p>
        </w:tc>
        <w:tc>
          <w:tcPr>
            <w:tcW w:w="8025" w:type="dxa"/>
            <w:tcMar>
              <w:top w:w="100" w:type="dxa"/>
              <w:left w:w="100" w:type="dxa"/>
              <w:bottom w:w="100" w:type="dxa"/>
              <w:right w:w="100" w:type="dxa"/>
            </w:tcMar>
          </w:tcPr>
          <w:p w14:paraId="5950FC8F" w14:textId="77777777" w:rsidR="00C37C4A"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The cybersecurity team configured source IP address verification on the firewall to check for spoofed IP addresses on incoming ICMP packets and implemented network monitoring software to detect abnormal traffic patterns. </w:t>
            </w:r>
          </w:p>
        </w:tc>
      </w:tr>
      <w:tr w:rsidR="00C37C4A" w14:paraId="7D478962" w14:textId="77777777">
        <w:trPr>
          <w:trHeight w:val="420"/>
        </w:trPr>
        <w:tc>
          <w:tcPr>
            <w:tcW w:w="2055" w:type="dxa"/>
            <w:tcMar>
              <w:top w:w="100" w:type="dxa"/>
              <w:left w:w="100" w:type="dxa"/>
              <w:bottom w:w="100" w:type="dxa"/>
              <w:right w:w="100" w:type="dxa"/>
            </w:tcMar>
          </w:tcPr>
          <w:p w14:paraId="7D462CFB" w14:textId="77777777" w:rsidR="00C37C4A" w:rsidRDefault="00000000">
            <w:pPr>
              <w:widowControl w:val="0"/>
              <w:spacing w:line="360" w:lineRule="auto"/>
              <w:rPr>
                <w:rFonts w:ascii="Google Sans" w:eastAsia="Google Sans" w:hAnsi="Google Sans" w:cs="Google Sans"/>
              </w:rPr>
            </w:pPr>
            <w:r>
              <w:rPr>
                <w:rFonts w:ascii="Google Sans" w:eastAsia="Google Sans" w:hAnsi="Google Sans" w:cs="Google Sans"/>
              </w:rPr>
              <w:t>Respond</w:t>
            </w:r>
          </w:p>
        </w:tc>
        <w:tc>
          <w:tcPr>
            <w:tcW w:w="8025" w:type="dxa"/>
            <w:tcMar>
              <w:top w:w="100" w:type="dxa"/>
              <w:left w:w="100" w:type="dxa"/>
              <w:bottom w:w="100" w:type="dxa"/>
              <w:right w:w="100" w:type="dxa"/>
            </w:tcMar>
          </w:tcPr>
          <w:p w14:paraId="0838920C" w14:textId="77777777" w:rsidR="00C37C4A"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For future security events, the cybersecurity team will isolate affected </w:t>
            </w:r>
            <w:r>
              <w:rPr>
                <w:rFonts w:ascii="Google Sans" w:eastAsia="Google Sans" w:hAnsi="Google Sans" w:cs="Google Sans"/>
              </w:rPr>
              <w:lastRenderedPageBreak/>
              <w:t>systems to prevent further disruption to the network. They will attempt to restore any critical systems and services that were disrupted by the event. Then, the team will analyze network logs to check for suspicious and abnormal activity. The team will also report all incidents to upper management and appropriate legal authorities, if applicable.</w:t>
            </w:r>
          </w:p>
        </w:tc>
      </w:tr>
      <w:tr w:rsidR="00C37C4A" w14:paraId="3BDA3B90" w14:textId="77777777">
        <w:trPr>
          <w:trHeight w:val="420"/>
        </w:trPr>
        <w:tc>
          <w:tcPr>
            <w:tcW w:w="2055" w:type="dxa"/>
            <w:tcMar>
              <w:top w:w="100" w:type="dxa"/>
              <w:left w:w="100" w:type="dxa"/>
              <w:bottom w:w="100" w:type="dxa"/>
              <w:right w:w="100" w:type="dxa"/>
            </w:tcMar>
          </w:tcPr>
          <w:p w14:paraId="3C6E6931" w14:textId="77777777" w:rsidR="00C37C4A" w:rsidRDefault="00000000">
            <w:pPr>
              <w:widowControl w:val="0"/>
              <w:spacing w:line="360" w:lineRule="auto"/>
              <w:rPr>
                <w:rFonts w:ascii="Google Sans" w:eastAsia="Google Sans" w:hAnsi="Google Sans" w:cs="Google Sans"/>
              </w:rPr>
            </w:pPr>
            <w:r>
              <w:rPr>
                <w:rFonts w:ascii="Google Sans" w:eastAsia="Google Sans" w:hAnsi="Google Sans" w:cs="Google Sans"/>
              </w:rPr>
              <w:lastRenderedPageBreak/>
              <w:t>Recover</w:t>
            </w:r>
          </w:p>
        </w:tc>
        <w:tc>
          <w:tcPr>
            <w:tcW w:w="8025" w:type="dxa"/>
            <w:tcMar>
              <w:top w:w="100" w:type="dxa"/>
              <w:left w:w="100" w:type="dxa"/>
              <w:bottom w:w="100" w:type="dxa"/>
              <w:right w:w="100" w:type="dxa"/>
            </w:tcMar>
          </w:tcPr>
          <w:p w14:paraId="72C6488D" w14:textId="77777777" w:rsidR="00C37C4A" w:rsidRDefault="00000000">
            <w:pPr>
              <w:widowControl w:val="0"/>
              <w:spacing w:line="360" w:lineRule="auto"/>
              <w:rPr>
                <w:rFonts w:ascii="Google Sans" w:eastAsia="Google Sans" w:hAnsi="Google Sans" w:cs="Google Sans"/>
              </w:rPr>
            </w:pPr>
            <w:r>
              <w:rPr>
                <w:rFonts w:ascii="Google Sans" w:eastAsia="Google Sans" w:hAnsi="Google Sans" w:cs="Google Sans"/>
              </w:rPr>
              <w:t xml:space="preserve">To recover from a DDoS attack by ICMP flooding, access to network services </w:t>
            </w:r>
            <w:proofErr w:type="gramStart"/>
            <w:r>
              <w:rPr>
                <w:rFonts w:ascii="Google Sans" w:eastAsia="Google Sans" w:hAnsi="Google Sans" w:cs="Google Sans"/>
              </w:rPr>
              <w:t>need</w:t>
            </w:r>
            <w:proofErr w:type="gramEnd"/>
            <w:r>
              <w:rPr>
                <w:rFonts w:ascii="Google Sans" w:eastAsia="Google Sans" w:hAnsi="Google Sans" w:cs="Google Sans"/>
              </w:rPr>
              <w:t xml:space="preserve"> to be restored to a normal functioning state. In the future, external ICMP flood attacks can be blocked at the firewall. Then, all non-critical network services should be stopped to reduce internal network traffic. Next, critical network services should be restored first. Finally, once the flood of ICMP packets have timed out, all non-critical network systems and services can be brought back online.</w:t>
            </w:r>
          </w:p>
        </w:tc>
      </w:tr>
    </w:tbl>
    <w:p w14:paraId="3E2BE458" w14:textId="77777777" w:rsidR="00C37C4A" w:rsidRDefault="00C37C4A">
      <w:pPr>
        <w:spacing w:after="200" w:line="360" w:lineRule="auto"/>
        <w:ind w:left="-360" w:right="-360"/>
        <w:rPr>
          <w:rFonts w:ascii="Google Sans" w:eastAsia="Google Sans" w:hAnsi="Google Sans" w:cs="Google Sans"/>
        </w:rPr>
      </w:pPr>
    </w:p>
    <w:p w14:paraId="34E3E66D" w14:textId="77777777" w:rsidR="00C37C4A" w:rsidRDefault="00000000">
      <w:pPr>
        <w:spacing w:after="200" w:line="360" w:lineRule="auto"/>
        <w:ind w:left="-360" w:right="-360"/>
        <w:rPr>
          <w:rFonts w:ascii="Google Sans" w:eastAsia="Google Sans" w:hAnsi="Google Sans" w:cs="Google Sans"/>
        </w:rPr>
      </w:pPr>
      <w:r>
        <w:pict w14:anchorId="02D65FE3">
          <v:rect id="_x0000_i1025" style="width:0;height:1.5pt" o:hralign="center" o:hrstd="t" o:hr="t" fillcolor="#a0a0a0" stroked="f"/>
        </w:pict>
      </w:r>
    </w:p>
    <w:p w14:paraId="260BB100" w14:textId="77777777" w:rsidR="00C37C4A" w:rsidRDefault="00C37C4A">
      <w:pPr>
        <w:spacing w:line="360" w:lineRule="auto"/>
        <w:ind w:left="-360" w:right="-360"/>
        <w:rPr>
          <w:rFonts w:ascii="Google Sans" w:eastAsia="Google Sans" w:hAnsi="Google Sans" w:cs="Google Sans"/>
        </w:rPr>
      </w:pPr>
    </w:p>
    <w:tbl>
      <w:tblPr>
        <w:tblStyle w:val="a0"/>
        <w:tblW w:w="10065" w:type="dxa"/>
        <w:tblInd w:w="-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065"/>
      </w:tblGrid>
      <w:tr w:rsidR="00C37C4A" w14:paraId="64CF4FF6" w14:textId="77777777">
        <w:tc>
          <w:tcPr>
            <w:tcW w:w="10065" w:type="dxa"/>
            <w:tcMar>
              <w:top w:w="100" w:type="dxa"/>
              <w:left w:w="100" w:type="dxa"/>
              <w:bottom w:w="100" w:type="dxa"/>
              <w:right w:w="100" w:type="dxa"/>
            </w:tcMar>
          </w:tcPr>
          <w:p w14:paraId="299218D4" w14:textId="3A1999E6" w:rsidR="00C37C4A" w:rsidRPr="00284CE6" w:rsidRDefault="00000000">
            <w:pPr>
              <w:widowControl w:val="0"/>
              <w:pBdr>
                <w:top w:val="nil"/>
                <w:left w:val="nil"/>
                <w:bottom w:val="nil"/>
                <w:right w:val="nil"/>
                <w:between w:val="nil"/>
              </w:pBdr>
              <w:spacing w:line="240" w:lineRule="auto"/>
              <w:rPr>
                <w:rFonts w:ascii="Google Sans" w:eastAsia="Google Sans" w:hAnsi="Google Sans" w:cs="Google Sans"/>
                <w:lang w:val="en-US"/>
              </w:rPr>
            </w:pPr>
            <w:r>
              <w:rPr>
                <w:rFonts w:ascii="Google Sans" w:eastAsia="Google Sans" w:hAnsi="Google Sans" w:cs="Google Sans"/>
              </w:rPr>
              <w:t>Reflections/Notes:</w:t>
            </w:r>
            <w:r w:rsidR="00284CE6">
              <w:rPr>
                <w:rFonts w:ascii="Google Sans" w:eastAsia="Google Sans" w:hAnsi="Google Sans" w:cs="Google Sans"/>
              </w:rPr>
              <w:t xml:space="preserve"> </w:t>
            </w:r>
            <w:r w:rsidR="00284CE6" w:rsidRPr="00284CE6">
              <w:rPr>
                <w:rFonts w:ascii="Google Sans" w:eastAsia="Google Sans" w:hAnsi="Google Sans" w:cs="Google Sans"/>
                <w:lang w:val="en-US"/>
              </w:rPr>
              <w:t xml:space="preserve">This incident highlighted the importance of strong firewall configurations and proactive network monitoring. It also showed how quickly a DDoS attack can disrupt critical services and why </w:t>
            </w:r>
            <w:r w:rsidR="00284CE6">
              <w:rPr>
                <w:rFonts w:ascii="Google Sans" w:eastAsia="Google Sans" w:hAnsi="Google Sans" w:cs="Google Sans"/>
                <w:lang w:val="en-US"/>
              </w:rPr>
              <w:t xml:space="preserve">a </w:t>
            </w:r>
            <w:r w:rsidR="00284CE6" w:rsidRPr="00284CE6">
              <w:rPr>
                <w:rFonts w:ascii="Google Sans" w:eastAsia="Google Sans" w:hAnsi="Google Sans" w:cs="Google Sans"/>
                <w:lang w:val="en-US"/>
              </w:rPr>
              <w:t xml:space="preserve">fast, coordinated response is necessary. Regular audits, clear communication, and continuous logging play a major role in reducing damage during security events. This situation also reinforced </w:t>
            </w:r>
            <w:r w:rsidR="00284CE6">
              <w:rPr>
                <w:rFonts w:ascii="Google Sans" w:eastAsia="Google Sans" w:hAnsi="Google Sans" w:cs="Google Sans"/>
                <w:lang w:val="en-US"/>
              </w:rPr>
              <w:t>the importance of a layered defense and a reliable recovery plan in protecting critical systems</w:t>
            </w:r>
            <w:r w:rsidR="00284CE6" w:rsidRPr="00284CE6">
              <w:rPr>
                <w:rFonts w:ascii="Google Sans" w:eastAsia="Google Sans" w:hAnsi="Google Sans" w:cs="Google Sans"/>
                <w:lang w:val="en-US"/>
              </w:rPr>
              <w:t>.</w:t>
            </w:r>
          </w:p>
        </w:tc>
      </w:tr>
    </w:tbl>
    <w:p w14:paraId="003B6D22" w14:textId="77777777" w:rsidR="00C37C4A" w:rsidRDefault="00C37C4A">
      <w:pPr>
        <w:spacing w:line="360" w:lineRule="auto"/>
        <w:ind w:left="-360" w:right="-360"/>
        <w:rPr>
          <w:rFonts w:ascii="Google Sans" w:eastAsia="Google Sans" w:hAnsi="Google Sans" w:cs="Google Sans"/>
        </w:rPr>
      </w:pPr>
    </w:p>
    <w:sectPr w:rsidR="00C37C4A">
      <w:headerReference w:type="default" r:id="rId6"/>
      <w:headerReference w:type="first" r:id="rId7"/>
      <w:footerReference w:type="first" r:id="rId8"/>
      <w:pgSz w:w="12240" w:h="15840"/>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6FE1F7" w14:textId="77777777" w:rsidR="00B279FF" w:rsidRDefault="00B279FF">
      <w:pPr>
        <w:spacing w:line="240" w:lineRule="auto"/>
      </w:pPr>
      <w:r>
        <w:separator/>
      </w:r>
    </w:p>
  </w:endnote>
  <w:endnote w:type="continuationSeparator" w:id="0">
    <w:p w14:paraId="4CD5ABD7" w14:textId="77777777" w:rsidR="00B279FF" w:rsidRDefault="00B279F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oogle Sans">
    <w:charset w:val="00"/>
    <w:family w:val="auto"/>
    <w:pitch w:val="default"/>
    <w:embedRegular r:id="rId1" w:fontKey="{411CAA63-9973-4BF0-A4BB-9A13555150F9}"/>
    <w:embedBold r:id="rId2" w:fontKey="{5EF3664E-0831-44F6-85AE-02DA1C8A4255}"/>
  </w:font>
  <w:font w:name="Calibri">
    <w:panose1 w:val="020F0502020204030204"/>
    <w:charset w:val="00"/>
    <w:family w:val="swiss"/>
    <w:pitch w:val="variable"/>
    <w:sig w:usb0="E4002EFF" w:usb1="C200247B" w:usb2="00000009" w:usb3="00000000" w:csb0="000001FF" w:csb1="00000000"/>
    <w:embedRegular r:id="rId3" w:fontKey="{77A73092-8F2A-4407-8692-4A5CF66F526E}"/>
  </w:font>
  <w:font w:name="Cambria">
    <w:panose1 w:val="02040503050406030204"/>
    <w:charset w:val="00"/>
    <w:family w:val="roman"/>
    <w:pitch w:val="variable"/>
    <w:sig w:usb0="E00006FF" w:usb1="420024FF" w:usb2="02000000" w:usb3="00000000" w:csb0="0000019F" w:csb1="00000000"/>
    <w:embedRegular r:id="rId4" w:fontKey="{AF3A3F17-BEAD-46F8-B5F6-53C72F50B86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9A186" w14:textId="77777777" w:rsidR="00C37C4A" w:rsidRDefault="00C37C4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C8640A" w14:textId="77777777" w:rsidR="00B279FF" w:rsidRDefault="00B279FF">
      <w:pPr>
        <w:spacing w:line="240" w:lineRule="auto"/>
      </w:pPr>
      <w:r>
        <w:separator/>
      </w:r>
    </w:p>
  </w:footnote>
  <w:footnote w:type="continuationSeparator" w:id="0">
    <w:p w14:paraId="413398F9" w14:textId="77777777" w:rsidR="00B279FF" w:rsidRDefault="00B279F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F2F58" w14:textId="77777777" w:rsidR="00C37C4A" w:rsidRDefault="00C37C4A"/>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79D740" w14:textId="77777777" w:rsidR="00C37C4A" w:rsidRDefault="00000000">
    <w:r>
      <w:rPr>
        <w:noProof/>
      </w:rPr>
      <w:drawing>
        <wp:inline distT="114300" distB="114300" distL="114300" distR="114300" wp14:anchorId="337D09E8" wp14:editId="5EF1D987">
          <wp:extent cx="1096601" cy="81438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l="13942" t="28613" r="18910" b="26277"/>
                  <a:stretch>
                    <a:fillRect/>
                  </a:stretch>
                </pic:blipFill>
                <pic:spPr>
                  <a:xfrm>
                    <a:off x="0" y="0"/>
                    <a:ext cx="1096601" cy="814388"/>
                  </a:xfrm>
                  <a:prstGeom prst="rect">
                    <a:avLst/>
                  </a:prstGeom>
                  <a:ln/>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7C4A"/>
    <w:rsid w:val="00284CE6"/>
    <w:rsid w:val="006E6A92"/>
    <w:rsid w:val="00B279FF"/>
    <w:rsid w:val="00C37C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59D135"/>
  <w15:docId w15:val="{29CB0FAC-B935-4CA5-9846-63574BF3A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284CE6"/>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2</Pages>
  <Words>436</Words>
  <Characters>2401</Characters>
  <Application>Microsoft Office Word</Application>
  <DocSecurity>0</DocSecurity>
  <Lines>55</Lines>
  <Paragraphs>22</Paragraphs>
  <ScaleCrop>false</ScaleCrop>
  <Company/>
  <LinksUpToDate>false</LinksUpToDate>
  <CharactersWithSpaces>2815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Samragi Ayer</cp:lastModifiedBy>
  <cp:revision>2</cp:revision>
  <dcterms:created xsi:type="dcterms:W3CDTF">2025-11-18T05:13:00Z</dcterms:created>
  <dcterms:modified xsi:type="dcterms:W3CDTF">2025-11-18T05:18:00Z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fa3dfa18-e421-4669-8174-52ac4a04ff5e</vt:lpwstr>
  </property>
</Properties>
</file>