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56F1" w14:textId="4BEB1EB1" w:rsidR="00356AAF" w:rsidRDefault="00A52E3F">
      <w:pPr>
        <w:spacing w:after="40"/>
      </w:pPr>
      <w:r>
        <w:rPr>
          <w:b/>
          <w:bCs/>
          <w:sz w:val="22"/>
          <w:szCs w:val="22"/>
        </w:rPr>
        <w:t xml:space="preserve">Supplementary </w:t>
      </w:r>
      <w:r w:rsidR="00AD24C9">
        <w:rPr>
          <w:b/>
          <w:bCs/>
          <w:sz w:val="22"/>
          <w:szCs w:val="22"/>
        </w:rPr>
        <w:t xml:space="preserve">Table </w:t>
      </w:r>
      <w:r>
        <w:rPr>
          <w:b/>
          <w:bCs/>
          <w:sz w:val="22"/>
          <w:szCs w:val="22"/>
        </w:rPr>
        <w:t>S7</w:t>
      </w:r>
      <w:r w:rsidR="00AD24C9">
        <w:rPr>
          <w:b/>
          <w:bCs/>
          <w:sz w:val="22"/>
          <w:szCs w:val="22"/>
        </w:rPr>
        <w:t xml:space="preserve">. Robustness of Causal Treatment-Effect Estimates across Temporal and Sensitivity Analyses </w:t>
      </w:r>
    </w:p>
    <w:p w14:paraId="78E256F2" w14:textId="77777777" w:rsidR="00356AAF" w:rsidRDefault="00AD24C9">
      <w:pPr>
        <w:spacing w:after="120"/>
      </w:pPr>
      <w:r>
        <w:rPr>
          <w:i/>
          <w:iCs/>
        </w:rPr>
        <w:t>Final manuscript version. Overall primary ATO estimates are compared with the CREST-2-aligned early procedural period, late day-45 landmark period, and seven prespecified sensitivity analyses. No estimate was recalculated during freezing.</w:t>
      </w:r>
    </w:p>
    <w:tbl>
      <w:tblPr>
        <w:tblW w:w="146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50"/>
        <w:gridCol w:w="540"/>
        <w:gridCol w:w="540"/>
        <w:gridCol w:w="1080"/>
        <w:gridCol w:w="640"/>
        <w:gridCol w:w="1080"/>
        <w:gridCol w:w="980"/>
        <w:gridCol w:w="1080"/>
        <w:gridCol w:w="980"/>
        <w:gridCol w:w="1080"/>
        <w:gridCol w:w="1750"/>
        <w:gridCol w:w="1250"/>
        <w:gridCol w:w="720"/>
        <w:gridCol w:w="1300"/>
      </w:tblGrid>
      <w:tr w:rsidR="00356AAF" w14:paraId="78E256FB" w14:textId="77777777">
        <w:tblPrEx>
          <w:tblCellMar>
            <w:top w:w="0" w:type="dxa"/>
            <w:bottom w:w="0" w:type="dxa"/>
          </w:tblCellMar>
        </w:tblPrEx>
        <w:trPr>
          <w:cantSplit/>
          <w:tblHeader/>
        </w:trPr>
        <w:tc>
          <w:tcPr>
            <w:tcW w:w="1650" w:type="dxa"/>
            <w:vMerge w:val="restart"/>
            <w:tcBorders>
              <w:top w:val="single" w:sz="12" w:space="0" w:color="000000"/>
              <w:left w:val="none" w:sz="0" w:space="0" w:color="FFFFFF"/>
              <w:bottom w:val="none" w:sz="0" w:space="0" w:color="FFFFFF"/>
              <w:right w:val="none" w:sz="0" w:space="0" w:color="FFFFFF"/>
            </w:tcBorders>
            <w:tcMar>
              <w:top w:w="28" w:type="dxa"/>
              <w:left w:w="60" w:type="dxa"/>
              <w:bottom w:w="28" w:type="dxa"/>
              <w:right w:w="60" w:type="dxa"/>
            </w:tcMar>
            <w:vAlign w:val="center"/>
          </w:tcPr>
          <w:p w14:paraId="78E256F3" w14:textId="77777777" w:rsidR="00356AAF" w:rsidRDefault="00AD24C9">
            <w:pPr>
              <w:spacing w:line="214" w:lineRule="auto"/>
            </w:pPr>
            <w:r>
              <w:rPr>
                <w:b/>
                <w:bCs/>
              </w:rPr>
              <w:t>Outcome</w:t>
            </w:r>
          </w:p>
        </w:tc>
        <w:tc>
          <w:tcPr>
            <w:tcW w:w="2800" w:type="dxa"/>
            <w:gridSpan w:val="4"/>
            <w:tcBorders>
              <w:top w:val="single" w:sz="12" w:space="0" w:color="000000"/>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4" w14:textId="77777777" w:rsidR="00356AAF" w:rsidRDefault="00AD24C9">
            <w:pPr>
              <w:spacing w:line="214" w:lineRule="auto"/>
              <w:jc w:val="center"/>
            </w:pPr>
            <w:r>
              <w:rPr>
                <w:b/>
                <w:bCs/>
              </w:rPr>
              <w:t>Overall ATO Estimate</w:t>
            </w:r>
          </w:p>
        </w:tc>
        <w:tc>
          <w:tcPr>
            <w:tcW w:w="2060" w:type="dxa"/>
            <w:gridSpan w:val="2"/>
            <w:tcBorders>
              <w:top w:val="single" w:sz="12" w:space="0" w:color="000000"/>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5" w14:textId="77777777" w:rsidR="00356AAF" w:rsidRDefault="00AD24C9">
            <w:pPr>
              <w:spacing w:line="214" w:lineRule="auto"/>
              <w:jc w:val="center"/>
            </w:pPr>
            <w:r>
              <w:rPr>
                <w:b/>
                <w:bCs/>
              </w:rPr>
              <w:t>Early Period (Days 0–44)</w:t>
            </w:r>
          </w:p>
        </w:tc>
        <w:tc>
          <w:tcPr>
            <w:tcW w:w="2060" w:type="dxa"/>
            <w:gridSpan w:val="2"/>
            <w:tcBorders>
              <w:top w:val="single" w:sz="12" w:space="0" w:color="000000"/>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6" w14:textId="77777777" w:rsidR="00356AAF" w:rsidRDefault="00AD24C9">
            <w:pPr>
              <w:spacing w:line="214" w:lineRule="auto"/>
              <w:jc w:val="center"/>
            </w:pPr>
            <w:r>
              <w:rPr>
                <w:b/>
                <w:bCs/>
              </w:rPr>
              <w:t>Late Period (Days 45–1460)</w:t>
            </w:r>
          </w:p>
        </w:tc>
        <w:tc>
          <w:tcPr>
            <w:tcW w:w="1080" w:type="dxa"/>
            <w:vMerge w:val="restart"/>
            <w:tcBorders>
              <w:top w:val="single" w:sz="12" w:space="0" w:color="000000"/>
              <w:left w:val="none" w:sz="0" w:space="0" w:color="FFFFFF"/>
              <w:bottom w:val="none" w:sz="0" w:space="0" w:color="FFFFFF"/>
              <w:right w:val="none" w:sz="0" w:space="0" w:color="FFFFFF"/>
            </w:tcBorders>
            <w:tcMar>
              <w:top w:w="28" w:type="dxa"/>
              <w:left w:w="60" w:type="dxa"/>
              <w:bottom w:w="28" w:type="dxa"/>
              <w:right w:w="60" w:type="dxa"/>
            </w:tcMar>
            <w:vAlign w:val="center"/>
          </w:tcPr>
          <w:p w14:paraId="78E256F7" w14:textId="77777777" w:rsidR="00356AAF" w:rsidRDefault="00AD24C9">
            <w:pPr>
              <w:spacing w:line="214" w:lineRule="auto"/>
              <w:jc w:val="center"/>
            </w:pPr>
            <w:r>
              <w:rPr>
                <w:b/>
                <w:bCs/>
              </w:rPr>
              <w:t>Temporal Consistency</w:t>
            </w:r>
          </w:p>
        </w:tc>
        <w:tc>
          <w:tcPr>
            <w:tcW w:w="1750" w:type="dxa"/>
            <w:vMerge w:val="restart"/>
            <w:tcBorders>
              <w:top w:val="single" w:sz="12" w:space="0" w:color="000000"/>
              <w:left w:val="none" w:sz="0" w:space="0" w:color="FFFFFF"/>
              <w:bottom w:val="none" w:sz="0" w:space="0" w:color="FFFFFF"/>
              <w:right w:val="none" w:sz="0" w:space="0" w:color="FFFFFF"/>
            </w:tcBorders>
            <w:tcMar>
              <w:top w:w="28" w:type="dxa"/>
              <w:left w:w="60" w:type="dxa"/>
              <w:bottom w:w="28" w:type="dxa"/>
              <w:right w:w="60" w:type="dxa"/>
            </w:tcMar>
            <w:vAlign w:val="center"/>
          </w:tcPr>
          <w:p w14:paraId="78E256F8" w14:textId="77777777" w:rsidR="00356AAF" w:rsidRDefault="00AD24C9">
            <w:pPr>
              <w:spacing w:line="214" w:lineRule="auto"/>
              <w:jc w:val="center"/>
            </w:pPr>
            <w:r>
              <w:rPr>
                <w:b/>
                <w:bCs/>
              </w:rPr>
              <w:t>Sensitivity Agreement</w:t>
            </w:r>
          </w:p>
        </w:tc>
        <w:tc>
          <w:tcPr>
            <w:tcW w:w="1250" w:type="dxa"/>
            <w:vMerge w:val="restart"/>
            <w:tcBorders>
              <w:top w:val="single" w:sz="12" w:space="0" w:color="000000"/>
              <w:left w:val="none" w:sz="0" w:space="0" w:color="FFFFFF"/>
              <w:bottom w:val="none" w:sz="0" w:space="0" w:color="FFFFFF"/>
              <w:right w:val="none" w:sz="0" w:space="0" w:color="FFFFFF"/>
            </w:tcBorders>
            <w:tcMar>
              <w:top w:w="28" w:type="dxa"/>
              <w:left w:w="60" w:type="dxa"/>
              <w:bottom w:w="28" w:type="dxa"/>
              <w:right w:w="60" w:type="dxa"/>
            </w:tcMar>
            <w:vAlign w:val="center"/>
          </w:tcPr>
          <w:p w14:paraId="78E256F9" w14:textId="77777777" w:rsidR="00356AAF" w:rsidRDefault="00AD24C9">
            <w:pPr>
              <w:spacing w:line="214" w:lineRule="auto"/>
              <w:jc w:val="center"/>
            </w:pPr>
            <w:r>
              <w:rPr>
                <w:b/>
                <w:bCs/>
              </w:rPr>
              <w:t>Robustness Grade</w:t>
            </w:r>
          </w:p>
        </w:tc>
        <w:tc>
          <w:tcPr>
            <w:tcW w:w="2020" w:type="dxa"/>
            <w:gridSpan w:val="2"/>
            <w:tcBorders>
              <w:top w:val="single" w:sz="12" w:space="0" w:color="000000"/>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A" w14:textId="77777777" w:rsidR="00356AAF" w:rsidRDefault="00AD24C9">
            <w:pPr>
              <w:spacing w:line="214" w:lineRule="auto"/>
              <w:jc w:val="center"/>
            </w:pPr>
            <w:r>
              <w:rPr>
                <w:b/>
                <w:bCs/>
              </w:rPr>
              <w:t>Evidence</w:t>
            </w:r>
          </w:p>
        </w:tc>
      </w:tr>
      <w:tr w:rsidR="00356AAF" w14:paraId="78E2570A" w14:textId="77777777">
        <w:tblPrEx>
          <w:tblCellMar>
            <w:top w:w="0" w:type="dxa"/>
            <w:bottom w:w="0" w:type="dxa"/>
          </w:tblCellMar>
        </w:tblPrEx>
        <w:trPr>
          <w:cantSplit/>
          <w:tblHeader/>
        </w:trPr>
        <w:tc>
          <w:tcPr>
            <w:tcW w:w="1650" w:type="dxa"/>
            <w:vMerge/>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C" w14:textId="77777777" w:rsidR="00356AAF" w:rsidRDefault="00356AAF"/>
        </w:tc>
        <w:tc>
          <w:tcPr>
            <w:tcW w:w="54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D" w14:textId="77777777" w:rsidR="00356AAF" w:rsidRDefault="00AD24C9">
            <w:pPr>
              <w:spacing w:line="214" w:lineRule="auto"/>
              <w:jc w:val="center"/>
            </w:pPr>
            <w:r>
              <w:rPr>
                <w:b/>
                <w:bCs/>
              </w:rPr>
              <w:t>RD (95% CI)</w:t>
            </w:r>
          </w:p>
        </w:tc>
        <w:tc>
          <w:tcPr>
            <w:tcW w:w="54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E" w14:textId="77777777" w:rsidR="00356AAF" w:rsidRDefault="00AD24C9">
            <w:pPr>
              <w:spacing w:line="214" w:lineRule="auto"/>
              <w:jc w:val="center"/>
            </w:pPr>
            <w:r>
              <w:rPr>
                <w:b/>
                <w:bCs/>
              </w:rPr>
              <w:t>RR (95% CI)</w:t>
            </w:r>
          </w:p>
        </w:tc>
        <w:tc>
          <w:tcPr>
            <w:tcW w:w="108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6FF" w14:textId="77777777" w:rsidR="00356AAF" w:rsidRDefault="00AD24C9">
            <w:pPr>
              <w:spacing w:line="214" w:lineRule="auto"/>
              <w:jc w:val="center"/>
            </w:pPr>
            <w:r>
              <w:rPr>
                <w:b/>
                <w:bCs/>
              </w:rPr>
              <w:t>HR (95% CI)</w:t>
            </w:r>
          </w:p>
        </w:tc>
        <w:tc>
          <w:tcPr>
            <w:tcW w:w="64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0" w14:textId="77777777" w:rsidR="00356AAF" w:rsidRDefault="00AD24C9">
            <w:pPr>
              <w:spacing w:line="214" w:lineRule="auto"/>
              <w:jc w:val="center"/>
            </w:pPr>
            <w:r>
              <w:rPr>
                <w:b/>
                <w:bCs/>
              </w:rPr>
              <w:t>P Value</w:t>
            </w:r>
          </w:p>
        </w:tc>
        <w:tc>
          <w:tcPr>
            <w:tcW w:w="108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1" w14:textId="77777777" w:rsidR="00356AAF" w:rsidRDefault="00AD24C9">
            <w:pPr>
              <w:spacing w:line="214" w:lineRule="auto"/>
              <w:jc w:val="center"/>
            </w:pPr>
            <w:r>
              <w:rPr>
                <w:b/>
                <w:bCs/>
              </w:rPr>
              <w:t>HR (95% CI)</w:t>
            </w:r>
          </w:p>
        </w:tc>
        <w:tc>
          <w:tcPr>
            <w:tcW w:w="98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2" w14:textId="77777777" w:rsidR="00356AAF" w:rsidRDefault="00AD24C9">
            <w:pPr>
              <w:spacing w:line="214" w:lineRule="auto"/>
              <w:jc w:val="center"/>
            </w:pPr>
            <w:r>
              <w:rPr>
                <w:b/>
                <w:bCs/>
              </w:rPr>
              <w:t>Direction</w:t>
            </w:r>
          </w:p>
        </w:tc>
        <w:tc>
          <w:tcPr>
            <w:tcW w:w="108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3" w14:textId="77777777" w:rsidR="00356AAF" w:rsidRDefault="00AD24C9">
            <w:pPr>
              <w:spacing w:line="214" w:lineRule="auto"/>
              <w:jc w:val="center"/>
            </w:pPr>
            <w:r>
              <w:rPr>
                <w:b/>
                <w:bCs/>
              </w:rPr>
              <w:t>HR (95% CI)</w:t>
            </w:r>
          </w:p>
        </w:tc>
        <w:tc>
          <w:tcPr>
            <w:tcW w:w="98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4" w14:textId="77777777" w:rsidR="00356AAF" w:rsidRDefault="00AD24C9">
            <w:pPr>
              <w:spacing w:line="214" w:lineRule="auto"/>
              <w:jc w:val="center"/>
            </w:pPr>
            <w:r>
              <w:rPr>
                <w:b/>
                <w:bCs/>
              </w:rPr>
              <w:t>Direction</w:t>
            </w:r>
          </w:p>
        </w:tc>
        <w:tc>
          <w:tcPr>
            <w:tcW w:w="1080" w:type="dxa"/>
            <w:vMerge/>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5" w14:textId="77777777" w:rsidR="00356AAF" w:rsidRDefault="00356AAF"/>
        </w:tc>
        <w:tc>
          <w:tcPr>
            <w:tcW w:w="1750" w:type="dxa"/>
            <w:vMerge/>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6" w14:textId="77777777" w:rsidR="00356AAF" w:rsidRDefault="00356AAF"/>
        </w:tc>
        <w:tc>
          <w:tcPr>
            <w:tcW w:w="1250" w:type="dxa"/>
            <w:vMerge/>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7" w14:textId="77777777" w:rsidR="00356AAF" w:rsidRDefault="00356AAF"/>
        </w:tc>
        <w:tc>
          <w:tcPr>
            <w:tcW w:w="72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8" w14:textId="77777777" w:rsidR="00356AAF" w:rsidRDefault="00AD24C9">
            <w:pPr>
              <w:spacing w:line="214" w:lineRule="auto"/>
              <w:jc w:val="center"/>
            </w:pPr>
            <w:r>
              <w:rPr>
                <w:b/>
                <w:bCs/>
              </w:rPr>
              <w:t>Grade</w:t>
            </w:r>
          </w:p>
        </w:tc>
        <w:tc>
          <w:tcPr>
            <w:tcW w:w="1300" w:type="dxa"/>
            <w:tcBorders>
              <w:top w:val="none" w:sz="0" w:space="0" w:color="FFFFFF"/>
              <w:left w:val="none" w:sz="0" w:space="0" w:color="FFFFFF"/>
              <w:bottom w:val="single" w:sz="6" w:space="0" w:color="000000"/>
              <w:right w:val="none" w:sz="0" w:space="0" w:color="FFFFFF"/>
            </w:tcBorders>
            <w:tcMar>
              <w:top w:w="28" w:type="dxa"/>
              <w:left w:w="60" w:type="dxa"/>
              <w:bottom w:w="28" w:type="dxa"/>
              <w:right w:w="60" w:type="dxa"/>
            </w:tcMar>
            <w:vAlign w:val="center"/>
          </w:tcPr>
          <w:p w14:paraId="78E25709" w14:textId="77777777" w:rsidR="00356AAF" w:rsidRDefault="00AD24C9">
            <w:pPr>
              <w:spacing w:line="214" w:lineRule="auto"/>
              <w:jc w:val="center"/>
            </w:pPr>
            <w:r>
              <w:rPr>
                <w:b/>
                <w:bCs/>
              </w:rPr>
              <w:t>Strength</w:t>
            </w:r>
          </w:p>
        </w:tc>
      </w:tr>
      <w:tr w:rsidR="00356AAF" w14:paraId="78E2570C" w14:textId="77777777">
        <w:tblPrEx>
          <w:tblCellMar>
            <w:top w:w="0" w:type="dxa"/>
            <w:bottom w:w="0" w:type="dxa"/>
          </w:tblCellMar>
        </w:tblPrEx>
        <w:trPr>
          <w:cantSplit/>
        </w:trPr>
        <w:tc>
          <w:tcPr>
            <w:tcW w:w="14670" w:type="dxa"/>
            <w:gridSpan w:val="14"/>
            <w:tcBorders>
              <w:top w:val="none" w:sz="0" w:space="0" w:color="FFFFFF"/>
              <w:left w:val="none" w:sz="0" w:space="0" w:color="FFFFFF"/>
              <w:bottom w:val="none" w:sz="0" w:space="0" w:color="FFFFFF"/>
              <w:right w:val="none" w:sz="0" w:space="0" w:color="FFFFFF"/>
            </w:tcBorders>
            <w:shd w:val="clear" w:color="auto" w:fill="D9D9D9"/>
            <w:tcMar>
              <w:top w:w="28" w:type="dxa"/>
              <w:left w:w="60" w:type="dxa"/>
              <w:bottom w:w="28" w:type="dxa"/>
              <w:right w:w="60" w:type="dxa"/>
            </w:tcMar>
            <w:vAlign w:val="center"/>
          </w:tcPr>
          <w:p w14:paraId="78E2570B" w14:textId="77777777" w:rsidR="00356AAF" w:rsidRDefault="00AD24C9">
            <w:pPr>
              <w:spacing w:line="214" w:lineRule="auto"/>
              <w:jc w:val="center"/>
            </w:pPr>
            <w:r>
              <w:rPr>
                <w:b/>
                <w:bCs/>
              </w:rPr>
              <w:t>CAS versus IMM</w:t>
            </w:r>
          </w:p>
        </w:tc>
      </w:tr>
      <w:tr w:rsidR="00356AAF" w14:paraId="78E2571B"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0D" w14:textId="77777777" w:rsidR="00356AAF" w:rsidRDefault="00AD24C9">
            <w:pPr>
              <w:spacing w:line="214" w:lineRule="auto"/>
            </w:pPr>
            <w:r>
              <w:t>Anterior-circulation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0E"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0F"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0" w14:textId="77777777" w:rsidR="00356AAF" w:rsidRDefault="00AD24C9">
            <w:pPr>
              <w:spacing w:line="214" w:lineRule="auto"/>
              <w:jc w:val="center"/>
            </w:pPr>
            <w:r>
              <w:t>1.44</w:t>
            </w:r>
            <w:r>
              <w:br/>
              <w:t>(1.10 to 1.90)</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1" w14:textId="77777777" w:rsidR="00356AAF" w:rsidRDefault="00AD24C9">
            <w:pPr>
              <w:spacing w:line="214" w:lineRule="auto"/>
              <w:jc w:val="center"/>
            </w:pPr>
            <w:r>
              <w:t>0.009</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2" w14:textId="77777777" w:rsidR="00356AAF" w:rsidRDefault="00AD24C9">
            <w:pPr>
              <w:spacing w:line="214" w:lineRule="auto"/>
              <w:jc w:val="center"/>
            </w:pPr>
            <w:r>
              <w:t>2.25</w:t>
            </w:r>
            <w:r>
              <w:br/>
              <w:t>(1.44 to 3.51)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3"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4" w14:textId="77777777" w:rsidR="00356AAF" w:rsidRDefault="00AD24C9">
            <w:pPr>
              <w:spacing w:line="214" w:lineRule="auto"/>
              <w:jc w:val="center"/>
            </w:pPr>
            <w:r>
              <w:t>1.11</w:t>
            </w:r>
            <w:r>
              <w:br/>
              <w:t>(0.77 to 1.58)</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5"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6"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7"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8"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9"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A" w14:textId="77777777" w:rsidR="00356AAF" w:rsidRDefault="00AD24C9">
            <w:pPr>
              <w:spacing w:line="214" w:lineRule="auto"/>
              <w:jc w:val="center"/>
            </w:pPr>
            <w:r>
              <w:t>Strong evidence</w:t>
            </w:r>
          </w:p>
        </w:tc>
      </w:tr>
      <w:tr w:rsidR="00356AAF" w14:paraId="78E2571D"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1C"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higher risk overall and across both clinically defined periods.</w:t>
            </w:r>
          </w:p>
        </w:tc>
      </w:tr>
      <w:tr w:rsidR="00356AAF" w14:paraId="78E2572C"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E" w14:textId="77777777" w:rsidR="00356AAF" w:rsidRDefault="00AD24C9">
            <w:pPr>
              <w:spacing w:line="214" w:lineRule="auto"/>
            </w:pPr>
            <w:r>
              <w:t>Posterior-circulation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1F"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0"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1" w14:textId="77777777" w:rsidR="00356AAF" w:rsidRDefault="00AD24C9">
            <w:pPr>
              <w:spacing w:line="214" w:lineRule="auto"/>
              <w:jc w:val="center"/>
            </w:pPr>
            <w:r>
              <w:t>0.61</w:t>
            </w:r>
            <w:r>
              <w:br/>
              <w:t>(0.26 to 1.47)</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2" w14:textId="77777777" w:rsidR="00356AAF" w:rsidRDefault="00AD24C9">
            <w:pPr>
              <w:spacing w:line="214" w:lineRule="auto"/>
              <w:jc w:val="center"/>
            </w:pPr>
            <w:r>
              <w:t>0.272</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3" w14:textId="77777777" w:rsidR="00356AAF" w:rsidRDefault="00AD24C9">
            <w:pPr>
              <w:spacing w:line="214" w:lineRule="auto"/>
              <w:jc w:val="center"/>
            </w:pPr>
            <w:r>
              <w:t>Suppressed</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4"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5" w14:textId="77777777" w:rsidR="00356AAF" w:rsidRDefault="00AD24C9">
            <w:pPr>
              <w:spacing w:line="214" w:lineRule="auto"/>
              <w:jc w:val="center"/>
            </w:pPr>
            <w:r>
              <w:t>0.56</w:t>
            </w:r>
            <w:r>
              <w:br/>
              <w:t>(0.20 to 1.52)</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6"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7"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8"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9"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A"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B" w14:textId="77777777" w:rsidR="00356AAF" w:rsidRDefault="00AD24C9">
            <w:pPr>
              <w:spacing w:line="214" w:lineRule="auto"/>
              <w:jc w:val="center"/>
            </w:pPr>
            <w:r>
              <w:t>Strong evidence</w:t>
            </w:r>
          </w:p>
        </w:tc>
      </w:tr>
      <w:tr w:rsidR="00356AAF" w14:paraId="78E2572E"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2D"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although precision varied across periods.</w:t>
            </w:r>
          </w:p>
        </w:tc>
      </w:tr>
      <w:tr w:rsidR="00356AAF" w14:paraId="78E2573D"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2F" w14:textId="77777777" w:rsidR="00356AAF" w:rsidRDefault="00AD24C9">
            <w:pPr>
              <w:spacing w:line="214" w:lineRule="auto"/>
            </w:pPr>
            <w:r>
              <w:t>Ischemic stroke, location unspecified</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0"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1"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2" w14:textId="77777777" w:rsidR="00356AAF" w:rsidRDefault="00AD24C9">
            <w:pPr>
              <w:spacing w:line="214" w:lineRule="auto"/>
              <w:jc w:val="center"/>
            </w:pPr>
            <w:r>
              <w:t>1.05</w:t>
            </w:r>
            <w:r>
              <w:br/>
              <w:t>(0.92 to 1.20)</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3" w14:textId="77777777" w:rsidR="00356AAF" w:rsidRDefault="00AD24C9">
            <w:pPr>
              <w:spacing w:line="214" w:lineRule="auto"/>
              <w:jc w:val="center"/>
            </w:pPr>
            <w:r>
              <w:t>0.436</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4" w14:textId="77777777" w:rsidR="00356AAF" w:rsidRDefault="00AD24C9">
            <w:pPr>
              <w:spacing w:line="214" w:lineRule="auto"/>
              <w:jc w:val="center"/>
            </w:pPr>
            <w:r>
              <w:t>1.19</w:t>
            </w:r>
            <w:r>
              <w:br/>
              <w:t>(0.94 to 1.51)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5"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6" w14:textId="77777777" w:rsidR="00356AAF" w:rsidRDefault="00AD24C9">
            <w:pPr>
              <w:spacing w:line="214" w:lineRule="auto"/>
              <w:jc w:val="center"/>
            </w:pPr>
            <w:r>
              <w:t>1.01</w:t>
            </w:r>
            <w:r>
              <w:br/>
              <w:t>(0.86 to 1.18)</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7"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8"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9" w14:textId="77777777" w:rsidR="00356AAF" w:rsidRDefault="00AD24C9">
            <w:pPr>
              <w:spacing w:line="214" w:lineRule="auto"/>
              <w:jc w:val="center"/>
            </w:pPr>
            <w:r>
              <w:t>Moderate agreement (71%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A"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B"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3C" w14:textId="77777777" w:rsidR="00356AAF" w:rsidRDefault="00AD24C9">
            <w:pPr>
              <w:spacing w:line="214" w:lineRule="auto"/>
              <w:jc w:val="center"/>
            </w:pPr>
            <w:r>
              <w:t>Suggestive evidence</w:t>
            </w:r>
          </w:p>
        </w:tc>
      </w:tr>
      <w:tr w:rsidR="00356AAF" w14:paraId="78E2573F"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3E"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4E"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0" w14:textId="77777777" w:rsidR="00356AAF" w:rsidRDefault="00AD24C9">
            <w:pPr>
              <w:spacing w:line="214" w:lineRule="auto"/>
            </w:pPr>
            <w:r>
              <w:t>Any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1"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2"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3" w14:textId="77777777" w:rsidR="00356AAF" w:rsidRDefault="00AD24C9">
            <w:pPr>
              <w:spacing w:line="214" w:lineRule="auto"/>
              <w:jc w:val="center"/>
            </w:pPr>
            <w:r>
              <w:t>1.07</w:t>
            </w:r>
            <w:r>
              <w:br/>
              <w:t>(0.95 to 1.22)</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4" w14:textId="77777777" w:rsidR="00356AAF" w:rsidRDefault="00AD24C9">
            <w:pPr>
              <w:spacing w:line="214" w:lineRule="auto"/>
              <w:jc w:val="center"/>
            </w:pPr>
            <w:r>
              <w:t>0.260</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5" w14:textId="77777777" w:rsidR="00356AAF" w:rsidRDefault="00AD24C9">
            <w:pPr>
              <w:spacing w:line="214" w:lineRule="auto"/>
              <w:jc w:val="center"/>
            </w:pPr>
            <w:r>
              <w:t>1.31</w:t>
            </w:r>
            <w:r>
              <w:br/>
              <w:t>(1.06 to 1.63)</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6"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7" w14:textId="77777777" w:rsidR="00356AAF" w:rsidRDefault="00AD24C9">
            <w:pPr>
              <w:spacing w:line="214" w:lineRule="auto"/>
              <w:jc w:val="center"/>
            </w:pPr>
            <w:r>
              <w:t>0.98</w:t>
            </w:r>
            <w:r>
              <w:br/>
              <w:t>(0.84 to 1.15)</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8"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9"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A" w14:textId="77777777" w:rsidR="00356AAF" w:rsidRDefault="00AD24C9">
            <w:pPr>
              <w:spacing w:line="214" w:lineRule="auto"/>
              <w:jc w:val="center"/>
            </w:pPr>
            <w:r>
              <w:t>Moderate agreement (71%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B"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C"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4D" w14:textId="77777777" w:rsidR="00356AAF" w:rsidRDefault="00AD24C9">
            <w:pPr>
              <w:spacing w:line="214" w:lineRule="auto"/>
              <w:jc w:val="center"/>
            </w:pPr>
            <w:r>
              <w:t>Suggestive evidence</w:t>
            </w:r>
          </w:p>
        </w:tc>
      </w:tr>
      <w:tr w:rsidR="00356AAF" w14:paraId="78E25750"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4F"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5F"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1" w14:textId="77777777" w:rsidR="00356AAF" w:rsidRDefault="00AD24C9">
            <w:pPr>
              <w:spacing w:line="214" w:lineRule="auto"/>
            </w:pPr>
            <w:r>
              <w:t>Intracerebral hemorrhage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2"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3"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4" w14:textId="77777777" w:rsidR="00356AAF" w:rsidRDefault="00AD24C9">
            <w:pPr>
              <w:spacing w:line="214" w:lineRule="auto"/>
              <w:jc w:val="center"/>
            </w:pPr>
            <w:r>
              <w:t>0.75</w:t>
            </w:r>
            <w:r>
              <w:br/>
              <w:t>(0.47 to 1.21)</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5" w14:textId="77777777" w:rsidR="00356AAF" w:rsidRDefault="00AD24C9">
            <w:pPr>
              <w:spacing w:line="214" w:lineRule="auto"/>
              <w:jc w:val="center"/>
            </w:pPr>
            <w:r>
              <w:t>0.241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6" w14:textId="77777777" w:rsidR="00356AAF" w:rsidRDefault="00AD24C9">
            <w:pPr>
              <w:spacing w:line="214" w:lineRule="auto"/>
              <w:jc w:val="center"/>
            </w:pPr>
            <w:r>
              <w:t>1.01</w:t>
            </w:r>
            <w:r>
              <w:br/>
              <w:t>(0.47 to 2.18)</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7"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8" w14:textId="77777777" w:rsidR="00356AAF" w:rsidRDefault="00AD24C9">
            <w:pPr>
              <w:spacing w:line="214" w:lineRule="auto"/>
              <w:jc w:val="center"/>
            </w:pPr>
            <w:r>
              <w:t>0.65</w:t>
            </w:r>
            <w:r>
              <w:br/>
              <w:t>(0.36 to 1.17)</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9"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A"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B"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C"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D"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5E" w14:textId="77777777" w:rsidR="00356AAF" w:rsidRDefault="00AD24C9">
            <w:pPr>
              <w:spacing w:line="214" w:lineRule="auto"/>
              <w:jc w:val="center"/>
            </w:pPr>
            <w:r>
              <w:t>Suggestive evidence</w:t>
            </w:r>
          </w:p>
        </w:tc>
      </w:tr>
      <w:tr w:rsidR="00356AAF" w14:paraId="78E25761"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60"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70"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2" w14:textId="77777777" w:rsidR="00356AAF" w:rsidRDefault="00AD24C9">
            <w:pPr>
              <w:spacing w:line="214" w:lineRule="auto"/>
            </w:pPr>
            <w:r>
              <w:t>Any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3"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4"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5" w14:textId="77777777" w:rsidR="00356AAF" w:rsidRDefault="00AD24C9">
            <w:pPr>
              <w:spacing w:line="214" w:lineRule="auto"/>
              <w:jc w:val="center"/>
            </w:pPr>
            <w:r>
              <w:t>1.04</w:t>
            </w:r>
            <w:r>
              <w:br/>
              <w:t>(0.92 to 1.18)</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6" w14:textId="77777777" w:rsidR="00356AAF" w:rsidRDefault="00AD24C9">
            <w:pPr>
              <w:spacing w:line="214" w:lineRule="auto"/>
              <w:jc w:val="center"/>
            </w:pPr>
            <w:r>
              <w:t>0.504</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7" w14:textId="77777777" w:rsidR="00356AAF" w:rsidRDefault="00AD24C9">
            <w:pPr>
              <w:spacing w:line="214" w:lineRule="auto"/>
              <w:jc w:val="center"/>
            </w:pPr>
            <w:r>
              <w:t>1.31</w:t>
            </w:r>
            <w:r>
              <w:br/>
              <w:t>(1.06 to 1.61)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8"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9" w14:textId="77777777" w:rsidR="00356AAF" w:rsidRDefault="00AD24C9">
            <w:pPr>
              <w:spacing w:line="214" w:lineRule="auto"/>
              <w:jc w:val="center"/>
            </w:pPr>
            <w:r>
              <w:t>0.94</w:t>
            </w:r>
            <w:r>
              <w:br/>
              <w:t>(0.81 to 1.09)</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A"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B"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C" w14:textId="77777777" w:rsidR="00356AAF" w:rsidRDefault="00AD24C9">
            <w:pPr>
              <w:spacing w:line="214" w:lineRule="auto"/>
              <w:jc w:val="center"/>
            </w:pPr>
            <w:r>
              <w:t>Moderate agreement (71%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D"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E"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6F" w14:textId="77777777" w:rsidR="00356AAF" w:rsidRDefault="00AD24C9">
            <w:pPr>
              <w:spacing w:line="214" w:lineRule="auto"/>
              <w:jc w:val="center"/>
            </w:pPr>
            <w:r>
              <w:t>Suggestive evidence</w:t>
            </w:r>
          </w:p>
        </w:tc>
      </w:tr>
      <w:tr w:rsidR="00356AAF" w14:paraId="78E25772"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71"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81"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3" w14:textId="77777777" w:rsidR="00356AAF" w:rsidRDefault="00AD24C9">
            <w:pPr>
              <w:spacing w:line="214" w:lineRule="auto"/>
            </w:pPr>
            <w:r>
              <w:t>All-cause death</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4"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5"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6" w14:textId="77777777" w:rsidR="00356AAF" w:rsidRDefault="00AD24C9">
            <w:pPr>
              <w:spacing w:line="214" w:lineRule="auto"/>
              <w:jc w:val="center"/>
            </w:pPr>
            <w:r>
              <w:t>0.61</w:t>
            </w:r>
            <w:r>
              <w:br/>
              <w:t>(0.54 to 0.69)</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7"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8" w14:textId="77777777" w:rsidR="00356AAF" w:rsidRDefault="00AD24C9">
            <w:pPr>
              <w:spacing w:line="214" w:lineRule="auto"/>
              <w:jc w:val="center"/>
            </w:pPr>
            <w:r>
              <w:t>1.12</w:t>
            </w:r>
            <w:r>
              <w:br/>
              <w:t>(0.69 to 1.82)</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9"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A" w14:textId="77777777" w:rsidR="00356AAF" w:rsidRDefault="00AD24C9">
            <w:pPr>
              <w:spacing w:line="214" w:lineRule="auto"/>
              <w:jc w:val="center"/>
            </w:pPr>
            <w:r>
              <w:t>0.58</w:t>
            </w:r>
            <w:r>
              <w:br/>
              <w:t>(0.51 to 0.67)</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B"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C"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D"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E"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7F"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0" w14:textId="77777777" w:rsidR="00356AAF" w:rsidRDefault="00AD24C9">
            <w:pPr>
              <w:spacing w:line="214" w:lineRule="auto"/>
              <w:jc w:val="center"/>
            </w:pPr>
            <w:r>
              <w:t>Suggestive evidence</w:t>
            </w:r>
          </w:p>
        </w:tc>
      </w:tr>
      <w:tr w:rsidR="00356AAF" w14:paraId="78E25783"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82"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92"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4" w14:textId="77777777" w:rsidR="00356AAF" w:rsidRDefault="00AD24C9">
            <w:pPr>
              <w:spacing w:line="214" w:lineRule="auto"/>
            </w:pPr>
            <w:r>
              <w:t>Stroke or death composite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5"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6"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7" w14:textId="77777777" w:rsidR="00356AAF" w:rsidRDefault="00AD24C9">
            <w:pPr>
              <w:spacing w:line="214" w:lineRule="auto"/>
              <w:jc w:val="center"/>
            </w:pPr>
            <w:r>
              <w:t>0.82</w:t>
            </w:r>
            <w:r>
              <w:br/>
              <w:t>(0.75 to 0.89)</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8"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9" w14:textId="77777777" w:rsidR="00356AAF" w:rsidRDefault="00AD24C9">
            <w:pPr>
              <w:spacing w:line="214" w:lineRule="auto"/>
              <w:jc w:val="center"/>
            </w:pPr>
            <w:r>
              <w:t>1.29</w:t>
            </w:r>
            <w:r>
              <w:br/>
              <w:t>(1.06 to 1.56)</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A"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B" w14:textId="77777777" w:rsidR="00356AAF" w:rsidRDefault="00AD24C9">
            <w:pPr>
              <w:spacing w:line="214" w:lineRule="auto"/>
              <w:jc w:val="center"/>
            </w:pPr>
            <w:r>
              <w:t>0.73</w:t>
            </w:r>
            <w:r>
              <w:br/>
              <w:t>(0.66 to 0.81)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C"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D"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E"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8F"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0"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1" w14:textId="77777777" w:rsidR="00356AAF" w:rsidRDefault="00AD24C9">
            <w:pPr>
              <w:spacing w:line="214" w:lineRule="auto"/>
              <w:jc w:val="center"/>
            </w:pPr>
            <w:r>
              <w:t>Suggestive evidence</w:t>
            </w:r>
          </w:p>
        </w:tc>
      </w:tr>
      <w:tr w:rsidR="00356AAF" w14:paraId="78E25794"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93"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96" w14:textId="77777777">
        <w:tblPrEx>
          <w:tblCellMar>
            <w:top w:w="0" w:type="dxa"/>
            <w:bottom w:w="0" w:type="dxa"/>
          </w:tblCellMar>
        </w:tblPrEx>
        <w:trPr>
          <w:cantSplit/>
        </w:trPr>
        <w:tc>
          <w:tcPr>
            <w:tcW w:w="14670" w:type="dxa"/>
            <w:gridSpan w:val="14"/>
            <w:tcBorders>
              <w:top w:val="none" w:sz="0" w:space="0" w:color="FFFFFF"/>
              <w:left w:val="none" w:sz="0" w:space="0" w:color="FFFFFF"/>
              <w:bottom w:val="none" w:sz="0" w:space="0" w:color="FFFFFF"/>
              <w:right w:val="none" w:sz="0" w:space="0" w:color="FFFFFF"/>
            </w:tcBorders>
            <w:shd w:val="clear" w:color="auto" w:fill="D9D9D9"/>
            <w:tcMar>
              <w:top w:w="28" w:type="dxa"/>
              <w:left w:w="60" w:type="dxa"/>
              <w:bottom w:w="28" w:type="dxa"/>
              <w:right w:w="60" w:type="dxa"/>
            </w:tcMar>
            <w:vAlign w:val="center"/>
          </w:tcPr>
          <w:p w14:paraId="78E25795" w14:textId="77777777" w:rsidR="00356AAF" w:rsidRDefault="00AD24C9">
            <w:pPr>
              <w:spacing w:line="214" w:lineRule="auto"/>
              <w:jc w:val="center"/>
            </w:pPr>
            <w:r>
              <w:rPr>
                <w:b/>
                <w:bCs/>
              </w:rPr>
              <w:t>CEA versus IMM</w:t>
            </w:r>
          </w:p>
        </w:tc>
      </w:tr>
      <w:tr w:rsidR="00356AAF" w14:paraId="78E257A5"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7" w14:textId="77777777" w:rsidR="00356AAF" w:rsidRDefault="00AD24C9">
            <w:pPr>
              <w:spacing w:line="214" w:lineRule="auto"/>
            </w:pPr>
            <w:r>
              <w:t>Anterior-circulation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8"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9"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A" w14:textId="77777777" w:rsidR="00356AAF" w:rsidRDefault="00AD24C9">
            <w:pPr>
              <w:spacing w:line="214" w:lineRule="auto"/>
              <w:jc w:val="center"/>
            </w:pPr>
            <w:r>
              <w:t>0.77</w:t>
            </w:r>
            <w:r>
              <w:br/>
              <w:t>(0.62 to 0.95)</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B" w14:textId="77777777" w:rsidR="00356AAF" w:rsidRDefault="00AD24C9">
            <w:pPr>
              <w:spacing w:line="214" w:lineRule="auto"/>
              <w:jc w:val="center"/>
            </w:pPr>
            <w:r>
              <w:t>0.014</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C" w14:textId="77777777" w:rsidR="00356AAF" w:rsidRDefault="00AD24C9">
            <w:pPr>
              <w:spacing w:line="214" w:lineRule="auto"/>
              <w:jc w:val="center"/>
            </w:pPr>
            <w:r>
              <w:t>0.83</w:t>
            </w:r>
            <w:r>
              <w:br/>
              <w:t>(0.58 to 1.20)</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D"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E" w14:textId="77777777" w:rsidR="00356AAF" w:rsidRDefault="00AD24C9">
            <w:pPr>
              <w:spacing w:line="214" w:lineRule="auto"/>
              <w:jc w:val="center"/>
            </w:pPr>
            <w:r>
              <w:t>0.73</w:t>
            </w:r>
            <w:r>
              <w:br/>
              <w:t>(0.56 to 0.95)</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9F"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0"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1"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2"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3"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4" w14:textId="77777777" w:rsidR="00356AAF" w:rsidRDefault="00AD24C9">
            <w:pPr>
              <w:spacing w:line="214" w:lineRule="auto"/>
              <w:jc w:val="center"/>
            </w:pPr>
            <w:r>
              <w:t>Strong evidence</w:t>
            </w:r>
          </w:p>
        </w:tc>
      </w:tr>
      <w:tr w:rsidR="00356AAF" w14:paraId="78E257A7"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A6"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although precision varied across periods.</w:t>
            </w:r>
          </w:p>
        </w:tc>
      </w:tr>
      <w:tr w:rsidR="00356AAF" w14:paraId="78E257B6"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8" w14:textId="77777777" w:rsidR="00356AAF" w:rsidRDefault="00AD24C9">
            <w:pPr>
              <w:spacing w:line="214" w:lineRule="auto"/>
            </w:pPr>
            <w:r>
              <w:t>Posterior-circulation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9"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A"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B" w14:textId="77777777" w:rsidR="00356AAF" w:rsidRDefault="00AD24C9">
            <w:pPr>
              <w:spacing w:line="214" w:lineRule="auto"/>
              <w:jc w:val="center"/>
            </w:pPr>
            <w:r>
              <w:t>0.61</w:t>
            </w:r>
            <w:r>
              <w:br/>
              <w:t>(0.32 to 1.14)</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C" w14:textId="77777777" w:rsidR="00356AAF" w:rsidRDefault="00AD24C9">
            <w:pPr>
              <w:spacing w:line="214" w:lineRule="auto"/>
              <w:jc w:val="center"/>
            </w:pPr>
            <w:r>
              <w:t>0.123</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D" w14:textId="77777777" w:rsidR="00356AAF" w:rsidRDefault="00AD24C9">
            <w:pPr>
              <w:spacing w:line="214" w:lineRule="auto"/>
              <w:jc w:val="center"/>
            </w:pPr>
            <w:r>
              <w:t>0.68</w:t>
            </w:r>
            <w:r>
              <w:br/>
              <w:t>(0.18 to 2.55)</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E"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AF" w14:textId="77777777" w:rsidR="00356AAF" w:rsidRDefault="00AD24C9">
            <w:pPr>
              <w:spacing w:line="214" w:lineRule="auto"/>
              <w:jc w:val="center"/>
            </w:pPr>
            <w:r>
              <w:t>0.59</w:t>
            </w:r>
            <w:r>
              <w:br/>
              <w:t>(0.29 to 1.21)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0"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1"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2" w14:textId="77777777" w:rsidR="00356AAF" w:rsidRDefault="00AD24C9">
            <w:pPr>
              <w:spacing w:line="214" w:lineRule="auto"/>
              <w:jc w:val="center"/>
            </w:pPr>
            <w:r>
              <w:t>High agreement (86%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3"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4"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5" w14:textId="77777777" w:rsidR="00356AAF" w:rsidRDefault="00AD24C9">
            <w:pPr>
              <w:spacing w:line="214" w:lineRule="auto"/>
              <w:jc w:val="center"/>
            </w:pPr>
            <w:r>
              <w:t>Suggestive evidence</w:t>
            </w:r>
          </w:p>
        </w:tc>
      </w:tr>
      <w:tr w:rsidR="00356AAF" w14:paraId="78E257B8"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B7"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Treatment was directionally associated with lower risk overall, early, and late, although precision varied across periods.</w:t>
            </w:r>
          </w:p>
        </w:tc>
      </w:tr>
      <w:tr w:rsidR="00356AAF" w14:paraId="78E257C7"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9" w14:textId="77777777" w:rsidR="00356AAF" w:rsidRDefault="00AD24C9">
            <w:pPr>
              <w:spacing w:line="214" w:lineRule="auto"/>
            </w:pPr>
            <w:r>
              <w:lastRenderedPageBreak/>
              <w:t>Ischemic stroke, location unspecified</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A"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B"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C" w14:textId="77777777" w:rsidR="00356AAF" w:rsidRDefault="00AD24C9">
            <w:pPr>
              <w:spacing w:line="214" w:lineRule="auto"/>
              <w:jc w:val="center"/>
            </w:pPr>
            <w:r>
              <w:t>0.83</w:t>
            </w:r>
            <w:r>
              <w:br/>
              <w:t>(0.76 to 0.91)</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D"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E" w14:textId="77777777" w:rsidR="00356AAF" w:rsidRDefault="00AD24C9">
            <w:pPr>
              <w:spacing w:line="214" w:lineRule="auto"/>
              <w:jc w:val="center"/>
            </w:pPr>
            <w:r>
              <w:t>0.82</w:t>
            </w:r>
            <w:r>
              <w:br/>
              <w:t>(0.70 to 0.97)</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BF"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0" w14:textId="77777777" w:rsidR="00356AAF" w:rsidRDefault="00AD24C9">
            <w:pPr>
              <w:spacing w:line="214" w:lineRule="auto"/>
              <w:jc w:val="center"/>
            </w:pPr>
            <w:r>
              <w:t>0.84</w:t>
            </w:r>
            <w:r>
              <w:br/>
              <w:t>(0.75 to 0.93)</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1"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2"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3"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4"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5"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6" w14:textId="77777777" w:rsidR="00356AAF" w:rsidRDefault="00AD24C9">
            <w:pPr>
              <w:spacing w:line="214" w:lineRule="auto"/>
              <w:jc w:val="center"/>
            </w:pPr>
            <w:r>
              <w:t>Strong evidence</w:t>
            </w:r>
          </w:p>
        </w:tc>
      </w:tr>
      <w:tr w:rsidR="00356AAF" w14:paraId="78E257C9"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C8"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with statistically significant estimates across periods.</w:t>
            </w:r>
          </w:p>
        </w:tc>
      </w:tr>
      <w:tr w:rsidR="00356AAF" w14:paraId="78E257D8"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A" w14:textId="77777777" w:rsidR="00356AAF" w:rsidRDefault="00AD24C9">
            <w:pPr>
              <w:spacing w:line="214" w:lineRule="auto"/>
            </w:pPr>
            <w:r>
              <w:t>Any ischemic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B"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C"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D" w14:textId="77777777" w:rsidR="00356AAF" w:rsidRDefault="00AD24C9">
            <w:pPr>
              <w:spacing w:line="214" w:lineRule="auto"/>
              <w:jc w:val="center"/>
            </w:pPr>
            <w:r>
              <w:t>0.83</w:t>
            </w:r>
            <w:r>
              <w:br/>
              <w:t>(0.76 to 0.91)</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E"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CF" w14:textId="77777777" w:rsidR="00356AAF" w:rsidRDefault="00AD24C9">
            <w:pPr>
              <w:spacing w:line="214" w:lineRule="auto"/>
              <w:jc w:val="center"/>
            </w:pPr>
            <w:r>
              <w:t>0.84</w:t>
            </w:r>
            <w:r>
              <w:br/>
              <w:t>(0.72 to 0.98)</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0"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1" w14:textId="77777777" w:rsidR="00356AAF" w:rsidRDefault="00AD24C9">
            <w:pPr>
              <w:spacing w:line="214" w:lineRule="auto"/>
              <w:jc w:val="center"/>
            </w:pPr>
            <w:r>
              <w:t>0.83</w:t>
            </w:r>
            <w:r>
              <w:br/>
              <w:t>(0.75 to 0.92)</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2"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3"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4"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5"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6"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7" w14:textId="77777777" w:rsidR="00356AAF" w:rsidRDefault="00AD24C9">
            <w:pPr>
              <w:spacing w:line="214" w:lineRule="auto"/>
              <w:jc w:val="center"/>
            </w:pPr>
            <w:r>
              <w:t>Strong evidence</w:t>
            </w:r>
          </w:p>
        </w:tc>
      </w:tr>
      <w:tr w:rsidR="00356AAF" w14:paraId="78E257DA"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D9"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with statistically significant estimates across periods.</w:t>
            </w:r>
          </w:p>
        </w:tc>
      </w:tr>
      <w:tr w:rsidR="00356AAF" w14:paraId="78E257E9"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B" w14:textId="77777777" w:rsidR="00356AAF" w:rsidRDefault="00AD24C9">
            <w:pPr>
              <w:spacing w:line="214" w:lineRule="auto"/>
            </w:pPr>
            <w:r>
              <w:t>Intracerebral hemorrhage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C"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D"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E" w14:textId="77777777" w:rsidR="00356AAF" w:rsidRDefault="00AD24C9">
            <w:pPr>
              <w:spacing w:line="214" w:lineRule="auto"/>
              <w:jc w:val="center"/>
            </w:pPr>
            <w:r>
              <w:t>0.74</w:t>
            </w:r>
            <w:r>
              <w:br/>
              <w:t>(0.54 to 1.02)</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DF" w14:textId="77777777" w:rsidR="00356AAF" w:rsidRDefault="00AD24C9">
            <w:pPr>
              <w:spacing w:line="214" w:lineRule="auto"/>
              <w:jc w:val="center"/>
            </w:pPr>
            <w:r>
              <w:t>0.066</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0" w14:textId="77777777" w:rsidR="00356AAF" w:rsidRDefault="00AD24C9">
            <w:pPr>
              <w:spacing w:line="214" w:lineRule="auto"/>
              <w:jc w:val="center"/>
            </w:pPr>
            <w:r>
              <w:t>1.03</w:t>
            </w:r>
            <w:r>
              <w:br/>
              <w:t>(0.63 to 1.68)</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1"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2" w14:textId="77777777" w:rsidR="00356AAF" w:rsidRDefault="00AD24C9">
            <w:pPr>
              <w:spacing w:line="214" w:lineRule="auto"/>
              <w:jc w:val="center"/>
            </w:pPr>
            <w:r>
              <w:t>0.60</w:t>
            </w:r>
            <w:r>
              <w:br/>
              <w:t>(0.40 to 0.90)</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3"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4"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5" w14:textId="77777777" w:rsidR="00356AAF" w:rsidRDefault="00AD24C9">
            <w:pPr>
              <w:spacing w:line="214" w:lineRule="auto"/>
              <w:jc w:val="center"/>
            </w:pPr>
            <w:r>
              <w:t>High agreement (86%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6"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7"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8" w14:textId="77777777" w:rsidR="00356AAF" w:rsidRDefault="00AD24C9">
            <w:pPr>
              <w:spacing w:line="214" w:lineRule="auto"/>
              <w:jc w:val="center"/>
            </w:pPr>
            <w:r>
              <w:t>Suggestive evidence</w:t>
            </w:r>
          </w:p>
        </w:tc>
      </w:tr>
      <w:tr w:rsidR="00356AAF" w14:paraId="78E257EB"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EA"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7FA"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C" w14:textId="77777777" w:rsidR="00356AAF" w:rsidRDefault="00AD24C9">
            <w:pPr>
              <w:spacing w:line="214" w:lineRule="auto"/>
            </w:pPr>
            <w:r>
              <w:t>Any stroke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D"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E"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EF" w14:textId="77777777" w:rsidR="00356AAF" w:rsidRDefault="00AD24C9">
            <w:pPr>
              <w:spacing w:line="214" w:lineRule="auto"/>
              <w:jc w:val="center"/>
            </w:pPr>
            <w:r>
              <w:t>0.83</w:t>
            </w:r>
            <w:r>
              <w:br/>
              <w:t>(0.76 to 0.90)</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0"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1" w14:textId="77777777" w:rsidR="00356AAF" w:rsidRDefault="00AD24C9">
            <w:pPr>
              <w:spacing w:line="214" w:lineRule="auto"/>
              <w:jc w:val="center"/>
            </w:pPr>
            <w:r>
              <w:t>0.87</w:t>
            </w:r>
            <w:r>
              <w:br/>
              <w:t>(0.75 to 1.01)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2"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3" w14:textId="77777777" w:rsidR="00356AAF" w:rsidRDefault="00AD24C9">
            <w:pPr>
              <w:spacing w:line="214" w:lineRule="auto"/>
              <w:jc w:val="center"/>
            </w:pPr>
            <w:r>
              <w:t>0.81</w:t>
            </w:r>
            <w:r>
              <w:br/>
              <w:t>(0.73 to 0.90)</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4"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5"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6"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7"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8"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9" w14:textId="77777777" w:rsidR="00356AAF" w:rsidRDefault="00AD24C9">
            <w:pPr>
              <w:spacing w:line="214" w:lineRule="auto"/>
              <w:jc w:val="center"/>
            </w:pPr>
            <w:r>
              <w:t>Strong evidence</w:t>
            </w:r>
          </w:p>
        </w:tc>
      </w:tr>
      <w:tr w:rsidR="00356AAF" w14:paraId="78E257FC"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7FB"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although precision varied across periods.</w:t>
            </w:r>
          </w:p>
        </w:tc>
      </w:tr>
      <w:tr w:rsidR="00356AAF" w14:paraId="78E2580B"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D" w14:textId="77777777" w:rsidR="00356AAF" w:rsidRDefault="00AD24C9">
            <w:pPr>
              <w:spacing w:line="214" w:lineRule="auto"/>
            </w:pPr>
            <w:r>
              <w:t>All-cause death</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E"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7FF"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0" w14:textId="77777777" w:rsidR="00356AAF" w:rsidRDefault="00AD24C9">
            <w:pPr>
              <w:spacing w:line="214" w:lineRule="auto"/>
              <w:jc w:val="center"/>
            </w:pPr>
            <w:r>
              <w:t>0.63</w:t>
            </w:r>
            <w:r>
              <w:br/>
              <w:t>(0.59 to 0.69)</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1"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2" w14:textId="77777777" w:rsidR="00356AAF" w:rsidRDefault="00AD24C9">
            <w:pPr>
              <w:spacing w:line="214" w:lineRule="auto"/>
              <w:jc w:val="center"/>
            </w:pPr>
            <w:r>
              <w:t>1.40</w:t>
            </w:r>
            <w:r>
              <w:br/>
              <w:t>(1.03 to 1.91)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3" w14:textId="77777777" w:rsidR="00356AAF" w:rsidRDefault="00AD24C9">
            <w:pPr>
              <w:spacing w:line="214" w:lineRule="auto"/>
              <w:jc w:val="center"/>
            </w:pPr>
            <w:r>
              <w:t>Favors IMM</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4" w14:textId="77777777" w:rsidR="00356AAF" w:rsidRDefault="00AD24C9">
            <w:pPr>
              <w:spacing w:line="214" w:lineRule="auto"/>
              <w:jc w:val="center"/>
            </w:pPr>
            <w:r>
              <w:t>0.60</w:t>
            </w:r>
            <w:r>
              <w:br/>
              <w:t>(0.55 to 0.65)</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5"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6" w14:textId="77777777" w:rsidR="00356AAF" w:rsidRDefault="00AD24C9">
            <w:pPr>
              <w:spacing w:line="214" w:lineRule="auto"/>
              <w:jc w:val="center"/>
            </w:pPr>
            <w:r>
              <w:t>Inconsistent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7"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8" w14:textId="77777777" w:rsidR="00356AAF" w:rsidRDefault="00AD24C9">
            <w:pPr>
              <w:spacing w:line="214" w:lineRule="auto"/>
              <w:jc w:val="center"/>
            </w:pPr>
            <w:r>
              <w:t>Limited robustness</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9" w14:textId="77777777" w:rsidR="00356AAF" w:rsidRDefault="00AD24C9">
            <w:pPr>
              <w:spacing w:line="214" w:lineRule="auto"/>
              <w:jc w:val="center"/>
            </w:pPr>
            <w:r>
              <w:t>Grade C</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A" w14:textId="77777777" w:rsidR="00356AAF" w:rsidRDefault="00AD24C9">
            <w:pPr>
              <w:spacing w:line="214" w:lineRule="auto"/>
              <w:jc w:val="center"/>
            </w:pPr>
            <w:r>
              <w:t>Suggestive evidence</w:t>
            </w:r>
          </w:p>
        </w:tc>
      </w:tr>
      <w:tr w:rsidR="00356AAF" w14:paraId="78E2580D"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3" w:space="0" w:color="808080"/>
              <w:right w:val="none" w:sz="0" w:space="0" w:color="FFFFFF"/>
            </w:tcBorders>
            <w:tcMar>
              <w:top w:w="28" w:type="dxa"/>
              <w:left w:w="60" w:type="dxa"/>
              <w:bottom w:w="28" w:type="dxa"/>
              <w:right w:w="60" w:type="dxa"/>
            </w:tcMar>
            <w:vAlign w:val="center"/>
          </w:tcPr>
          <w:p w14:paraId="78E2580C" w14:textId="77777777" w:rsidR="00356AAF" w:rsidRDefault="00AD24C9">
            <w:pPr>
              <w:spacing w:line="214" w:lineRule="auto"/>
            </w:pPr>
            <w:r>
              <w:rPr>
                <w:b/>
                <w:bCs/>
                <w:i/>
                <w:iCs/>
                <w:sz w:val="15"/>
                <w:szCs w:val="15"/>
              </w:rPr>
              <w:t xml:space="preserve">Evidence summary: </w:t>
            </w:r>
            <w:r>
              <w:rPr>
                <w:i/>
                <w:iCs/>
                <w:sz w:val="15"/>
                <w:szCs w:val="15"/>
              </w:rPr>
              <w:t>Suggestive evidence; temporal inconsistency or sensitivity variation limits confidence in a stable effect. Endpoint interpretation: The temporal pattern suggests an early procedural disadvantage followed by lower post-landmark risk with treatment.</w:t>
            </w:r>
          </w:p>
        </w:tc>
      </w:tr>
      <w:tr w:rsidR="00356AAF" w14:paraId="78E2581C" w14:textId="77777777">
        <w:tblPrEx>
          <w:tblCellMar>
            <w:top w:w="0" w:type="dxa"/>
            <w:bottom w:w="0" w:type="dxa"/>
          </w:tblCellMar>
        </w:tblPrEx>
        <w:trPr>
          <w:cantSplit/>
        </w:trPr>
        <w:tc>
          <w:tcPr>
            <w:tcW w:w="16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E" w14:textId="77777777" w:rsidR="00356AAF" w:rsidRDefault="00AD24C9">
            <w:pPr>
              <w:spacing w:line="214" w:lineRule="auto"/>
            </w:pPr>
            <w:r>
              <w:t>Stroke or death composite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0F" w14:textId="77777777" w:rsidR="00356AAF" w:rsidRDefault="00AD24C9">
            <w:pPr>
              <w:spacing w:line="214" w:lineRule="auto"/>
              <w:jc w:val="center"/>
            </w:pPr>
            <w:r>
              <w:t>NE</w:t>
            </w:r>
          </w:p>
        </w:tc>
        <w:tc>
          <w:tcPr>
            <w:tcW w:w="5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0" w14:textId="77777777" w:rsidR="00356AAF" w:rsidRDefault="00AD24C9">
            <w:pPr>
              <w:spacing w:line="214" w:lineRule="auto"/>
              <w:jc w:val="center"/>
            </w:pPr>
            <w:r>
              <w:t>NE</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1" w14:textId="77777777" w:rsidR="00356AAF" w:rsidRDefault="00AD24C9">
            <w:pPr>
              <w:spacing w:line="214" w:lineRule="auto"/>
              <w:jc w:val="center"/>
            </w:pPr>
            <w:r>
              <w:t>0.72</w:t>
            </w:r>
            <w:r>
              <w:br/>
              <w:t>(0.68 to 0.77)</w:t>
            </w:r>
          </w:p>
        </w:tc>
        <w:tc>
          <w:tcPr>
            <w:tcW w:w="64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2" w14:textId="77777777" w:rsidR="00356AAF" w:rsidRDefault="00AD24C9">
            <w:pPr>
              <w:spacing w:line="214" w:lineRule="auto"/>
              <w:jc w:val="center"/>
            </w:pPr>
            <w:r>
              <w:t>&lt;0.001</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3" w14:textId="77777777" w:rsidR="00356AAF" w:rsidRDefault="00AD24C9">
            <w:pPr>
              <w:spacing w:line="214" w:lineRule="auto"/>
              <w:jc w:val="center"/>
            </w:pPr>
            <w:r>
              <w:t>0.97</w:t>
            </w:r>
            <w:r>
              <w:br/>
              <w:t>(0.85 to 1.11)</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4"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5" w14:textId="77777777" w:rsidR="00356AAF" w:rsidRDefault="00AD24C9">
            <w:pPr>
              <w:spacing w:line="214" w:lineRule="auto"/>
              <w:jc w:val="center"/>
            </w:pPr>
            <w:r>
              <w:t>0.68</w:t>
            </w:r>
            <w:r>
              <w:br/>
              <w:t>(0.63 to 0.72)</w:t>
            </w:r>
          </w:p>
        </w:tc>
        <w:tc>
          <w:tcPr>
            <w:tcW w:w="9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6" w14:textId="77777777" w:rsidR="00356AAF" w:rsidRDefault="00AD24C9">
            <w:pPr>
              <w:spacing w:line="214" w:lineRule="auto"/>
              <w:jc w:val="center"/>
            </w:pPr>
            <w:r>
              <w:t>Favors treatment</w:t>
            </w:r>
          </w:p>
        </w:tc>
        <w:tc>
          <w:tcPr>
            <w:tcW w:w="108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7" w14:textId="77777777" w:rsidR="00356AAF" w:rsidRDefault="00AD24C9">
            <w:pPr>
              <w:spacing w:line="214" w:lineRule="auto"/>
              <w:jc w:val="center"/>
            </w:pPr>
            <w:r>
              <w:t>Consistent</w:t>
            </w:r>
          </w:p>
        </w:tc>
        <w:tc>
          <w:tcPr>
            <w:tcW w:w="17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8" w14:textId="77777777" w:rsidR="00356AAF" w:rsidRDefault="00AD24C9">
            <w:pPr>
              <w:spacing w:line="214" w:lineRule="auto"/>
              <w:jc w:val="center"/>
            </w:pPr>
            <w:r>
              <w:t>Complete agreement (100% direction agreement)</w:t>
            </w:r>
          </w:p>
        </w:tc>
        <w:tc>
          <w:tcPr>
            <w:tcW w:w="125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9" w14:textId="77777777" w:rsidR="00356AAF" w:rsidRDefault="00AD24C9">
            <w:pPr>
              <w:spacing w:line="214" w:lineRule="auto"/>
              <w:jc w:val="center"/>
            </w:pPr>
            <w:r>
              <w:t>Highly robust</w:t>
            </w:r>
          </w:p>
        </w:tc>
        <w:tc>
          <w:tcPr>
            <w:tcW w:w="72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A" w14:textId="77777777" w:rsidR="00356AAF" w:rsidRDefault="00AD24C9">
            <w:pPr>
              <w:spacing w:line="214" w:lineRule="auto"/>
              <w:jc w:val="center"/>
            </w:pPr>
            <w:r>
              <w:t>Grade A</w:t>
            </w:r>
          </w:p>
        </w:tc>
        <w:tc>
          <w:tcPr>
            <w:tcW w:w="1300" w:type="dxa"/>
            <w:tcBorders>
              <w:top w:val="none" w:sz="0" w:space="0" w:color="FFFFFF"/>
              <w:left w:val="none" w:sz="0" w:space="0" w:color="FFFFFF"/>
              <w:bottom w:val="none" w:sz="0" w:space="0" w:color="FFFFFF"/>
              <w:right w:val="none" w:sz="0" w:space="0" w:color="FFFFFF"/>
            </w:tcBorders>
            <w:tcMar>
              <w:top w:w="28" w:type="dxa"/>
              <w:left w:w="60" w:type="dxa"/>
              <w:bottom w:w="28" w:type="dxa"/>
              <w:right w:w="60" w:type="dxa"/>
            </w:tcMar>
            <w:vAlign w:val="center"/>
          </w:tcPr>
          <w:p w14:paraId="78E2581B" w14:textId="77777777" w:rsidR="00356AAF" w:rsidRDefault="00AD24C9">
            <w:pPr>
              <w:spacing w:line="214" w:lineRule="auto"/>
              <w:jc w:val="center"/>
            </w:pPr>
            <w:r>
              <w:t>Strong evidence</w:t>
            </w:r>
          </w:p>
        </w:tc>
      </w:tr>
      <w:tr w:rsidR="00356AAF" w14:paraId="78E2581E" w14:textId="77777777">
        <w:tblPrEx>
          <w:tblCellMar>
            <w:top w:w="0" w:type="dxa"/>
            <w:bottom w:w="0" w:type="dxa"/>
          </w:tblCellMar>
        </w:tblPrEx>
        <w:trPr>
          <w:cantSplit/>
        </w:trPr>
        <w:tc>
          <w:tcPr>
            <w:tcW w:w="14670" w:type="dxa"/>
            <w:gridSpan w:val="14"/>
            <w:tcBorders>
              <w:top w:val="none" w:sz="0" w:space="0" w:color="FFFFFF"/>
              <w:left w:val="none" w:sz="0" w:space="0" w:color="FFFFFF"/>
              <w:bottom w:val="single" w:sz="12" w:space="0" w:color="000000"/>
              <w:right w:val="none" w:sz="0" w:space="0" w:color="FFFFFF"/>
            </w:tcBorders>
            <w:tcMar>
              <w:top w:w="28" w:type="dxa"/>
              <w:left w:w="60" w:type="dxa"/>
              <w:bottom w:w="28" w:type="dxa"/>
              <w:right w:w="60" w:type="dxa"/>
            </w:tcMar>
            <w:vAlign w:val="center"/>
          </w:tcPr>
          <w:p w14:paraId="78E2581D" w14:textId="77777777" w:rsidR="00356AAF" w:rsidRDefault="00AD24C9">
            <w:pPr>
              <w:spacing w:line="214" w:lineRule="auto"/>
            </w:pPr>
            <w:r>
              <w:rPr>
                <w:b/>
                <w:bCs/>
                <w:i/>
                <w:iCs/>
                <w:sz w:val="15"/>
                <w:szCs w:val="15"/>
              </w:rPr>
              <w:t xml:space="preserve">Evidence summary: </w:t>
            </w:r>
            <w:r>
              <w:rPr>
                <w:i/>
                <w:iCs/>
                <w:sz w:val="15"/>
                <w:szCs w:val="15"/>
              </w:rPr>
              <w:t>Strong evidence; effect direction was consistent across overall, temporal, and sensitivity analyses. Endpoint interpretation: Treatment was directionally associated with lower risk overall, early, and late, although precision varied across periods.</w:t>
            </w:r>
          </w:p>
        </w:tc>
      </w:tr>
    </w:tbl>
    <w:p w14:paraId="78E2581F" w14:textId="77777777" w:rsidR="00356AAF" w:rsidRDefault="00AD24C9">
      <w:pPr>
        <w:spacing w:before="120" w:after="60"/>
        <w:jc w:val="both"/>
      </w:pPr>
      <w:r>
        <w:rPr>
          <w:sz w:val="15"/>
          <w:szCs w:val="15"/>
        </w:rPr>
        <w:t xml:space="preserve">ATO indicates average treatment effect in the overlap population. Direction is based on the risk difference, where a negative risk difference favors the revascularization strategy and a positive risk difference favors IMM. Hazard ratios are shown only when prespecified Cox reliability criteria were satisfied. Sensitivity agreement summarizes directional concordance across seven prespecified analyses. Evidence grades are mapped directly from the unchanged robustness grade: Grade A, strong evidence; Grade B, </w:t>
      </w:r>
      <w:r>
        <w:rPr>
          <w:sz w:val="15"/>
          <w:szCs w:val="15"/>
        </w:rPr>
        <w:t>moderate evidence; Grade C, suggestive evidence; Grade D, inconclusive evidence. NE means not estimable because the effect measure or its confidence interval could not be reliably calculated under prespecified zero-event, sparse-event, or precision criteria. NE does not mean no effect and must not be interpreted as zero. Robustness and evidence grades summarize empirical stability and do not prove exchangeability, positivity, consistency, correct model specification, or absence of residual confounding.</w:t>
      </w:r>
    </w:p>
    <w:p w14:paraId="78E25820" w14:textId="77777777" w:rsidR="00356AAF" w:rsidRDefault="00AD24C9">
      <w:pPr>
        <w:jc w:val="both"/>
      </w:pPr>
      <w:r>
        <w:rPr>
          <w:b/>
          <w:bCs/>
          <w:sz w:val="15"/>
          <w:szCs w:val="15"/>
        </w:rPr>
        <w:t xml:space="preserve">Abbreviations: </w:t>
      </w:r>
      <w:r>
        <w:rPr>
          <w:sz w:val="15"/>
          <w:szCs w:val="15"/>
        </w:rPr>
        <w:t>CAS=carotid artery stenting; CEA=carotid endarterectomy; CI=confidence interval; ESS=effective sample size; HR=hazard ratio; IMM=intensive medical management; RD=risk difference; RR=risk ratio.</w:t>
      </w:r>
    </w:p>
    <w:sectPr w:rsidR="00356AAF">
      <w:pgSz w:w="15840" w:h="12240" w:orient="landscape"/>
      <w:pgMar w:top="576" w:right="576" w:bottom="576" w:left="5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7539"/>
    <w:multiLevelType w:val="hybridMultilevel"/>
    <w:tmpl w:val="C81692E4"/>
    <w:lvl w:ilvl="0" w:tplc="A3BAB300">
      <w:start w:val="1"/>
      <w:numFmt w:val="bullet"/>
      <w:lvlText w:val="●"/>
      <w:lvlJc w:val="left"/>
      <w:pPr>
        <w:ind w:left="720" w:hanging="360"/>
      </w:pPr>
    </w:lvl>
    <w:lvl w:ilvl="1" w:tplc="AC54AA5A">
      <w:start w:val="1"/>
      <w:numFmt w:val="bullet"/>
      <w:lvlText w:val="○"/>
      <w:lvlJc w:val="left"/>
      <w:pPr>
        <w:ind w:left="1440" w:hanging="360"/>
      </w:pPr>
    </w:lvl>
    <w:lvl w:ilvl="2" w:tplc="D80E219A">
      <w:start w:val="1"/>
      <w:numFmt w:val="bullet"/>
      <w:lvlText w:val="■"/>
      <w:lvlJc w:val="left"/>
      <w:pPr>
        <w:ind w:left="2160" w:hanging="360"/>
      </w:pPr>
    </w:lvl>
    <w:lvl w:ilvl="3" w:tplc="684C9536">
      <w:start w:val="1"/>
      <w:numFmt w:val="bullet"/>
      <w:lvlText w:val="●"/>
      <w:lvlJc w:val="left"/>
      <w:pPr>
        <w:ind w:left="2880" w:hanging="360"/>
      </w:pPr>
    </w:lvl>
    <w:lvl w:ilvl="4" w:tplc="B1522B22">
      <w:start w:val="1"/>
      <w:numFmt w:val="bullet"/>
      <w:lvlText w:val="○"/>
      <w:lvlJc w:val="left"/>
      <w:pPr>
        <w:ind w:left="3600" w:hanging="360"/>
      </w:pPr>
    </w:lvl>
    <w:lvl w:ilvl="5" w:tplc="0AD04864">
      <w:start w:val="1"/>
      <w:numFmt w:val="bullet"/>
      <w:lvlText w:val="■"/>
      <w:lvlJc w:val="left"/>
      <w:pPr>
        <w:ind w:left="4320" w:hanging="360"/>
      </w:pPr>
    </w:lvl>
    <w:lvl w:ilvl="6" w:tplc="82CEC1E8">
      <w:start w:val="1"/>
      <w:numFmt w:val="bullet"/>
      <w:lvlText w:val="●"/>
      <w:lvlJc w:val="left"/>
      <w:pPr>
        <w:ind w:left="5040" w:hanging="360"/>
      </w:pPr>
    </w:lvl>
    <w:lvl w:ilvl="7" w:tplc="90CC78D4">
      <w:start w:val="1"/>
      <w:numFmt w:val="bullet"/>
      <w:lvlText w:val="●"/>
      <w:lvlJc w:val="left"/>
      <w:pPr>
        <w:ind w:left="5760" w:hanging="360"/>
      </w:pPr>
    </w:lvl>
    <w:lvl w:ilvl="8" w:tplc="DF8804BE">
      <w:start w:val="1"/>
      <w:numFmt w:val="bullet"/>
      <w:lvlText w:val="●"/>
      <w:lvlJc w:val="left"/>
      <w:pPr>
        <w:ind w:left="6480" w:hanging="360"/>
      </w:pPr>
    </w:lvl>
  </w:abstractNum>
  <w:num w:numId="1" w16cid:durableId="1133333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AF"/>
    <w:rsid w:val="00356AAF"/>
    <w:rsid w:val="00A52E3F"/>
    <w:rsid w:val="00C078BC"/>
    <w:rsid w:val="00D46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56F1"/>
  <w15:docId w15:val="{32DBA495-168E-4EE2-BB23-7010EB65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6"/>
        <w:szCs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1470</Words>
  <Characters>8380</Characters>
  <Application>Microsoft Office Word</Application>
  <DocSecurity>0</DocSecurity>
  <Lines>69</Lines>
  <Paragraphs>19</Paragraphs>
  <ScaleCrop>false</ScaleCrop>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Dey, Samrat Kumar (MU-Student)</cp:lastModifiedBy>
  <cp:revision>3</cp:revision>
  <dcterms:created xsi:type="dcterms:W3CDTF">2026-08-06T20:52:00Z</dcterms:created>
  <dcterms:modified xsi:type="dcterms:W3CDTF">2026-08-19T17:14:00Z</dcterms:modified>
</cp:coreProperties>
</file>