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9B81" w14:textId="01BBF8FC" w:rsidR="00127D48" w:rsidRDefault="00FF75C1">
      <w:pPr>
        <w:spacing w:after="80"/>
      </w:pPr>
      <w:r>
        <w:rPr>
          <w:b/>
          <w:sz w:val="22"/>
        </w:rPr>
        <w:t xml:space="preserve">Supplementary </w:t>
      </w:r>
      <w:r w:rsidR="00873838">
        <w:rPr>
          <w:b/>
          <w:sz w:val="22"/>
        </w:rPr>
        <w:t xml:space="preserve">Table </w:t>
      </w:r>
      <w:r>
        <w:rPr>
          <w:b/>
          <w:sz w:val="22"/>
        </w:rPr>
        <w:t>S9</w:t>
      </w:r>
      <w:r w:rsidR="00873838">
        <w:rPr>
          <w:b/>
          <w:sz w:val="22"/>
        </w:rPr>
        <w:t>. Descriptive benchmarking of CREST-2 randomized outcomes against crude real-world EHR outcomes</w:t>
      </w:r>
    </w:p>
    <w:p w14:paraId="6607760F" w14:textId="77777777" w:rsidR="00127D48" w:rsidRDefault="00873838">
      <w:pPr>
        <w:spacing w:after="100"/>
      </w:pPr>
      <w:r>
        <w:t>Published CREST-2 outcomes are compared with unweighted outcomes observed in the final emulated EHR cohorts. This table is descriptive and does not replace the primary ATO-weighted causal analysis.</w:t>
      </w:r>
    </w:p>
    <w:tbl>
      <w:tblPr>
        <w:tblStyle w:val="TableGrid"/>
        <w:tblW w:w="0" w:type="auto"/>
        <w:jc w:val="center"/>
        <w:tblLayout w:type="fixed"/>
        <w:tblLook w:val="04A0" w:firstRow="1" w:lastRow="0" w:firstColumn="1" w:lastColumn="0" w:noHBand="0" w:noVBand="1"/>
      </w:tblPr>
      <w:tblGrid>
        <w:gridCol w:w="1138"/>
        <w:gridCol w:w="1757"/>
        <w:gridCol w:w="1411"/>
        <w:gridCol w:w="1699"/>
        <w:gridCol w:w="1800"/>
        <w:gridCol w:w="1901"/>
        <w:gridCol w:w="1958"/>
        <w:gridCol w:w="1987"/>
        <w:gridCol w:w="1123"/>
      </w:tblGrid>
      <w:tr w:rsidR="00127D48" w14:paraId="5EFF12D1" w14:textId="77777777" w:rsidTr="004820BA">
        <w:trPr>
          <w:trHeight w:val="377"/>
          <w:jc w:val="center"/>
        </w:trPr>
        <w:tc>
          <w:tcPr>
            <w:tcW w:w="1138" w:type="dxa"/>
            <w:shd w:val="clear" w:color="auto" w:fill="E7E6E6"/>
            <w:vAlign w:val="center"/>
          </w:tcPr>
          <w:p w14:paraId="47490141" w14:textId="77777777" w:rsidR="00127D48" w:rsidRDefault="00873838">
            <w:pPr>
              <w:jc w:val="center"/>
            </w:pPr>
            <w:r>
              <w:rPr>
                <w:b/>
                <w:sz w:val="14"/>
              </w:rPr>
              <w:t>Contrast</w:t>
            </w:r>
          </w:p>
        </w:tc>
        <w:tc>
          <w:tcPr>
            <w:tcW w:w="1757" w:type="dxa"/>
            <w:shd w:val="clear" w:color="auto" w:fill="E7E6E6"/>
            <w:vAlign w:val="center"/>
          </w:tcPr>
          <w:p w14:paraId="56C1F25A" w14:textId="77777777" w:rsidR="00127D48" w:rsidRDefault="00873838">
            <w:pPr>
              <w:jc w:val="center"/>
            </w:pPr>
            <w:r>
              <w:rPr>
                <w:b/>
                <w:sz w:val="14"/>
              </w:rPr>
              <w:t>Outcome / window</w:t>
            </w:r>
          </w:p>
        </w:tc>
        <w:tc>
          <w:tcPr>
            <w:tcW w:w="1411" w:type="dxa"/>
            <w:shd w:val="clear" w:color="auto" w:fill="E7E6E6"/>
            <w:vAlign w:val="center"/>
          </w:tcPr>
          <w:p w14:paraId="697B5B6E" w14:textId="77777777" w:rsidR="00127D48" w:rsidRDefault="00873838">
            <w:pPr>
              <w:jc w:val="center"/>
            </w:pPr>
            <w:r>
              <w:rPr>
                <w:b/>
                <w:sz w:val="14"/>
              </w:rPr>
              <w:t>Metric</w:t>
            </w:r>
          </w:p>
        </w:tc>
        <w:tc>
          <w:tcPr>
            <w:tcW w:w="1699" w:type="dxa"/>
            <w:shd w:val="clear" w:color="auto" w:fill="E7E6E6"/>
            <w:vAlign w:val="center"/>
          </w:tcPr>
          <w:p w14:paraId="3C6F8B04" w14:textId="77777777" w:rsidR="00127D48" w:rsidRDefault="00873838">
            <w:pPr>
              <w:jc w:val="center"/>
            </w:pPr>
            <w:r>
              <w:rPr>
                <w:b/>
                <w:sz w:val="14"/>
              </w:rPr>
              <w:t>CREST-2 IMM</w:t>
            </w:r>
          </w:p>
        </w:tc>
        <w:tc>
          <w:tcPr>
            <w:tcW w:w="1800" w:type="dxa"/>
            <w:shd w:val="clear" w:color="auto" w:fill="E7E6E6"/>
            <w:vAlign w:val="center"/>
          </w:tcPr>
          <w:p w14:paraId="1E34DC31" w14:textId="77777777" w:rsidR="00127D48" w:rsidRDefault="00873838">
            <w:pPr>
              <w:jc w:val="center"/>
            </w:pPr>
            <w:r>
              <w:rPr>
                <w:b/>
                <w:sz w:val="14"/>
              </w:rPr>
              <w:t>CREST-2 revascularization</w:t>
            </w:r>
          </w:p>
        </w:tc>
        <w:tc>
          <w:tcPr>
            <w:tcW w:w="1901" w:type="dxa"/>
            <w:shd w:val="clear" w:color="auto" w:fill="E7E6E6"/>
            <w:vAlign w:val="center"/>
          </w:tcPr>
          <w:p w14:paraId="6CEFFF11" w14:textId="77777777" w:rsidR="00127D48" w:rsidRDefault="00873838">
            <w:pPr>
              <w:jc w:val="center"/>
            </w:pPr>
            <w:r>
              <w:rPr>
                <w:b/>
                <w:sz w:val="14"/>
              </w:rPr>
              <w:t>EHR crude IMM</w:t>
            </w:r>
          </w:p>
        </w:tc>
        <w:tc>
          <w:tcPr>
            <w:tcW w:w="1958" w:type="dxa"/>
            <w:shd w:val="clear" w:color="auto" w:fill="E7E6E6"/>
            <w:vAlign w:val="center"/>
          </w:tcPr>
          <w:p w14:paraId="4E192304" w14:textId="77777777" w:rsidR="00127D48" w:rsidRDefault="00873838">
            <w:pPr>
              <w:jc w:val="center"/>
            </w:pPr>
            <w:r>
              <w:rPr>
                <w:b/>
                <w:sz w:val="14"/>
              </w:rPr>
              <w:t>EHR crude revascularization</w:t>
            </w:r>
          </w:p>
        </w:tc>
        <w:tc>
          <w:tcPr>
            <w:tcW w:w="1987" w:type="dxa"/>
            <w:shd w:val="clear" w:color="auto" w:fill="E7E6E6"/>
            <w:vAlign w:val="center"/>
          </w:tcPr>
          <w:p w14:paraId="35612366" w14:textId="77777777" w:rsidR="00127D48" w:rsidRDefault="00873838">
            <w:pPr>
              <w:jc w:val="center"/>
            </w:pPr>
            <w:r>
              <w:rPr>
                <w:b/>
                <w:sz w:val="14"/>
              </w:rPr>
              <w:t>EHR crude effect</w:t>
            </w:r>
          </w:p>
        </w:tc>
        <w:tc>
          <w:tcPr>
            <w:tcW w:w="1123" w:type="dxa"/>
            <w:shd w:val="clear" w:color="auto" w:fill="E7E6E6"/>
            <w:vAlign w:val="center"/>
          </w:tcPr>
          <w:p w14:paraId="6A97DCD0" w14:textId="77777777" w:rsidR="00127D48" w:rsidRDefault="00873838">
            <w:pPr>
              <w:jc w:val="center"/>
            </w:pPr>
            <w:r>
              <w:rPr>
                <w:b/>
                <w:sz w:val="14"/>
              </w:rPr>
              <w:t>Direction vs trial</w:t>
            </w:r>
          </w:p>
        </w:tc>
      </w:tr>
      <w:tr w:rsidR="00266FE8" w14:paraId="5F05D0BE" w14:textId="77777777" w:rsidTr="00266FE8">
        <w:trPr>
          <w:trHeight w:val="404"/>
          <w:jc w:val="center"/>
        </w:trPr>
        <w:tc>
          <w:tcPr>
            <w:tcW w:w="1138" w:type="dxa"/>
            <w:vMerge w:val="restart"/>
            <w:vAlign w:val="center"/>
          </w:tcPr>
          <w:p w14:paraId="7A81D468" w14:textId="45DCA8E4" w:rsidR="00266FE8" w:rsidRDefault="00266FE8" w:rsidP="00266FE8">
            <w:pPr>
              <w:jc w:val="center"/>
            </w:pPr>
            <w:r>
              <w:rPr>
                <w:sz w:val="14"/>
              </w:rPr>
              <w:t>CAS vs IMM</w:t>
            </w:r>
          </w:p>
        </w:tc>
        <w:tc>
          <w:tcPr>
            <w:tcW w:w="1757" w:type="dxa"/>
            <w:vAlign w:val="center"/>
          </w:tcPr>
          <w:p w14:paraId="61BE9CFB" w14:textId="77777777" w:rsidR="00266FE8" w:rsidRDefault="00266FE8">
            <w:r>
              <w:rPr>
                <w:sz w:val="14"/>
              </w:rPr>
              <w:t>Stroke or death, days 0-44</w:t>
            </w:r>
          </w:p>
        </w:tc>
        <w:tc>
          <w:tcPr>
            <w:tcW w:w="1411" w:type="dxa"/>
            <w:vAlign w:val="center"/>
          </w:tcPr>
          <w:p w14:paraId="6899251E" w14:textId="77777777" w:rsidR="00266FE8" w:rsidRDefault="00266FE8">
            <w:r>
              <w:rPr>
                <w:sz w:val="14"/>
              </w:rPr>
              <w:t>Cumulative proportion</w:t>
            </w:r>
          </w:p>
        </w:tc>
        <w:tc>
          <w:tcPr>
            <w:tcW w:w="1699" w:type="dxa"/>
            <w:vAlign w:val="center"/>
          </w:tcPr>
          <w:p w14:paraId="5631EB3B" w14:textId="77777777" w:rsidR="00266FE8" w:rsidRDefault="00266FE8">
            <w:pPr>
              <w:jc w:val="center"/>
            </w:pPr>
            <w:r>
              <w:rPr>
                <w:sz w:val="14"/>
              </w:rPr>
              <w:t>0/629 (0.0%)</w:t>
            </w:r>
          </w:p>
        </w:tc>
        <w:tc>
          <w:tcPr>
            <w:tcW w:w="1800" w:type="dxa"/>
            <w:vAlign w:val="center"/>
          </w:tcPr>
          <w:p w14:paraId="541A0F86" w14:textId="77777777" w:rsidR="00266FE8" w:rsidRDefault="00266FE8">
            <w:pPr>
              <w:jc w:val="center"/>
            </w:pPr>
            <w:r>
              <w:rPr>
                <w:sz w:val="14"/>
              </w:rPr>
              <w:t>8/616 (1.3%)</w:t>
            </w:r>
          </w:p>
        </w:tc>
        <w:tc>
          <w:tcPr>
            <w:tcW w:w="1901" w:type="dxa"/>
            <w:vAlign w:val="center"/>
          </w:tcPr>
          <w:p w14:paraId="06D26066" w14:textId="77777777" w:rsidR="00266FE8" w:rsidRDefault="00266FE8">
            <w:pPr>
              <w:jc w:val="center"/>
            </w:pPr>
            <w:r>
              <w:rPr>
                <w:sz w:val="14"/>
              </w:rPr>
              <w:t>573/18,051 (3.17%)</w:t>
            </w:r>
          </w:p>
        </w:tc>
        <w:tc>
          <w:tcPr>
            <w:tcW w:w="1958" w:type="dxa"/>
            <w:vAlign w:val="center"/>
          </w:tcPr>
          <w:p w14:paraId="4FC8DEED" w14:textId="77777777" w:rsidR="00266FE8" w:rsidRDefault="00266FE8">
            <w:pPr>
              <w:jc w:val="center"/>
            </w:pPr>
            <w:r>
              <w:rPr>
                <w:sz w:val="14"/>
              </w:rPr>
              <w:t>236/7,389 (3.19%)</w:t>
            </w:r>
          </w:p>
        </w:tc>
        <w:tc>
          <w:tcPr>
            <w:tcW w:w="1987" w:type="dxa"/>
            <w:vAlign w:val="center"/>
          </w:tcPr>
          <w:p w14:paraId="681D1AF0" w14:textId="77777777" w:rsidR="00266FE8" w:rsidRDefault="00266FE8">
            <w:r>
              <w:rPr>
                <w:sz w:val="14"/>
              </w:rPr>
              <w:t>RD +0.02 pp; RR 1.006</w:t>
            </w:r>
          </w:p>
        </w:tc>
        <w:tc>
          <w:tcPr>
            <w:tcW w:w="1123" w:type="dxa"/>
            <w:vAlign w:val="center"/>
          </w:tcPr>
          <w:p w14:paraId="3F9F5828" w14:textId="77777777" w:rsidR="00266FE8" w:rsidRDefault="00266FE8">
            <w:pPr>
              <w:jc w:val="center"/>
            </w:pPr>
            <w:r>
              <w:rPr>
                <w:sz w:val="14"/>
              </w:rPr>
              <w:t>Concordant</w:t>
            </w:r>
          </w:p>
        </w:tc>
      </w:tr>
      <w:tr w:rsidR="00266FE8" w14:paraId="67248B7D" w14:textId="77777777" w:rsidTr="00266FE8">
        <w:trPr>
          <w:trHeight w:val="440"/>
          <w:jc w:val="center"/>
        </w:trPr>
        <w:tc>
          <w:tcPr>
            <w:tcW w:w="1138" w:type="dxa"/>
            <w:vMerge/>
            <w:vAlign w:val="center"/>
          </w:tcPr>
          <w:p w14:paraId="7D25FD89" w14:textId="35DAB14B" w:rsidR="00266FE8" w:rsidRDefault="00266FE8" w:rsidP="00525E46">
            <w:pPr>
              <w:jc w:val="center"/>
            </w:pPr>
          </w:p>
        </w:tc>
        <w:tc>
          <w:tcPr>
            <w:tcW w:w="1757" w:type="dxa"/>
            <w:vAlign w:val="center"/>
          </w:tcPr>
          <w:p w14:paraId="357C5BEB" w14:textId="77777777" w:rsidR="00266FE8" w:rsidRDefault="00266FE8">
            <w:r>
              <w:rPr>
                <w:sz w:val="14"/>
              </w:rPr>
              <w:t>Late ischemic stroke, days 45-1460*</w:t>
            </w:r>
          </w:p>
        </w:tc>
        <w:tc>
          <w:tcPr>
            <w:tcW w:w="1411" w:type="dxa"/>
            <w:vAlign w:val="center"/>
          </w:tcPr>
          <w:p w14:paraId="7EDF169E" w14:textId="77777777" w:rsidR="00266FE8" w:rsidRDefault="00266FE8">
            <w:r>
              <w:rPr>
                <w:sz w:val="14"/>
              </w:rPr>
              <w:t>Annualized events / 100 PY</w:t>
            </w:r>
          </w:p>
        </w:tc>
        <w:tc>
          <w:tcPr>
            <w:tcW w:w="1699" w:type="dxa"/>
            <w:vAlign w:val="center"/>
          </w:tcPr>
          <w:p w14:paraId="4F7399D8" w14:textId="77777777" w:rsidR="00266FE8" w:rsidRDefault="00266FE8">
            <w:pPr>
              <w:jc w:val="center"/>
            </w:pPr>
            <w:r>
              <w:rPr>
                <w:sz w:val="14"/>
              </w:rPr>
              <w:t>28 events (1.70/100 PY)</w:t>
            </w:r>
          </w:p>
        </w:tc>
        <w:tc>
          <w:tcPr>
            <w:tcW w:w="1800" w:type="dxa"/>
            <w:vAlign w:val="center"/>
          </w:tcPr>
          <w:p w14:paraId="20E1C36B" w14:textId="77777777" w:rsidR="00266FE8" w:rsidRDefault="00266FE8">
            <w:pPr>
              <w:jc w:val="center"/>
            </w:pPr>
            <w:r>
              <w:rPr>
                <w:sz w:val="14"/>
              </w:rPr>
              <w:t>7 events (0.40/100 PY)</w:t>
            </w:r>
          </w:p>
        </w:tc>
        <w:tc>
          <w:tcPr>
            <w:tcW w:w="1901" w:type="dxa"/>
            <w:vAlign w:val="center"/>
          </w:tcPr>
          <w:p w14:paraId="4E30BF8B" w14:textId="77777777" w:rsidR="00266FE8" w:rsidRDefault="00266FE8">
            <w:pPr>
              <w:jc w:val="center"/>
              <w:rPr>
                <w:sz w:val="14"/>
              </w:rPr>
            </w:pPr>
            <w:r>
              <w:rPr>
                <w:sz w:val="14"/>
              </w:rPr>
              <w:t xml:space="preserve">785 / 46,695 PY </w:t>
            </w:r>
          </w:p>
          <w:p w14:paraId="1012B272" w14:textId="21337589" w:rsidR="00266FE8" w:rsidRDefault="00266FE8">
            <w:pPr>
              <w:jc w:val="center"/>
            </w:pPr>
            <w:r>
              <w:rPr>
                <w:sz w:val="14"/>
              </w:rPr>
              <w:t>(1.68/100 PY)</w:t>
            </w:r>
          </w:p>
        </w:tc>
        <w:tc>
          <w:tcPr>
            <w:tcW w:w="1958" w:type="dxa"/>
            <w:vAlign w:val="center"/>
          </w:tcPr>
          <w:p w14:paraId="38547956" w14:textId="77777777" w:rsidR="00266FE8" w:rsidRDefault="00266FE8">
            <w:pPr>
              <w:jc w:val="center"/>
            </w:pPr>
            <w:r>
              <w:rPr>
                <w:sz w:val="14"/>
              </w:rPr>
              <w:t>390 / 24,160 PY (1.61/100 PY)</w:t>
            </w:r>
          </w:p>
        </w:tc>
        <w:tc>
          <w:tcPr>
            <w:tcW w:w="1987" w:type="dxa"/>
            <w:vAlign w:val="center"/>
          </w:tcPr>
          <w:p w14:paraId="1BBF9B61" w14:textId="77777777" w:rsidR="00266FE8" w:rsidRDefault="00266FE8">
            <w:r>
              <w:rPr>
                <w:sz w:val="14"/>
              </w:rPr>
              <w:t>Rate diff -0.07/100 PY; rate ratio 0.960</w:t>
            </w:r>
          </w:p>
        </w:tc>
        <w:tc>
          <w:tcPr>
            <w:tcW w:w="1123" w:type="dxa"/>
            <w:vAlign w:val="center"/>
          </w:tcPr>
          <w:p w14:paraId="20B8A87D" w14:textId="77777777" w:rsidR="00266FE8" w:rsidRDefault="00266FE8">
            <w:pPr>
              <w:jc w:val="center"/>
            </w:pPr>
            <w:r>
              <w:rPr>
                <w:sz w:val="14"/>
              </w:rPr>
              <w:t>Concordant</w:t>
            </w:r>
          </w:p>
        </w:tc>
      </w:tr>
      <w:tr w:rsidR="00266FE8" w14:paraId="33050607" w14:textId="77777777" w:rsidTr="00266FE8">
        <w:trPr>
          <w:trHeight w:val="548"/>
          <w:jc w:val="center"/>
        </w:trPr>
        <w:tc>
          <w:tcPr>
            <w:tcW w:w="1138" w:type="dxa"/>
            <w:vMerge/>
            <w:vAlign w:val="center"/>
          </w:tcPr>
          <w:p w14:paraId="00083094" w14:textId="4B7BE614" w:rsidR="00266FE8" w:rsidRDefault="00266FE8">
            <w:pPr>
              <w:jc w:val="center"/>
            </w:pPr>
          </w:p>
        </w:tc>
        <w:tc>
          <w:tcPr>
            <w:tcW w:w="1757" w:type="dxa"/>
            <w:vAlign w:val="center"/>
          </w:tcPr>
          <w:p w14:paraId="553C3C09" w14:textId="77777777" w:rsidR="00266FE8" w:rsidRDefault="00266FE8">
            <w:r>
              <w:rPr>
                <w:sz w:val="14"/>
              </w:rPr>
              <w:t>Primary outcome through 4 years†</w:t>
            </w:r>
          </w:p>
        </w:tc>
        <w:tc>
          <w:tcPr>
            <w:tcW w:w="1411" w:type="dxa"/>
            <w:vAlign w:val="center"/>
          </w:tcPr>
          <w:p w14:paraId="02D80DCD" w14:textId="77777777" w:rsidR="00266FE8" w:rsidRDefault="00266FE8">
            <w:r>
              <w:rPr>
                <w:sz w:val="14"/>
              </w:rPr>
              <w:t>4-year cumulative incidence</w:t>
            </w:r>
          </w:p>
        </w:tc>
        <w:tc>
          <w:tcPr>
            <w:tcW w:w="1699" w:type="dxa"/>
            <w:vAlign w:val="center"/>
          </w:tcPr>
          <w:p w14:paraId="35961B22" w14:textId="77777777" w:rsidR="00266FE8" w:rsidRDefault="00266FE8">
            <w:pPr>
              <w:jc w:val="center"/>
            </w:pPr>
            <w:r>
              <w:rPr>
                <w:sz w:val="14"/>
              </w:rPr>
              <w:t>6.0% (95% CI 3.8-8.3)</w:t>
            </w:r>
          </w:p>
        </w:tc>
        <w:tc>
          <w:tcPr>
            <w:tcW w:w="1800" w:type="dxa"/>
            <w:vAlign w:val="center"/>
          </w:tcPr>
          <w:p w14:paraId="5A9BC0E4" w14:textId="77777777" w:rsidR="00266FE8" w:rsidRDefault="00266FE8">
            <w:pPr>
              <w:jc w:val="center"/>
            </w:pPr>
            <w:r>
              <w:rPr>
                <w:sz w:val="14"/>
              </w:rPr>
              <w:t>2.8% (95% CI 1.5-4.3)</w:t>
            </w:r>
          </w:p>
        </w:tc>
        <w:tc>
          <w:tcPr>
            <w:tcW w:w="1901" w:type="dxa"/>
            <w:vAlign w:val="center"/>
          </w:tcPr>
          <w:p w14:paraId="2443DDFF" w14:textId="77777777" w:rsidR="00266FE8" w:rsidRDefault="00266FE8">
            <w:pPr>
              <w:jc w:val="center"/>
            </w:pPr>
            <w:r>
              <w:rPr>
                <w:sz w:val="14"/>
              </w:rPr>
              <w:t>690/9,690 (7.12%)</w:t>
            </w:r>
          </w:p>
        </w:tc>
        <w:tc>
          <w:tcPr>
            <w:tcW w:w="1958" w:type="dxa"/>
            <w:vAlign w:val="center"/>
          </w:tcPr>
          <w:p w14:paraId="5AA83A14" w14:textId="77777777" w:rsidR="00266FE8" w:rsidRDefault="00266FE8">
            <w:pPr>
              <w:jc w:val="center"/>
            </w:pPr>
            <w:r>
              <w:rPr>
                <w:sz w:val="14"/>
              </w:rPr>
              <w:t>308/6,033 (5.11%)</w:t>
            </w:r>
          </w:p>
        </w:tc>
        <w:tc>
          <w:tcPr>
            <w:tcW w:w="1987" w:type="dxa"/>
            <w:vAlign w:val="center"/>
          </w:tcPr>
          <w:p w14:paraId="02C9052F" w14:textId="77777777" w:rsidR="00266FE8" w:rsidRDefault="00266FE8">
            <w:r>
              <w:rPr>
                <w:sz w:val="14"/>
              </w:rPr>
              <w:t>RD -2.02 pp; RR 0.717</w:t>
            </w:r>
          </w:p>
        </w:tc>
        <w:tc>
          <w:tcPr>
            <w:tcW w:w="1123" w:type="dxa"/>
            <w:vAlign w:val="center"/>
          </w:tcPr>
          <w:p w14:paraId="74D88F79" w14:textId="77777777" w:rsidR="00266FE8" w:rsidRDefault="00266FE8">
            <w:pPr>
              <w:jc w:val="center"/>
            </w:pPr>
            <w:r>
              <w:rPr>
                <w:sz w:val="14"/>
              </w:rPr>
              <w:t>Concordant</w:t>
            </w:r>
          </w:p>
        </w:tc>
      </w:tr>
      <w:tr w:rsidR="00266FE8" w14:paraId="14D17ED9" w14:textId="77777777" w:rsidTr="004820BA">
        <w:trPr>
          <w:trHeight w:val="368"/>
          <w:jc w:val="center"/>
        </w:trPr>
        <w:tc>
          <w:tcPr>
            <w:tcW w:w="1138" w:type="dxa"/>
            <w:vMerge w:val="restart"/>
            <w:shd w:val="clear" w:color="auto" w:fill="F7F7F7"/>
            <w:vAlign w:val="center"/>
          </w:tcPr>
          <w:p w14:paraId="25A15682" w14:textId="77777777" w:rsidR="00266FE8" w:rsidRDefault="00266FE8">
            <w:pPr>
              <w:jc w:val="center"/>
              <w:rPr>
                <w:sz w:val="14"/>
              </w:rPr>
            </w:pPr>
          </w:p>
          <w:p w14:paraId="7503F4C0" w14:textId="7EDDFF8A" w:rsidR="00266FE8" w:rsidRDefault="00266FE8">
            <w:pPr>
              <w:jc w:val="center"/>
            </w:pPr>
            <w:r>
              <w:rPr>
                <w:sz w:val="14"/>
              </w:rPr>
              <w:t>CEA vs IMM</w:t>
            </w:r>
          </w:p>
          <w:p w14:paraId="62C508B1" w14:textId="0712FF6F" w:rsidR="00266FE8" w:rsidRDefault="00266FE8" w:rsidP="005B2DBC">
            <w:pPr>
              <w:jc w:val="center"/>
            </w:pPr>
          </w:p>
        </w:tc>
        <w:tc>
          <w:tcPr>
            <w:tcW w:w="1757" w:type="dxa"/>
            <w:shd w:val="clear" w:color="auto" w:fill="F7F7F7"/>
            <w:vAlign w:val="center"/>
          </w:tcPr>
          <w:p w14:paraId="3BEB5973" w14:textId="77777777" w:rsidR="00266FE8" w:rsidRDefault="00266FE8">
            <w:r>
              <w:rPr>
                <w:sz w:val="14"/>
              </w:rPr>
              <w:t>Stroke or death, days 0-44</w:t>
            </w:r>
          </w:p>
        </w:tc>
        <w:tc>
          <w:tcPr>
            <w:tcW w:w="1411" w:type="dxa"/>
            <w:shd w:val="clear" w:color="auto" w:fill="F7F7F7"/>
            <w:vAlign w:val="center"/>
          </w:tcPr>
          <w:p w14:paraId="4ED360E0" w14:textId="77777777" w:rsidR="00266FE8" w:rsidRDefault="00266FE8">
            <w:r>
              <w:rPr>
                <w:sz w:val="14"/>
              </w:rPr>
              <w:t>Cumulative proportion</w:t>
            </w:r>
          </w:p>
        </w:tc>
        <w:tc>
          <w:tcPr>
            <w:tcW w:w="1699" w:type="dxa"/>
            <w:shd w:val="clear" w:color="auto" w:fill="F7F7F7"/>
            <w:vAlign w:val="center"/>
          </w:tcPr>
          <w:p w14:paraId="1E3851E3" w14:textId="77777777" w:rsidR="00266FE8" w:rsidRDefault="00266FE8">
            <w:pPr>
              <w:jc w:val="center"/>
            </w:pPr>
            <w:r>
              <w:rPr>
                <w:sz w:val="14"/>
              </w:rPr>
              <w:t>3/623 (0.5%)</w:t>
            </w:r>
          </w:p>
        </w:tc>
        <w:tc>
          <w:tcPr>
            <w:tcW w:w="1800" w:type="dxa"/>
            <w:shd w:val="clear" w:color="auto" w:fill="F7F7F7"/>
            <w:vAlign w:val="center"/>
          </w:tcPr>
          <w:p w14:paraId="71AA2324" w14:textId="77777777" w:rsidR="00266FE8" w:rsidRDefault="00266FE8">
            <w:pPr>
              <w:jc w:val="center"/>
            </w:pPr>
            <w:r>
              <w:rPr>
                <w:sz w:val="14"/>
              </w:rPr>
              <w:t>9/617 (1.5%)</w:t>
            </w:r>
          </w:p>
        </w:tc>
        <w:tc>
          <w:tcPr>
            <w:tcW w:w="1901" w:type="dxa"/>
            <w:shd w:val="clear" w:color="auto" w:fill="F7F7F7"/>
            <w:vAlign w:val="center"/>
          </w:tcPr>
          <w:p w14:paraId="27130654" w14:textId="77777777" w:rsidR="00266FE8" w:rsidRDefault="00266FE8">
            <w:pPr>
              <w:jc w:val="center"/>
            </w:pPr>
            <w:r>
              <w:rPr>
                <w:sz w:val="14"/>
              </w:rPr>
              <w:t>570/17,539 (3.25%)</w:t>
            </w:r>
          </w:p>
        </w:tc>
        <w:tc>
          <w:tcPr>
            <w:tcW w:w="1958" w:type="dxa"/>
            <w:shd w:val="clear" w:color="auto" w:fill="F7F7F7"/>
            <w:vAlign w:val="center"/>
          </w:tcPr>
          <w:p w14:paraId="1FE68DDF" w14:textId="77777777" w:rsidR="00266FE8" w:rsidRDefault="00266FE8">
            <w:pPr>
              <w:jc w:val="center"/>
            </w:pPr>
            <w:r>
              <w:rPr>
                <w:sz w:val="14"/>
              </w:rPr>
              <w:t>1,151/50,040 (2.30%)</w:t>
            </w:r>
          </w:p>
        </w:tc>
        <w:tc>
          <w:tcPr>
            <w:tcW w:w="1987" w:type="dxa"/>
            <w:shd w:val="clear" w:color="auto" w:fill="F7F7F7"/>
            <w:vAlign w:val="center"/>
          </w:tcPr>
          <w:p w14:paraId="6ADD772E" w14:textId="77777777" w:rsidR="00266FE8" w:rsidRDefault="00266FE8">
            <w:r>
              <w:rPr>
                <w:sz w:val="14"/>
              </w:rPr>
              <w:t>RD -0.95 pp; RR 0.708</w:t>
            </w:r>
          </w:p>
        </w:tc>
        <w:tc>
          <w:tcPr>
            <w:tcW w:w="1123" w:type="dxa"/>
            <w:shd w:val="clear" w:color="auto" w:fill="F7F7F7"/>
            <w:vAlign w:val="center"/>
          </w:tcPr>
          <w:p w14:paraId="4D321160" w14:textId="77777777" w:rsidR="00266FE8" w:rsidRDefault="00266FE8">
            <w:pPr>
              <w:jc w:val="center"/>
            </w:pPr>
            <w:r>
              <w:rPr>
                <w:sz w:val="14"/>
              </w:rPr>
              <w:t>Discordant</w:t>
            </w:r>
          </w:p>
        </w:tc>
      </w:tr>
      <w:tr w:rsidR="00266FE8" w14:paraId="7564B7E7" w14:textId="77777777" w:rsidTr="00266FE8">
        <w:trPr>
          <w:trHeight w:val="476"/>
          <w:jc w:val="center"/>
        </w:trPr>
        <w:tc>
          <w:tcPr>
            <w:tcW w:w="1138" w:type="dxa"/>
            <w:vMerge/>
            <w:shd w:val="clear" w:color="auto" w:fill="F7F7F7"/>
            <w:vAlign w:val="center"/>
          </w:tcPr>
          <w:p w14:paraId="43FBFEAF" w14:textId="6CE867BA" w:rsidR="00266FE8" w:rsidRDefault="00266FE8" w:rsidP="005B2DBC">
            <w:pPr>
              <w:jc w:val="center"/>
            </w:pPr>
          </w:p>
        </w:tc>
        <w:tc>
          <w:tcPr>
            <w:tcW w:w="1757" w:type="dxa"/>
            <w:shd w:val="clear" w:color="auto" w:fill="F7F7F7"/>
            <w:vAlign w:val="center"/>
          </w:tcPr>
          <w:p w14:paraId="35664DBA" w14:textId="77777777" w:rsidR="00266FE8" w:rsidRDefault="00266FE8">
            <w:r>
              <w:rPr>
                <w:sz w:val="14"/>
              </w:rPr>
              <w:t>Late ischemic stroke, days 45-1460*</w:t>
            </w:r>
          </w:p>
        </w:tc>
        <w:tc>
          <w:tcPr>
            <w:tcW w:w="1411" w:type="dxa"/>
            <w:shd w:val="clear" w:color="auto" w:fill="F7F7F7"/>
            <w:vAlign w:val="center"/>
          </w:tcPr>
          <w:p w14:paraId="30C09D5B" w14:textId="77777777" w:rsidR="00266FE8" w:rsidRDefault="00266FE8">
            <w:r>
              <w:rPr>
                <w:sz w:val="14"/>
              </w:rPr>
              <w:t>Annualized events / 100 PY</w:t>
            </w:r>
          </w:p>
        </w:tc>
        <w:tc>
          <w:tcPr>
            <w:tcW w:w="1699" w:type="dxa"/>
            <w:shd w:val="clear" w:color="auto" w:fill="F7F7F7"/>
            <w:vAlign w:val="center"/>
          </w:tcPr>
          <w:p w14:paraId="68617C28" w14:textId="77777777" w:rsidR="00266FE8" w:rsidRDefault="00266FE8">
            <w:pPr>
              <w:jc w:val="center"/>
            </w:pPr>
            <w:r>
              <w:rPr>
                <w:sz w:val="14"/>
              </w:rPr>
              <w:t>23 events (1.30/100 PY)</w:t>
            </w:r>
          </w:p>
        </w:tc>
        <w:tc>
          <w:tcPr>
            <w:tcW w:w="1800" w:type="dxa"/>
            <w:shd w:val="clear" w:color="auto" w:fill="F7F7F7"/>
            <w:vAlign w:val="center"/>
          </w:tcPr>
          <w:p w14:paraId="7EE4EB09" w14:textId="77777777" w:rsidR="00266FE8" w:rsidRDefault="00266FE8">
            <w:pPr>
              <w:jc w:val="center"/>
            </w:pPr>
            <w:r>
              <w:rPr>
                <w:sz w:val="14"/>
              </w:rPr>
              <w:t>10 events (0.50/100 PY)</w:t>
            </w:r>
          </w:p>
        </w:tc>
        <w:tc>
          <w:tcPr>
            <w:tcW w:w="1901" w:type="dxa"/>
            <w:shd w:val="clear" w:color="auto" w:fill="F7F7F7"/>
            <w:vAlign w:val="center"/>
          </w:tcPr>
          <w:p w14:paraId="74FCCC38" w14:textId="77777777" w:rsidR="00266FE8" w:rsidRDefault="00266FE8">
            <w:pPr>
              <w:jc w:val="center"/>
              <w:rPr>
                <w:sz w:val="14"/>
              </w:rPr>
            </w:pPr>
            <w:r>
              <w:rPr>
                <w:sz w:val="14"/>
              </w:rPr>
              <w:t xml:space="preserve">759 / 44,943 PY </w:t>
            </w:r>
          </w:p>
          <w:p w14:paraId="2F19B6AD" w14:textId="4CC9CE51" w:rsidR="00266FE8" w:rsidRDefault="00266FE8">
            <w:pPr>
              <w:jc w:val="center"/>
            </w:pPr>
            <w:r>
              <w:rPr>
                <w:sz w:val="14"/>
              </w:rPr>
              <w:t>(1.69/100 PY)</w:t>
            </w:r>
          </w:p>
        </w:tc>
        <w:tc>
          <w:tcPr>
            <w:tcW w:w="1958" w:type="dxa"/>
            <w:shd w:val="clear" w:color="auto" w:fill="F7F7F7"/>
            <w:vAlign w:val="center"/>
          </w:tcPr>
          <w:p w14:paraId="541E6052" w14:textId="77777777" w:rsidR="00266FE8" w:rsidRDefault="00266FE8">
            <w:pPr>
              <w:jc w:val="center"/>
              <w:rPr>
                <w:sz w:val="14"/>
              </w:rPr>
            </w:pPr>
            <w:r>
              <w:rPr>
                <w:sz w:val="14"/>
              </w:rPr>
              <w:t xml:space="preserve">2,251 / 174,285 PY </w:t>
            </w:r>
          </w:p>
          <w:p w14:paraId="0881CED0" w14:textId="3B5F5A77" w:rsidR="00266FE8" w:rsidRDefault="00266FE8">
            <w:pPr>
              <w:jc w:val="center"/>
            </w:pPr>
            <w:r>
              <w:rPr>
                <w:sz w:val="14"/>
              </w:rPr>
              <w:t>(1.29/100 PY)</w:t>
            </w:r>
          </w:p>
        </w:tc>
        <w:tc>
          <w:tcPr>
            <w:tcW w:w="1987" w:type="dxa"/>
            <w:shd w:val="clear" w:color="auto" w:fill="F7F7F7"/>
            <w:vAlign w:val="center"/>
          </w:tcPr>
          <w:p w14:paraId="76E7AB5F" w14:textId="77777777" w:rsidR="00266FE8" w:rsidRDefault="00266FE8">
            <w:r>
              <w:rPr>
                <w:sz w:val="14"/>
              </w:rPr>
              <w:t>Rate diff -0.40/100 PY; rate ratio 0.765</w:t>
            </w:r>
          </w:p>
        </w:tc>
        <w:tc>
          <w:tcPr>
            <w:tcW w:w="1123" w:type="dxa"/>
            <w:shd w:val="clear" w:color="auto" w:fill="F7F7F7"/>
            <w:vAlign w:val="center"/>
          </w:tcPr>
          <w:p w14:paraId="30A642FD" w14:textId="77777777" w:rsidR="00266FE8" w:rsidRDefault="00266FE8">
            <w:pPr>
              <w:jc w:val="center"/>
            </w:pPr>
            <w:r>
              <w:rPr>
                <w:sz w:val="14"/>
              </w:rPr>
              <w:t>Concordant</w:t>
            </w:r>
          </w:p>
        </w:tc>
      </w:tr>
      <w:tr w:rsidR="00266FE8" w14:paraId="1B6D401C" w14:textId="77777777" w:rsidTr="00266FE8">
        <w:trPr>
          <w:trHeight w:val="449"/>
          <w:jc w:val="center"/>
        </w:trPr>
        <w:tc>
          <w:tcPr>
            <w:tcW w:w="1138" w:type="dxa"/>
            <w:vMerge/>
            <w:shd w:val="clear" w:color="auto" w:fill="F7F7F7"/>
            <w:vAlign w:val="center"/>
          </w:tcPr>
          <w:p w14:paraId="33F00A83" w14:textId="1ABB55C9" w:rsidR="00266FE8" w:rsidRDefault="00266FE8">
            <w:pPr>
              <w:jc w:val="center"/>
            </w:pPr>
          </w:p>
        </w:tc>
        <w:tc>
          <w:tcPr>
            <w:tcW w:w="1757" w:type="dxa"/>
            <w:shd w:val="clear" w:color="auto" w:fill="F7F7F7"/>
            <w:vAlign w:val="center"/>
          </w:tcPr>
          <w:p w14:paraId="1AD00528" w14:textId="77777777" w:rsidR="00266FE8" w:rsidRDefault="00266FE8">
            <w:r>
              <w:rPr>
                <w:sz w:val="14"/>
              </w:rPr>
              <w:t>Primary outcome through 4 years†</w:t>
            </w:r>
          </w:p>
        </w:tc>
        <w:tc>
          <w:tcPr>
            <w:tcW w:w="1411" w:type="dxa"/>
            <w:shd w:val="clear" w:color="auto" w:fill="F7F7F7"/>
            <w:vAlign w:val="center"/>
          </w:tcPr>
          <w:p w14:paraId="39628089" w14:textId="77777777" w:rsidR="00266FE8" w:rsidRDefault="00266FE8">
            <w:r>
              <w:rPr>
                <w:sz w:val="14"/>
              </w:rPr>
              <w:t>4-year cumulative incidence</w:t>
            </w:r>
          </w:p>
        </w:tc>
        <w:tc>
          <w:tcPr>
            <w:tcW w:w="1699" w:type="dxa"/>
            <w:shd w:val="clear" w:color="auto" w:fill="F7F7F7"/>
            <w:vAlign w:val="center"/>
          </w:tcPr>
          <w:p w14:paraId="12E9D9AB" w14:textId="77777777" w:rsidR="00266FE8" w:rsidRDefault="00266FE8">
            <w:pPr>
              <w:jc w:val="center"/>
            </w:pPr>
            <w:r>
              <w:rPr>
                <w:sz w:val="14"/>
              </w:rPr>
              <w:t>5.3% (95% CI 3.3-7.4)</w:t>
            </w:r>
          </w:p>
        </w:tc>
        <w:tc>
          <w:tcPr>
            <w:tcW w:w="1800" w:type="dxa"/>
            <w:shd w:val="clear" w:color="auto" w:fill="F7F7F7"/>
            <w:vAlign w:val="center"/>
          </w:tcPr>
          <w:p w14:paraId="30503D0E" w14:textId="77777777" w:rsidR="00266FE8" w:rsidRDefault="00266FE8">
            <w:pPr>
              <w:jc w:val="center"/>
            </w:pPr>
            <w:r>
              <w:rPr>
                <w:sz w:val="14"/>
              </w:rPr>
              <w:t>3.7% (95% CI 2.1-5.5)</w:t>
            </w:r>
          </w:p>
        </w:tc>
        <w:tc>
          <w:tcPr>
            <w:tcW w:w="1901" w:type="dxa"/>
            <w:shd w:val="clear" w:color="auto" w:fill="F7F7F7"/>
            <w:vAlign w:val="center"/>
          </w:tcPr>
          <w:p w14:paraId="114303F3" w14:textId="77777777" w:rsidR="00266FE8" w:rsidRDefault="00266FE8">
            <w:pPr>
              <w:jc w:val="center"/>
            </w:pPr>
            <w:r>
              <w:rPr>
                <w:sz w:val="14"/>
              </w:rPr>
              <w:t>680/9,251 (7.35%)</w:t>
            </w:r>
          </w:p>
        </w:tc>
        <w:tc>
          <w:tcPr>
            <w:tcW w:w="1958" w:type="dxa"/>
            <w:shd w:val="clear" w:color="auto" w:fill="F7F7F7"/>
            <w:vAlign w:val="center"/>
          </w:tcPr>
          <w:p w14:paraId="52FB4E27" w14:textId="77777777" w:rsidR="00266FE8" w:rsidRDefault="00266FE8">
            <w:pPr>
              <w:jc w:val="center"/>
            </w:pPr>
            <w:r>
              <w:rPr>
                <w:sz w:val="14"/>
              </w:rPr>
              <w:t>1,493/44,151 (3.38%)</w:t>
            </w:r>
          </w:p>
        </w:tc>
        <w:tc>
          <w:tcPr>
            <w:tcW w:w="1987" w:type="dxa"/>
            <w:shd w:val="clear" w:color="auto" w:fill="F7F7F7"/>
            <w:vAlign w:val="center"/>
          </w:tcPr>
          <w:p w14:paraId="0DF215F2" w14:textId="77777777" w:rsidR="00266FE8" w:rsidRDefault="00266FE8">
            <w:r>
              <w:rPr>
                <w:sz w:val="14"/>
              </w:rPr>
              <w:t>RD -3.97 pp; RR 0.460</w:t>
            </w:r>
          </w:p>
        </w:tc>
        <w:tc>
          <w:tcPr>
            <w:tcW w:w="1123" w:type="dxa"/>
            <w:shd w:val="clear" w:color="auto" w:fill="F7F7F7"/>
            <w:vAlign w:val="center"/>
          </w:tcPr>
          <w:p w14:paraId="1B40AE59" w14:textId="77777777" w:rsidR="00266FE8" w:rsidRDefault="00266FE8">
            <w:pPr>
              <w:jc w:val="center"/>
            </w:pPr>
            <w:r>
              <w:rPr>
                <w:sz w:val="14"/>
              </w:rPr>
              <w:t>Concordant</w:t>
            </w:r>
          </w:p>
        </w:tc>
      </w:tr>
    </w:tbl>
    <w:p w14:paraId="4941395A" w14:textId="77777777" w:rsidR="00127D48" w:rsidRDefault="00873838" w:rsidP="00266FE8">
      <w:pPr>
        <w:spacing w:after="20"/>
        <w:jc w:val="both"/>
      </w:pPr>
      <w:r w:rsidRPr="00266FE8">
        <w:rPr>
          <w:b/>
          <w:bCs/>
          <w:sz w:val="14"/>
        </w:rPr>
        <w:t>Abbreviations:</w:t>
      </w:r>
      <w:r>
        <w:rPr>
          <w:sz w:val="14"/>
        </w:rPr>
        <w:t xml:space="preserve"> ATO, average treatment effect in the overlap population; CAS, carotid artery stenting; CEA, carotid endarterectomy; CI, confidence interval; EHR, electronic health record; IMM, intensive medical management; PY, person-years; RD, risk difference; RR, risk ratio.</w:t>
      </w:r>
    </w:p>
    <w:p w14:paraId="664220F6" w14:textId="77777777" w:rsidR="00127D48" w:rsidRDefault="00873838" w:rsidP="00266FE8">
      <w:pPr>
        <w:spacing w:after="20"/>
      </w:pPr>
      <w:r>
        <w:rPr>
          <w:sz w:val="14"/>
        </w:rPr>
        <w:t>Effects are expressed as revascularization minus IMM for absolute differences and revascularization/IMM for ratios. Negative RD/rate difference or a ratio &lt;1 favors revascularization.</w:t>
      </w:r>
    </w:p>
    <w:p w14:paraId="11F77375" w14:textId="77777777" w:rsidR="00127D48" w:rsidRDefault="00873838" w:rsidP="00266FE8">
      <w:pPr>
        <w:spacing w:after="20"/>
      </w:pPr>
      <w:r>
        <w:rPr>
          <w:sz w:val="14"/>
        </w:rPr>
        <w:t>* CREST-2 late outcome was adjudicated ipsilateral ischemic stroke. The EHR benchmark uses any ischemic stroke because structured data did not establish laterality relative to the target carotid artery. Both are shown on an annualized events-per-100-person-years scale, but phenotype equivalence is not claimed.</w:t>
      </w:r>
    </w:p>
    <w:p w14:paraId="5D150D2B" w14:textId="77777777" w:rsidR="00127D48" w:rsidRDefault="00873838" w:rsidP="00266FE8">
      <w:pPr>
        <w:spacing w:after="20"/>
      </w:pPr>
      <w:r>
        <w:rPr>
          <w:sz w:val="14"/>
        </w:rPr>
        <w:t>† CREST-2 primary outcome was any stroke or death through day 44 followed by ipsilateral ischemic stroke through 4 years. The EHR proxy was stroke/death through day 44 OR anterior ischemic stroke during days 45-1460; later EHR stroke could not be confirmed ipsilateral.</w:t>
      </w:r>
    </w:p>
    <w:p w14:paraId="0BA71745" w14:textId="77777777" w:rsidR="00127D48" w:rsidRDefault="00873838" w:rsidP="00266FE8">
      <w:pPr>
        <w:spacing w:after="20"/>
      </w:pPr>
      <w:r>
        <w:rPr>
          <w:sz w:val="14"/>
        </w:rPr>
        <w:t>Crude EHR estimates are descriptive observed outcomes and may reflect treatment-selection differences. Primary causal interpretation in this study is based on ATO-weighted analyses.</w:t>
      </w:r>
    </w:p>
    <w:p w14:paraId="24347415" w14:textId="77777777" w:rsidR="00127D48" w:rsidRDefault="00873838" w:rsidP="00266FE8">
      <w:pPr>
        <w:spacing w:after="20"/>
      </w:pPr>
      <w:r>
        <w:rPr>
          <w:sz w:val="14"/>
        </w:rPr>
        <w:t>CREST-2 source: Brott TG, Howard G, Lal BK, et al.; CREST-2 Investigators. Medical Management and Revascularization for Asymptomatic Carotid Stenosis. N Engl J Med. 2026;394:219-231. doi:10.1056/NEJMoa2508800.</w:t>
      </w:r>
    </w:p>
    <w:sectPr w:rsidR="00127D48"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994384">
    <w:abstractNumId w:val="8"/>
  </w:num>
  <w:num w:numId="2" w16cid:durableId="1265577125">
    <w:abstractNumId w:val="6"/>
  </w:num>
  <w:num w:numId="3" w16cid:durableId="1692100238">
    <w:abstractNumId w:val="5"/>
  </w:num>
  <w:num w:numId="4" w16cid:durableId="1390881586">
    <w:abstractNumId w:val="4"/>
  </w:num>
  <w:num w:numId="5" w16cid:durableId="1953782570">
    <w:abstractNumId w:val="7"/>
  </w:num>
  <w:num w:numId="6" w16cid:durableId="1467359838">
    <w:abstractNumId w:val="3"/>
  </w:num>
  <w:num w:numId="7" w16cid:durableId="253057655">
    <w:abstractNumId w:val="2"/>
  </w:num>
  <w:num w:numId="8" w16cid:durableId="434597859">
    <w:abstractNumId w:val="1"/>
  </w:num>
  <w:num w:numId="9" w16cid:durableId="159057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D48"/>
    <w:rsid w:val="0015074B"/>
    <w:rsid w:val="00266FE8"/>
    <w:rsid w:val="0029639D"/>
    <w:rsid w:val="003072D8"/>
    <w:rsid w:val="00326F90"/>
    <w:rsid w:val="004820BA"/>
    <w:rsid w:val="005372A4"/>
    <w:rsid w:val="008472E7"/>
    <w:rsid w:val="00AA1D8D"/>
    <w:rsid w:val="00B47730"/>
    <w:rsid w:val="00CB0664"/>
    <w:rsid w:val="00CE3ECC"/>
    <w:rsid w:val="00FC693F"/>
    <w:rsid w:val="00FF7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957EA"/>
  <w14:defaultImageDpi w14:val="300"/>
  <w15:docId w15:val="{6DD6F84A-0F26-42BA-82FF-168ABE3D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Dey, Samrat Kumar (MU-Student)</cp:lastModifiedBy>
  <cp:revision>6</cp:revision>
  <dcterms:created xsi:type="dcterms:W3CDTF">2013-12-23T23:15:00Z</dcterms:created>
  <dcterms:modified xsi:type="dcterms:W3CDTF">2026-08-20T05:57:00Z</dcterms:modified>
  <cp:category/>
</cp:coreProperties>
</file>