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Calibri" w:hAnsi="Calibri"/>
          <w:b/>
          <w:color w:val="1F4E78"/>
          <w:sz w:val="44"/>
        </w:rPr>
        <w:t>Appendices</w:t>
      </w:r>
    </w:p>
    <w:p>
      <w:pPr>
        <w:spacing w:before="160" w:after="160"/>
        <w:jc w:val="center"/>
      </w:pPr>
      <w:r>
        <w:rPr>
          <w:color w:val="B4B4B4"/>
        </w:rPr>
        <w:t>――――――――――――――――――――――――――――――――――――――――</w:t>
      </w:r>
    </w:p>
    <w:p>
      <w:pPr>
        <w:spacing w:before="320" w:after="160"/>
      </w:pPr>
      <w:r>
        <w:rPr>
          <w:rFonts w:ascii="Calibri" w:hAnsi="Calibri"/>
          <w:b/>
          <w:color w:val="1F4E78"/>
          <w:sz w:val="32"/>
        </w:rPr>
        <w:t>Appendix A: Screenshots</w:t>
      </w:r>
    </w:p>
    <w:p>
      <w:pPr>
        <w:spacing w:before="0" w:after="120" w:line="276" w:lineRule="auto"/>
      </w:pPr>
      <w:r>
        <w:rPr>
          <w:rFonts w:ascii="Calibri" w:hAnsi="Calibri"/>
          <w:b w:val="0"/>
          <w:i w:val="0"/>
          <w:color w:val="323232"/>
          <w:sz w:val="22"/>
        </w:rPr>
        <w:t>This appendix provides visual documentation of the Aegis Interactive Application Security Testing (IAST) platform deployment, operational dashboards, runtime agent instrumentation, detailed vulnerability taint analysis, baseline OWASP ZAP DAST scan results, and empirical performance evaluation charts.</w:t>
      </w:r>
    </w:p>
    <w:p>
      <w:pPr>
        <w:spacing w:before="240" w:after="120"/>
      </w:pPr>
      <w:r>
        <w:rPr>
          <w:rFonts w:ascii="Calibri" w:hAnsi="Calibri"/>
          <w:b/>
          <w:color w:val="2E75B6"/>
          <w:sz w:val="26"/>
        </w:rPr>
        <w:t>Figure A.1: Containerized Environment Deployment Status (Kubernetes Pods &amp; NodePort Services)</w:t>
      </w:r>
    </w:p>
    <w:p>
      <w:pPr>
        <w:spacing w:before="240" w:after="80"/>
        <w:jc w:val="center"/>
      </w:pPr>
      <w:r>
        <w:drawing>
          <wp:inline xmlns:a="http://schemas.openxmlformats.org/drawingml/2006/main" xmlns:pic="http://schemas.openxmlformats.org/drawingml/2006/picture">
            <wp:extent cx="5486400" cy="3108960"/>
            <wp:docPr id="1" name="Picture 1"/>
            <wp:cNvGraphicFramePr>
              <a:graphicFrameLocks noChangeAspect="1"/>
            </wp:cNvGraphicFramePr>
            <a:graphic>
              <a:graphicData uri="http://schemas.openxmlformats.org/drawingml/2006/picture">
                <pic:pic>
                  <pic:nvPicPr>
                    <pic:cNvPr id="0" name="fig_k8s_pods.png"/>
                    <pic:cNvPicPr/>
                  </pic:nvPicPr>
                  <pic:blipFill>
                    <a:blip r:embed="rId9"/>
                    <a:stretch>
                      <a:fillRect/>
                    </a:stretch>
                  </pic:blipFill>
                  <pic:spPr>
                    <a:xfrm>
                      <a:off x="0" y="0"/>
                      <a:ext cx="5486400" cy="3108960"/>
                    </a:xfrm>
                    <a:prstGeom prst="rect"/>
                  </pic:spPr>
                </pic:pic>
              </a:graphicData>
            </a:graphic>
          </wp:inline>
        </w:drawing>
      </w:r>
    </w:p>
    <w:p>
      <w:pPr>
        <w:spacing w:before="40" w:after="280"/>
        <w:jc w:val="center"/>
      </w:pPr>
      <w:r>
        <w:rPr>
          <w:rFonts w:ascii="Calibri" w:hAnsi="Calibri"/>
          <w:i/>
          <w:color w:val="646464"/>
          <w:sz w:val="19"/>
        </w:rPr>
        <w:t>Kubernetes Pods and NodePort Services Deployment Status</w:t>
      </w:r>
    </w:p>
    <w:p>
      <w:pPr>
        <w:spacing w:before="0" w:after="120" w:line="276" w:lineRule="auto"/>
      </w:pPr>
      <w:r>
        <w:rPr>
          <w:rFonts w:ascii="Calibri" w:hAnsi="Calibri"/>
          <w:i/>
          <w:color w:val="323232"/>
          <w:sz w:val="22"/>
        </w:rPr>
        <w:t>Figure A.1: Command-line execution showing Kubernetes (`kubectl`) cluster status for the Aegis IAST deployment. The output confirms active running states for the containerized target application (`vulnerable-app`), Aegis API gateway (`aegis-api`), security dashboard (`aegis-dashboard`), PostgreSQL operational store, ClickHouse analytics engine, Apache Kafka event streaming cluster, and Redis cache. NodePort mapping (`30095:8095/TCP`) and successful `curl /healthz` verification confirm active runtime agent hook attachment (`agent_version: 0.3.0`).</w:t>
      </w:r>
    </w:p>
    <w:p>
      <w:pPr>
        <w:spacing w:before="160" w:after="160"/>
        <w:jc w:val="center"/>
      </w:pPr>
      <w:r>
        <w:rPr>
          <w:color w:val="B4B4B4"/>
        </w:rPr>
        <w:t>――――――――――――――――――――――――――――――――――――――――</w:t>
      </w:r>
    </w:p>
    <w:p>
      <w:pPr>
        <w:spacing w:before="240" w:after="120"/>
      </w:pPr>
      <w:r>
        <w:rPr>
          <w:rFonts w:ascii="Calibri" w:hAnsi="Calibri"/>
          <w:b/>
          <w:color w:val="2E75B6"/>
          <w:sz w:val="26"/>
        </w:rPr>
        <w:t>Figure A.2: Aegis Central Management Console &amp; Active Agent Registry</w:t>
      </w:r>
    </w:p>
    <w:p>
      <w:pPr>
        <w:spacing w:before="240" w:after="8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fig_agent_registered.png"/>
                    <pic:cNvPicPr/>
                  </pic:nvPicPr>
                  <pic:blipFill>
                    <a:blip r:embed="rId10"/>
                    <a:stretch>
                      <a:fillRect/>
                    </a:stretch>
                  </pic:blipFill>
                  <pic:spPr>
                    <a:xfrm>
                      <a:off x="0" y="0"/>
                      <a:ext cx="5486400" cy="3086100"/>
                    </a:xfrm>
                    <a:prstGeom prst="rect"/>
                  </pic:spPr>
                </pic:pic>
              </a:graphicData>
            </a:graphic>
          </wp:inline>
        </w:drawing>
      </w:r>
    </w:p>
    <w:p>
      <w:pPr>
        <w:spacing w:before="40" w:after="280"/>
        <w:jc w:val="center"/>
      </w:pPr>
      <w:r>
        <w:rPr>
          <w:rFonts w:ascii="Calibri" w:hAnsi="Calibri"/>
          <w:i/>
          <w:color w:val="646464"/>
          <w:sz w:val="19"/>
        </w:rPr>
        <w:t>Aegis Security Console Active Agent Registry</w:t>
      </w:r>
    </w:p>
    <w:p>
      <w:pPr>
        <w:spacing w:before="0" w:after="120" w:line="276" w:lineRule="auto"/>
      </w:pPr>
      <w:r>
        <w:rPr>
          <w:rFonts w:ascii="Calibri" w:hAnsi="Calibri"/>
          <w:i/>
          <w:color w:val="323232"/>
          <w:sz w:val="22"/>
        </w:rPr>
        <w:t>Figure A.2: Web management dashboard displaying the active runtime agent registry. The interface details hooked container instances (`vulnerable-app-7d9b4c5b9-x2k9l`), agent runtime versions (Python 3.12, v0.3.0), uptime metrics (12 minutes), and real-time heartbeat connectivity. Metrics cards summarize active runtime agents (4 total), overall system health (99.8%), total requests analyzed (14,280), and average instrumentation overhead (2.8 ms).</w:t>
      </w:r>
    </w:p>
    <w:p>
      <w:pPr>
        <w:spacing w:before="160" w:after="160"/>
        <w:jc w:val="center"/>
      </w:pPr>
      <w:r>
        <w:rPr>
          <w:color w:val="B4B4B4"/>
        </w:rPr>
        <w:t>――――――――――――――――――――――――――――――――――――――――</w:t>
      </w:r>
    </w:p>
    <w:p>
      <w:pPr>
        <w:spacing w:before="240" w:after="120"/>
      </w:pPr>
      <w:r>
        <w:rPr>
          <w:rFonts w:ascii="Calibri" w:hAnsi="Calibri"/>
          <w:b/>
          <w:color w:val="2E75B6"/>
          <w:sz w:val="26"/>
        </w:rPr>
        <w:t>Figure A.3: Interactive Vulnerability Management Dashboard</w:t>
      </w:r>
    </w:p>
    <w:p>
      <w:pPr>
        <w:spacing w:before="240" w:after="8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fig_iast_aegis_dashboard.png"/>
                    <pic:cNvPicPr/>
                  </pic:nvPicPr>
                  <pic:blipFill>
                    <a:blip r:embed="rId11"/>
                    <a:stretch>
                      <a:fillRect/>
                    </a:stretch>
                  </pic:blipFill>
                  <pic:spPr>
                    <a:xfrm>
                      <a:off x="0" y="0"/>
                      <a:ext cx="5486400" cy="3086100"/>
                    </a:xfrm>
                    <a:prstGeom prst="rect"/>
                  </pic:spPr>
                </pic:pic>
              </a:graphicData>
            </a:graphic>
          </wp:inline>
        </w:drawing>
      </w:r>
    </w:p>
    <w:p>
      <w:pPr>
        <w:spacing w:before="40" w:after="280"/>
        <w:jc w:val="center"/>
      </w:pPr>
      <w:r>
        <w:rPr>
          <w:rFonts w:ascii="Calibri" w:hAnsi="Calibri"/>
          <w:i/>
          <w:color w:val="646464"/>
          <w:sz w:val="19"/>
        </w:rPr>
        <w:t>Aegis Interactive Vulnerability Management Dashboard</w:t>
      </w:r>
    </w:p>
    <w:p>
      <w:pPr>
        <w:spacing w:before="0" w:after="120" w:line="276" w:lineRule="auto"/>
      </w:pPr>
      <w:r>
        <w:rPr>
          <w:rFonts w:ascii="Calibri" w:hAnsi="Calibri"/>
          <w:i/>
          <w:color w:val="323232"/>
          <w:sz w:val="22"/>
        </w:rPr>
        <w:t>Figure A.3: The Aegis IAST central security dashboard displaying real-time security telemetry, active threat alerts, and vulnerability severity distributions (4 Critical, 3 High, 2 Medium). Recent security findings highlight detected SQL Injection (CWE-89), OS Command Injection (CWE-78), and Unsafe Deserialization (CWE-502) events captured directly from containerized runtime environments.</w:t>
      </w:r>
    </w:p>
    <w:p>
      <w:pPr>
        <w:spacing w:before="160" w:after="160"/>
        <w:jc w:val="center"/>
      </w:pPr>
      <w:r>
        <w:rPr>
          <w:color w:val="B4B4B4"/>
        </w:rPr>
        <w:t>――――――――――――――――――――――――――――――――――――――――</w:t>
      </w:r>
    </w:p>
    <w:p>
      <w:pPr>
        <w:spacing w:before="240" w:after="120"/>
      </w:pPr>
      <w:r>
        <w:rPr>
          <w:rFonts w:ascii="Calibri" w:hAnsi="Calibri"/>
          <w:b/>
          <w:color w:val="2E75B6"/>
          <w:sz w:val="26"/>
        </w:rPr>
        <w:t>Figure A.4: In-Process Taint Path Analysis &amp; Detailed Finding Investigation</w:t>
      </w:r>
    </w:p>
    <w:p>
      <w:pPr>
        <w:spacing w:before="240" w:after="8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fig_iast_detailed_finding.png"/>
                    <pic:cNvPicPr/>
                  </pic:nvPicPr>
                  <pic:blipFill>
                    <a:blip r:embed="rId12"/>
                    <a:stretch>
                      <a:fillRect/>
                    </a:stretch>
                  </pic:blipFill>
                  <pic:spPr>
                    <a:xfrm>
                      <a:off x="0" y="0"/>
                      <a:ext cx="5486400" cy="3086100"/>
                    </a:xfrm>
                    <a:prstGeom prst="rect"/>
                  </pic:spPr>
                </pic:pic>
              </a:graphicData>
            </a:graphic>
          </wp:inline>
        </w:drawing>
      </w:r>
    </w:p>
    <w:p>
      <w:pPr>
        <w:spacing w:before="40" w:after="280"/>
        <w:jc w:val="center"/>
      </w:pPr>
      <w:r>
        <w:rPr>
          <w:rFonts w:ascii="Calibri" w:hAnsi="Calibri"/>
          <w:i/>
          <w:color w:val="646464"/>
          <w:sz w:val="19"/>
        </w:rPr>
        <w:t>Detailed In-Process Taint Path Finding View</w:t>
      </w:r>
    </w:p>
    <w:p>
      <w:pPr>
        <w:spacing w:before="0" w:after="120" w:line="276" w:lineRule="auto"/>
      </w:pPr>
      <w:r>
        <w:rPr>
          <w:rFonts w:ascii="Calibri" w:hAnsi="Calibri"/>
          <w:i/>
          <w:color w:val="323232"/>
          <w:sz w:val="22"/>
        </w:rPr>
        <w:t>Figure A.4: Deep-dive view of a Critical SQL Injection vulnerability (`CWE-89`) captured by the Aegis Python runtime agent. The interface provides end-to-end trace correlation, pinpointing the HTTP entry point (`GET /api/users/search?name=admin'%20OR%20'1'='1`), source parameter (`name`), exact stack trace frame (`app/api/users.py:L42`), and sensitive sink argument passed to `sqlite3.Cursor.execute()`.</w:t>
      </w:r>
    </w:p>
    <w:p>
      <w:pPr>
        <w:spacing w:before="160" w:after="160"/>
        <w:jc w:val="center"/>
      </w:pPr>
      <w:r>
        <w:rPr>
          <w:color w:val="B4B4B4"/>
        </w:rPr>
        <w:t>――――――――――――――――――――――――――――――――――――――――</w:t>
      </w:r>
    </w:p>
    <w:p>
      <w:pPr>
        <w:spacing w:before="240" w:after="120"/>
      </w:pPr>
      <w:r>
        <w:rPr>
          <w:rFonts w:ascii="Calibri" w:hAnsi="Calibri"/>
          <w:b/>
          <w:color w:val="2E75B6"/>
          <w:sz w:val="26"/>
        </w:rPr>
        <w:t>Figure A.5: DAST Baseline Alert Overview (OWASP ZAP v2.15.0)</w:t>
      </w:r>
    </w:p>
    <w:p>
      <w:pPr>
        <w:spacing w:before="240" w:after="8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fig_dast_zap_alert_overview.png"/>
                    <pic:cNvPicPr/>
                  </pic:nvPicPr>
                  <pic:blipFill>
                    <a:blip r:embed="rId13"/>
                    <a:stretch>
                      <a:fillRect/>
                    </a:stretch>
                  </pic:blipFill>
                  <pic:spPr>
                    <a:xfrm>
                      <a:off x="0" y="0"/>
                      <a:ext cx="5486400" cy="3086100"/>
                    </a:xfrm>
                    <a:prstGeom prst="rect"/>
                  </pic:spPr>
                </pic:pic>
              </a:graphicData>
            </a:graphic>
          </wp:inline>
        </w:drawing>
      </w:r>
    </w:p>
    <w:p>
      <w:pPr>
        <w:spacing w:before="40" w:after="280"/>
        <w:jc w:val="center"/>
      </w:pPr>
      <w:r>
        <w:rPr>
          <w:rFonts w:ascii="Calibri" w:hAnsi="Calibri"/>
          <w:i/>
          <w:color w:val="646464"/>
          <w:sz w:val="19"/>
        </w:rPr>
        <w:t>OWASP ZAP DAST Alert Overview</w:t>
      </w:r>
    </w:p>
    <w:p>
      <w:pPr>
        <w:spacing w:before="0" w:after="120" w:line="276" w:lineRule="auto"/>
      </w:pPr>
      <w:r>
        <w:rPr>
          <w:rFonts w:ascii="Calibri" w:hAnsi="Calibri"/>
          <w:i/>
          <w:color w:val="323232"/>
          <w:sz w:val="22"/>
        </w:rPr>
        <w:t>Figure A.5: OWASP ZAP v2.15.0 Active Scanner alert overview used as the baseline comparison system. DAST alerts classify detected vulnerabilities across High, Medium, Low, and Informational risk categories based purely on HTTP request/response black-box interactions.</w:t>
      </w:r>
    </w:p>
    <w:p>
      <w:pPr>
        <w:spacing w:before="160" w:after="160"/>
        <w:jc w:val="center"/>
      </w:pPr>
      <w:r>
        <w:rPr>
          <w:color w:val="B4B4B4"/>
        </w:rPr>
        <w:t>――――――――――――――――――――――――――――――――――――――――</w:t>
      </w:r>
    </w:p>
    <w:p>
      <w:pPr>
        <w:spacing w:before="240" w:after="120"/>
      </w:pPr>
      <w:r>
        <w:rPr>
          <w:rFonts w:ascii="Calibri" w:hAnsi="Calibri"/>
          <w:b/>
          <w:color w:val="2E75B6"/>
          <w:sz w:val="26"/>
        </w:rPr>
        <w:t>Figure A.6: DAST Detailed Finding View (Black-Box Payload Reflection)</w:t>
      </w:r>
    </w:p>
    <w:p>
      <w:pPr>
        <w:spacing w:before="240" w:after="8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fig_dast_zap_detailed_finding.png"/>
                    <pic:cNvPicPr/>
                  </pic:nvPicPr>
                  <pic:blipFill>
                    <a:blip r:embed="rId14"/>
                    <a:stretch>
                      <a:fillRect/>
                    </a:stretch>
                  </pic:blipFill>
                  <pic:spPr>
                    <a:xfrm>
                      <a:off x="0" y="0"/>
                      <a:ext cx="5486400" cy="3086100"/>
                    </a:xfrm>
                    <a:prstGeom prst="rect"/>
                  </pic:spPr>
                </pic:pic>
              </a:graphicData>
            </a:graphic>
          </wp:inline>
        </w:drawing>
      </w:r>
    </w:p>
    <w:p>
      <w:pPr>
        <w:spacing w:before="40" w:after="280"/>
        <w:jc w:val="center"/>
      </w:pPr>
      <w:r>
        <w:rPr>
          <w:rFonts w:ascii="Calibri" w:hAnsi="Calibri"/>
          <w:i/>
          <w:color w:val="646464"/>
          <w:sz w:val="19"/>
        </w:rPr>
        <w:t>OWASP ZAP DAST Detailed Finding View</w:t>
      </w:r>
    </w:p>
    <w:p>
      <w:pPr>
        <w:spacing w:before="0" w:after="120" w:line="276" w:lineRule="auto"/>
      </w:pPr>
      <w:r>
        <w:rPr>
          <w:rFonts w:ascii="Calibri" w:hAnsi="Calibri"/>
          <w:i/>
          <w:color w:val="323232"/>
          <w:sz w:val="22"/>
        </w:rPr>
        <w:t>Figure A.6: Detailed OWASP ZAP alert view showing Reflected Cross-Site Scripting (XSS). In contrast to IAST, DAST relies on inferring vulnerability existence from HTTP response body payload reflection without visibility into internal application stack frames or sink execution parameters.</w:t>
      </w:r>
    </w:p>
    <w:p>
      <w:pPr>
        <w:spacing w:before="160" w:after="160"/>
        <w:jc w:val="center"/>
      </w:pPr>
      <w:r>
        <w:rPr>
          <w:color w:val="B4B4B4"/>
        </w:rPr>
        <w:t>――――――――――――――――――――――――――――――――――――――――</w:t>
      </w:r>
    </w:p>
    <w:p>
      <w:pPr>
        <w:spacing w:before="240" w:after="120"/>
      </w:pPr>
      <w:r>
        <w:rPr>
          <w:rFonts w:ascii="Calibri" w:hAnsi="Calibri"/>
          <w:b/>
          <w:color w:val="2E75B6"/>
          <w:sz w:val="26"/>
        </w:rPr>
        <w:t>Figure A.7: DAST Active Scan Completion &amp; Execution Telemetry</w:t>
      </w:r>
    </w:p>
    <w:p>
      <w:pPr>
        <w:spacing w:before="240" w:after="8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fig_dast_zap_scan_completed.png"/>
                    <pic:cNvPicPr/>
                  </pic:nvPicPr>
                  <pic:blipFill>
                    <a:blip r:embed="rId15"/>
                    <a:stretch>
                      <a:fillRect/>
                    </a:stretch>
                  </pic:blipFill>
                  <pic:spPr>
                    <a:xfrm>
                      <a:off x="0" y="0"/>
                      <a:ext cx="5486400" cy="3086100"/>
                    </a:xfrm>
                    <a:prstGeom prst="rect"/>
                  </pic:spPr>
                </pic:pic>
              </a:graphicData>
            </a:graphic>
          </wp:inline>
        </w:drawing>
      </w:r>
    </w:p>
    <w:p>
      <w:pPr>
        <w:spacing w:before="40" w:after="280"/>
        <w:jc w:val="center"/>
      </w:pPr>
      <w:r>
        <w:rPr>
          <w:rFonts w:ascii="Calibri" w:hAnsi="Calibri"/>
          <w:i/>
          <w:color w:val="646464"/>
          <w:sz w:val="19"/>
        </w:rPr>
        <w:t>OWASP ZAP Active Scan Completed Status</w:t>
      </w:r>
    </w:p>
    <w:p>
      <w:pPr>
        <w:spacing w:before="0" w:after="120" w:line="276" w:lineRule="auto"/>
      </w:pPr>
      <w:r>
        <w:rPr>
          <w:rFonts w:ascii="Calibri" w:hAnsi="Calibri"/>
          <w:i/>
          <w:color w:val="323232"/>
          <w:sz w:val="22"/>
        </w:rPr>
        <w:t>Figure A.7: Completion report of the OWASP ZAP active scan suite across the target application. The total scan duration reached 48.5 minutes (2,912 seconds) across 50 target endpoints, illustrating the high time and resource requirements of brute-force out-of-band security scanning.</w:t>
      </w:r>
    </w:p>
    <w:p>
      <w:pPr>
        <w:spacing w:before="160" w:after="160"/>
        <w:jc w:val="center"/>
      </w:pPr>
      <w:r>
        <w:rPr>
          <w:color w:val="B4B4B4"/>
        </w:rPr>
        <w:t>――――――――――――――――――――――――――――――――――――――――</w:t>
      </w:r>
    </w:p>
    <w:p>
      <w:pPr>
        <w:spacing w:before="240" w:after="120"/>
      </w:pPr>
      <w:r>
        <w:rPr>
          <w:rFonts w:ascii="Calibri" w:hAnsi="Calibri"/>
          <w:b/>
          <w:color w:val="2E75B6"/>
          <w:sz w:val="26"/>
        </w:rPr>
        <w:t>Figure A.8: In-Process Taint Trace Missed by Black-Box DAST Scanning</w:t>
      </w:r>
    </w:p>
    <w:p>
      <w:pPr>
        <w:spacing w:before="240" w:after="80"/>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fig_iast_missed_by_dast.png"/>
                    <pic:cNvPicPr/>
                  </pic:nvPicPr>
                  <pic:blipFill>
                    <a:blip r:embed="rId16"/>
                    <a:stretch>
                      <a:fillRect/>
                    </a:stretch>
                  </pic:blipFill>
                  <pic:spPr>
                    <a:xfrm>
                      <a:off x="0" y="0"/>
                      <a:ext cx="5486400" cy="3086100"/>
                    </a:xfrm>
                    <a:prstGeom prst="rect"/>
                  </pic:spPr>
                </pic:pic>
              </a:graphicData>
            </a:graphic>
          </wp:inline>
        </w:drawing>
      </w:r>
    </w:p>
    <w:p>
      <w:pPr>
        <w:spacing w:before="40" w:after="280"/>
        <w:jc w:val="center"/>
      </w:pPr>
      <w:r>
        <w:rPr>
          <w:rFonts w:ascii="Calibri" w:hAnsi="Calibri"/>
          <w:i/>
          <w:color w:val="646464"/>
          <w:sz w:val="19"/>
        </w:rPr>
        <w:t>IAST Finding Missed by DAST Scanning</w:t>
      </w:r>
    </w:p>
    <w:p>
      <w:pPr>
        <w:spacing w:before="0" w:after="120" w:line="276" w:lineRule="auto"/>
      </w:pPr>
      <w:r>
        <w:rPr>
          <w:rFonts w:ascii="Calibri" w:hAnsi="Calibri"/>
          <w:i/>
          <w:color w:val="323232"/>
          <w:sz w:val="22"/>
        </w:rPr>
        <w:t>Figure A.8: Comparison view highlighting an Out-of-Band OS Command Injection vulnerability (`CWE-78`) detected by Aegis IAST but missed by OWASP ZAP DAST. Because the backend application executed the injected payload via `subprocess.Popen()` without returning output in the HTTP response body, DAST failed to flag the flaw, whereas IAST captured the sink execution directly in memory.</w:t>
      </w:r>
    </w:p>
    <w:p>
      <w:pPr>
        <w:spacing w:before="160" w:after="160"/>
        <w:jc w:val="center"/>
      </w:pPr>
      <w:r>
        <w:rPr>
          <w:color w:val="B4B4B4"/>
        </w:rPr>
        <w:t>――――――――――――――――――――――――――――――――――――――――</w:t>
      </w:r>
    </w:p>
    <w:p>
      <w:pPr>
        <w:spacing w:before="240" w:after="120"/>
      </w:pPr>
      <w:r>
        <w:rPr>
          <w:rFonts w:ascii="Calibri" w:hAnsi="Calibri"/>
          <w:b/>
          <w:color w:val="2E75B6"/>
          <w:sz w:val="26"/>
        </w:rPr>
        <w:t>Figure A.9: Empirical Detection &amp; Efficacy Metrics Chart</w:t>
      </w:r>
    </w:p>
    <w:p>
      <w:pPr>
        <w:spacing w:before="240" w:after="80"/>
        <w:jc w:val="center"/>
      </w:pPr>
      <w:r>
        <w:drawing>
          <wp:inline xmlns:a="http://schemas.openxmlformats.org/drawingml/2006/main" xmlns:pic="http://schemas.openxmlformats.org/drawingml/2006/picture">
            <wp:extent cx="5486400" cy="3352800"/>
            <wp:docPr id="9" name="Picture 9"/>
            <wp:cNvGraphicFramePr>
              <a:graphicFrameLocks noChangeAspect="1"/>
            </wp:cNvGraphicFramePr>
            <a:graphic>
              <a:graphicData uri="http://schemas.openxmlformats.org/drawingml/2006/picture">
                <pic:pic>
                  <pic:nvPicPr>
                    <pic:cNvPr id="0" name="fig_results_detection_chart.png"/>
                    <pic:cNvPicPr/>
                  </pic:nvPicPr>
                  <pic:blipFill>
                    <a:blip r:embed="rId17"/>
                    <a:stretch>
                      <a:fillRect/>
                    </a:stretch>
                  </pic:blipFill>
                  <pic:spPr>
                    <a:xfrm>
                      <a:off x="0" y="0"/>
                      <a:ext cx="5486400" cy="3352800"/>
                    </a:xfrm>
                    <a:prstGeom prst="rect"/>
                  </pic:spPr>
                </pic:pic>
              </a:graphicData>
            </a:graphic>
          </wp:inline>
        </w:drawing>
      </w:r>
    </w:p>
    <w:p>
      <w:pPr>
        <w:spacing w:before="40" w:after="280"/>
        <w:jc w:val="center"/>
      </w:pPr>
      <w:r>
        <w:rPr>
          <w:rFonts w:ascii="Calibri" w:hAnsi="Calibri"/>
          <w:i/>
          <w:color w:val="646464"/>
          <w:sz w:val="19"/>
        </w:rPr>
        <w:t>Empirical Detection Efficacy Comparison Chart</w:t>
      </w:r>
    </w:p>
    <w:p>
      <w:pPr>
        <w:spacing w:before="0" w:after="120" w:line="276" w:lineRule="auto"/>
      </w:pPr>
      <w:r>
        <w:rPr>
          <w:rFonts w:ascii="Calibri" w:hAnsi="Calibri"/>
          <w:i/>
          <w:color w:val="323232"/>
          <w:sz w:val="22"/>
        </w:rPr>
        <w:t>Figure A.9: Bar chart comparing key empirical detection metrics across Aegis IAST, OWASP ZAP DAST, and SonarQube SAST across the 100-endpoint benchmark suite. Aegis IAST achieved 98.00% Precision, 98.00% Recall, 98.00% F1-Score, and a 2.00% False Discovery Rate (FDR).</w:t>
      </w:r>
    </w:p>
    <w:p>
      <w:pPr>
        <w:spacing w:before="160" w:after="160"/>
        <w:jc w:val="center"/>
      </w:pPr>
      <w:r>
        <w:rPr>
          <w:color w:val="B4B4B4"/>
        </w:rPr>
        <w:t>――――――――――――――――――――――――――――――――――――――――</w:t>
      </w:r>
    </w:p>
    <w:p>
      <w:pPr>
        <w:spacing w:before="240" w:after="120"/>
      </w:pPr>
      <w:r>
        <w:rPr>
          <w:rFonts w:ascii="Calibri" w:hAnsi="Calibri"/>
          <w:b/>
          <w:color w:val="2E75B6"/>
          <w:sz w:val="26"/>
        </w:rPr>
        <w:t>Figure A.10: Latency &amp; Mean Time to Scan (MTTS) Comparison</w:t>
      </w:r>
    </w:p>
    <w:p>
      <w:pPr>
        <w:spacing w:before="240" w:after="8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fig_results_latency_chart.png"/>
                    <pic:cNvPicPr/>
                  </pic:nvPicPr>
                  <pic:blipFill>
                    <a:blip r:embed="rId18"/>
                    <a:stretch>
                      <a:fillRect/>
                    </a:stretch>
                  </pic:blipFill>
                  <pic:spPr>
                    <a:xfrm>
                      <a:off x="0" y="0"/>
                      <a:ext cx="5486400" cy="3429000"/>
                    </a:xfrm>
                    <a:prstGeom prst="rect"/>
                  </pic:spPr>
                </pic:pic>
              </a:graphicData>
            </a:graphic>
          </wp:inline>
        </w:drawing>
      </w:r>
    </w:p>
    <w:p>
      <w:pPr>
        <w:spacing w:before="40" w:after="280"/>
        <w:jc w:val="center"/>
      </w:pPr>
      <w:r>
        <w:rPr>
          <w:rFonts w:ascii="Calibri" w:hAnsi="Calibri"/>
          <w:i/>
          <w:color w:val="646464"/>
          <w:sz w:val="19"/>
        </w:rPr>
        <w:t>Scan Latency and Execution Overhead Comparison</w:t>
      </w:r>
    </w:p>
    <w:p>
      <w:pPr>
        <w:spacing w:before="0" w:after="120" w:line="276" w:lineRule="auto"/>
      </w:pPr>
      <w:r>
        <w:rPr>
          <w:rFonts w:ascii="Calibri" w:hAnsi="Calibri"/>
          <w:i/>
          <w:color w:val="323232"/>
          <w:sz w:val="22"/>
        </w:rPr>
        <w:t>Figure A.10: Execution time comparison illustrating the 200.8x speedup achieved by Aegis IAST (14.5 seconds mean scan duration) over OWASP ZAP DAST (2,912.0 seconds), alongside per-request micro-overhead breakdown (2.8 ms IAST latency vs. 5.0 ms SLA limit).</w:t>
      </w:r>
    </w:p>
    <w:p>
      <w:pPr>
        <w:spacing w:before="160" w:after="160"/>
        <w:jc w:val="center"/>
      </w:pPr>
      <w:r>
        <w:rPr>
          <w:color w:val="B4B4B4"/>
        </w:rPr>
        <w:t>――――――――――――――――――――――――――――――――――――――――</w:t>
      </w:r>
    </w:p>
    <w:p>
      <w:pPr>
        <w:spacing w:before="240" w:after="120"/>
      </w:pPr>
      <w:r>
        <w:rPr>
          <w:rFonts w:ascii="Calibri" w:hAnsi="Calibri"/>
          <w:b/>
          <w:color w:val="2E75B6"/>
          <w:sz w:val="26"/>
        </w:rPr>
        <w:t>Figure A.11: 10-Run Empirical Stability &amp; Benchmark Metrics Matrix</w:t>
      </w:r>
    </w:p>
    <w:p>
      <w:pPr>
        <w:spacing w:before="240" w:after="80"/>
        <w:jc w:val="center"/>
      </w:pPr>
      <w:r>
        <w:drawing>
          <wp:inline xmlns:a="http://schemas.openxmlformats.org/drawingml/2006/main" xmlns:pic="http://schemas.openxmlformats.org/drawingml/2006/picture">
            <wp:extent cx="5486400" cy="3352800"/>
            <wp:docPr id="11" name="Picture 11"/>
            <wp:cNvGraphicFramePr>
              <a:graphicFrameLocks noChangeAspect="1"/>
            </wp:cNvGraphicFramePr>
            <a:graphic>
              <a:graphicData uri="http://schemas.openxmlformats.org/drawingml/2006/picture">
                <pic:pic>
                  <pic:nvPicPr>
                    <pic:cNvPr id="0" name="fig_results_ten_run_table.png"/>
                    <pic:cNvPicPr/>
                  </pic:nvPicPr>
                  <pic:blipFill>
                    <a:blip r:embed="rId19"/>
                    <a:stretch>
                      <a:fillRect/>
                    </a:stretch>
                  </pic:blipFill>
                  <pic:spPr>
                    <a:xfrm>
                      <a:off x="0" y="0"/>
                      <a:ext cx="5486400" cy="3352800"/>
                    </a:xfrm>
                    <a:prstGeom prst="rect"/>
                  </pic:spPr>
                </pic:pic>
              </a:graphicData>
            </a:graphic>
          </wp:inline>
        </w:drawing>
      </w:r>
    </w:p>
    <w:p>
      <w:pPr>
        <w:spacing w:before="40" w:after="280"/>
        <w:jc w:val="center"/>
      </w:pPr>
      <w:r>
        <w:rPr>
          <w:rFonts w:ascii="Calibri" w:hAnsi="Calibri"/>
          <w:i/>
          <w:color w:val="646464"/>
          <w:sz w:val="19"/>
        </w:rPr>
        <w:t>10-Run Empirical Benchmark Metrics Table</w:t>
      </w:r>
    </w:p>
    <w:p>
      <w:pPr>
        <w:spacing w:before="0" w:after="120" w:line="276" w:lineRule="auto"/>
      </w:pPr>
      <w:r>
        <w:rPr>
          <w:rFonts w:ascii="Calibri" w:hAnsi="Calibri"/>
          <w:i/>
          <w:color w:val="323232"/>
          <w:sz w:val="22"/>
        </w:rPr>
        <w:t>Figure A.11: Consolidated result table presenting metrics recorded across 10 independent evaluation runs. Results demonstrate high stability with minimal variance ($\sigma^2 &lt; 0.04$) across precision, recall, memory footprint, and execution overhead.</w:t>
      </w:r>
    </w:p>
    <w:p>
      <w:pPr>
        <w:spacing w:before="160" w:after="160"/>
        <w:jc w:val="center"/>
      </w:pPr>
      <w:r>
        <w:rPr>
          <w:color w:val="B4B4B4"/>
        </w:rPr>
        <w:t>――――――――――――――――――――――――――――――――――――――――</w:t>
      </w:r>
    </w:p>
    <w:p>
      <w:pPr>
        <w:spacing w:before="320" w:after="160"/>
      </w:pPr>
      <w:r>
        <w:rPr>
          <w:rFonts w:ascii="Calibri" w:hAnsi="Calibri"/>
          <w:b/>
          <w:color w:val="1F4E78"/>
          <w:sz w:val="32"/>
        </w:rPr>
        <w:t>Appendix B: Code Snippets</w:t>
      </w:r>
    </w:p>
    <w:p>
      <w:pPr>
        <w:spacing w:before="0" w:after="120" w:line="276" w:lineRule="auto"/>
      </w:pPr>
      <w:r>
        <w:rPr>
          <w:rFonts w:ascii="Calibri" w:hAnsi="Calibri"/>
          <w:b w:val="0"/>
          <w:i w:val="0"/>
          <w:color w:val="323232"/>
          <w:sz w:val="22"/>
        </w:rPr>
        <w:t>This appendix contains core implementation source code snippets from the Aegis IAST runtime instrumentation agent, taint propagation engine, sink rule evaluation suite, event streaming architecture, and security reporting API router.</w:t>
      </w:r>
    </w:p>
    <w:p>
      <w:pPr>
        <w:spacing w:before="240" w:after="120"/>
      </w:pPr>
      <w:r>
        <w:rPr>
          <w:rFonts w:ascii="Calibri" w:hAnsi="Calibri"/>
          <w:b/>
          <w:color w:val="2E75B6"/>
          <w:sz w:val="26"/>
        </w:rPr>
        <w:t>Snippet B.1: In-Process Taint Tracking Engine &amp; Context Isolation (`aegis_python_agent/taint.py`)</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180" w:type="dxa"/>
              <w:right w:w="180" w:type="dxa"/>
            </w:tcMar>
          </w:tcPr>
          <w:p>
            <w:pPr>
              <w:spacing w:before="80" w:after="80"/>
            </w:pPr>
            <w:r>
              <w:rPr>
                <w:rFonts w:ascii="Consolas" w:hAnsi="Consolas"/>
                <w:color w:val="1E283C"/>
                <w:sz w:val="17"/>
              </w:rPr>
              <w:t>"""In-Process Taint Tracking Engine for Python Runtime Agent.</w:t>
              <w:br/>
              <w:br/>
              <w:t>Tracks untrusted data ranges (sources -&gt; propagators -&gt; sinks) using contextvars</w:t>
              <w:br/>
              <w:t>for safe async/thread isolation and memory-safe string wrapping.</w:t>
              <w:br/>
              <w:t>"""</w:t>
              <w:br/>
              <w:br/>
              <w:t>from __future__ import annotations</w:t>
              <w:br/>
              <w:t>import contextvars</w:t>
              <w:br/>
              <w:t>from dataclasses import dataclass, field</w:t>
              <w:br/>
              <w:t>from typing import Any</w:t>
              <w:br/>
              <w:br/>
              <w:t>@dataclass(frozen=True)</w:t>
              <w:br/>
              <w:t>class TaintRange:</w:t>
              <w:br/>
              <w:t xml:space="preserve">    start: int</w:t>
              <w:br/>
              <w:t xml:space="preserve">    end: int</w:t>
              <w:br/>
              <w:t xml:space="preserve">    source_kind: str</w:t>
              <w:br/>
              <w:t xml:space="preserve">    source_name: str</w:t>
              <w:br/>
              <w:br/>
              <w:t>@dataclass</w:t>
              <w:br/>
              <w:t>class TaintRecord:</w:t>
              <w:br/>
              <w:t xml:space="preserve">    value: str</w:t>
              <w:br/>
              <w:t xml:space="preserve">    ranges: list[TaintRange] = field(default_factory=list)</w:t>
              <w:br/>
              <w:br/>
              <w:t># Contextvar storing active request trace information for thread/async safety</w:t>
              <w:br/>
              <w:t>_CURRENT_TRACE: contextvars.ContextVar[dict[str, Any] | None] = contextvars.ContextVar(</w:t>
              <w:br/>
              <w:t xml:space="preserve">    "_CURRENT_TRACE", default=None</w:t>
              <w:br/>
              <w:t>)</w:t>
              <w:br/>
              <w:br/>
              <w:t># Registry mapping string object memory IDs to active TaintRecord instances</w:t>
              <w:br/>
              <w:t>_TAINT_REGISTRY: dict[int, TaintRecord] = {}</w:t>
              <w:br/>
              <w:br/>
              <w:t>def start_request_trace(trace_id: str, route: str, method: str) -&gt; None:</w:t>
              <w:br/>
              <w:t xml:space="preserve">    """Initialize request trace context for current async task or thread."""</w:t>
              <w:br/>
              <w:t xml:space="preserve">    _CURRENT_TRACE.set({</w:t>
              <w:br/>
              <w:t xml:space="preserve">        "trace_id": trace_id,</w:t>
              <w:br/>
              <w:t xml:space="preserve">        "route": route,</w:t>
              <w:br/>
              <w:t xml:space="preserve">        "method": method,</w:t>
              <w:br/>
              <w:t xml:space="preserve">        "sources": [],</w:t>
              <w:br/>
              <w:t xml:space="preserve">    })</w:t>
              <w:br/>
              <w:br/>
              <w:t>def clear_request_trace() -&gt; None:</w:t>
              <w:br/>
              <w:t xml:space="preserve">    """Clear request trace context at request boundary."""</w:t>
              <w:br/>
              <w:t xml:space="preserve">    _CURRENT_TRACE.set(None)</w:t>
              <w:br/>
              <w:br/>
              <w:t>class TaintedString(str):</w:t>
              <w:br/>
              <w:t xml:space="preserve">    """Subclassed string wrapper preserving taint attributes across C-extension boundaries."""</w:t>
              <w:br/>
              <w:t xml:space="preserve">    __slots__ = ("taint_record",)</w:t>
              <w:br/>
              <w:br/>
              <w:t xml:space="preserve">    def __new__(cls, value: str, record: TaintRecord) -&gt; TaintedString:</w:t>
              <w:br/>
              <w:t xml:space="preserve">        instance = super().__new__(cls, value)</w:t>
              <w:br/>
              <w:t xml:space="preserve">        instance.taint_record = record</w:t>
              <w:br/>
              <w:t xml:space="preserve">        return instance</w:t>
              <w:br/>
              <w:br/>
              <w:t>def mark_tainted(value: str, source_kind: str, source_name: str) -&gt; str:</w:t>
              <w:br/>
              <w:t xml:space="preserve">    """Mark an incoming HTTP parameter or body string as tainted from a specific source."""</w:t>
              <w:br/>
              <w:t xml:space="preserve">    if not value or not isinstance(value, str):</w:t>
              <w:br/>
              <w:t xml:space="preserve">        return value</w:t>
              <w:br/>
              <w:br/>
              <w:t xml:space="preserve">    tr = TaintRecord(</w:t>
              <w:br/>
              <w:t xml:space="preserve">        value=value,</w:t>
              <w:br/>
              <w:t xml:space="preserve">        ranges=[TaintRange(start=0, end=len(value), source_kind=source_kind, source_name=source_name)],</w:t>
              <w:br/>
              <w:t xml:space="preserve">    )</w:t>
              <w:br/>
              <w:t xml:space="preserve">    </w:t>
              <w:br/>
              <w:t xml:space="preserve">    # Wrap string to preserve taint attributes across native extensions</w:t>
              <w:br/>
              <w:t xml:space="preserve">    wrapped = TaintedString(value, tr)</w:t>
              <w:br/>
              <w:t xml:space="preserve">    _TAINT_REGISTRY[id(value)] = tr</w:t>
              <w:br/>
              <w:t xml:space="preserve">    _TAINT_REGISTRY[id(wrapped)] = tr</w:t>
              <w:br/>
              <w:br/>
              <w:t xml:space="preserve">    trace = _CURRENT_TRACE.get()</w:t>
              <w:br/>
              <w:t xml:space="preserve">    if trace is not None:</w:t>
              <w:br/>
              <w:t xml:space="preserve">        trace["sources"].append({"kind": source_kind, "name": source_name, "value": value[:100]})</w:t>
              <w:br/>
              <w:br/>
              <w:t xml:space="preserve">    return wrapped</w:t>
              <w:br/>
              <w:br/>
              <w:t>def is_tainted(value: Any) -&gt; tuple[bool, TaintRecord | None]:</w:t>
              <w:br/>
              <w:t xml:space="preserve">    """Verify whether a value is registered as tainted under the active request context.</w:t>
              <w:br/>
              <w:t xml:space="preserve">    </w:t>
              <w:br/>
              <w:t xml:space="preserve">    Enforces request-scoped context verification so static configuration constants</w:t>
              <w:br/>
              <w:t xml:space="preserve">    loaded outside active request traces are not falsely flagged.</w:t>
              <w:br/>
              <w:t xml:space="preserve">    """</w:t>
              <w:br/>
              <w:t xml:space="preserve">    if not isinstance(value, str):</w:t>
              <w:br/>
              <w:t xml:space="preserve">        return False, None</w:t>
              <w:br/>
              <w:br/>
              <w:t xml:space="preserve">    # 1. Direct TaintedString attribute inspection</w:t>
              <w:br/>
              <w:t xml:space="preserve">    if hasattr(value, "taint_record") and getattr(value, "taint_record") is not None:</w:t>
              <w:br/>
              <w:t xml:space="preserve">        return True, getattr(value, "taint_record")</w:t>
              <w:br/>
              <w:br/>
              <w:t xml:space="preserve">    # 2. String memory object ID lookup</w:t>
              <w:br/>
              <w:t xml:space="preserve">    rec = _TAINT_REGISTRY.get(id(value))</w:t>
              <w:br/>
              <w:t xml:space="preserve">    if rec is not None:</w:t>
              <w:br/>
              <w:t xml:space="preserve">        return True, rec</w:t>
              <w:br/>
              <w:br/>
              <w:t xml:space="preserve">    # 3. Substring evaluation within active request context</w:t>
              <w:br/>
              <w:t xml:space="preserve">    trace = _CURRENT_TRACE.get()</w:t>
              <w:br/>
              <w:t xml:space="preserve">    if trace is not None:</w:t>
              <w:br/>
              <w:t xml:space="preserve">        for val_id, record in list(_TAINT_REGISTRY.items())[-50:]:</w:t>
              <w:br/>
              <w:t xml:space="preserve">            if record.value and len(record.value) &gt;= 3 and record.value in value:</w:t>
              <w:br/>
              <w:t xml:space="preserve">                return True, record</w:t>
              <w:br/>
              <w:br/>
              <w:t xml:space="preserve">    return False, None</w:t>
              <w:br/>
            </w:r>
          </w:p>
        </w:tc>
      </w:tr>
    </w:tbl>
    <w:p>
      <w:pPr>
        <w:spacing w:after="120"/>
      </w:pPr>
    </w:p>
    <w:p>
      <w:pPr>
        <w:spacing w:before="160" w:after="160"/>
        <w:jc w:val="center"/>
      </w:pPr>
      <w:r>
        <w:rPr>
          <w:color w:val="B4B4B4"/>
        </w:rPr>
        <w:t>――――――――――――――――――――――――――――――――――――――――</w:t>
      </w:r>
    </w:p>
    <w:p>
      <w:pPr>
        <w:spacing w:before="240" w:after="120"/>
      </w:pPr>
      <w:r>
        <w:rPr>
          <w:rFonts w:ascii="Calibri" w:hAnsi="Calibri"/>
          <w:b/>
          <w:color w:val="2E75B6"/>
          <w:sz w:val="26"/>
        </w:rPr>
        <w:t>Snippet B.2: Generic Sink Inspector &amp; Vulnerability Rule Engine (`aegis_python_agent/sinks.py`)</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180" w:type="dxa"/>
              <w:right w:w="180" w:type="dxa"/>
            </w:tcMar>
          </w:tcPr>
          <w:p>
            <w:pPr>
              <w:spacing w:before="80" w:after="80"/>
            </w:pPr>
            <w:r>
              <w:rPr>
                <w:rFonts w:ascii="Consolas" w:hAnsi="Consolas"/>
                <w:color w:val="1E283C"/>
                <w:sz w:val="17"/>
              </w:rPr>
              <w:t>"""Sink Inspection &amp; Vulnerability Rule Evaluation Module.</w:t>
              <w:br/>
              <w:br/>
              <w:t>Evaluates security-sensitive operations across OWASP Top 10 rule categories:</w:t>
              <w:br/>
              <w:t>SQLi, Command Injection, Deserialization, XXE, Path Traversal, XSS, SSRF, etc.</w:t>
              <w:br/>
              <w:t>"""</w:t>
              <w:br/>
              <w:br/>
              <w:t>from __future__ import annotations</w:t>
              <w:br/>
              <w:t>import logging</w:t>
              <w:br/>
              <w:t>from typing import Any, Callable</w:t>
              <w:br/>
              <w:t>from .taint import _CURRENT_TRACE, is_tainted</w:t>
              <w:br/>
              <w:br/>
              <w:t>logger = logging.getLogger(__name__)</w:t>
              <w:br/>
              <w:br/>
              <w:t>def inspect_generic_sink(</w:t>
              <w:br/>
              <w:t xml:space="preserve">    val: str | list[str],</w:t>
              <w:br/>
              <w:t xml:space="preserve">    rule_key: str,</w:t>
              <w:br/>
              <w:t xml:space="preserve">    severity: str,</w:t>
              <w:br/>
              <w:t xml:space="preserve">    sink_signature: str,</w:t>
              <w:br/>
              <w:t xml:space="preserve">    trigger_condition: Callable[[str], bool] | None = None,</w:t>
              <w:br/>
              <w:t>) -&gt; dict[str, Any] | None:</w:t>
              <w:br/>
              <w:t xml:space="preserve">    """Inspect sensitive operation argument for tainted data and evaluate sink rules."""</w:t>
              <w:br/>
              <w:t xml:space="preserve">    try:</w:t>
              <w:br/>
              <w:t xml:space="preserve">        val_str = val if isinstance(val, str) else " ".join(val)</w:t>
              <w:br/>
              <w:t xml:space="preserve">        tainted, record = is_tainted(val_str)</w:t>
              <w:br/>
              <w:t xml:space="preserve">        if not tainted or record is None:</w:t>
              <w:br/>
              <w:t xml:space="preserve">            return None</w:t>
              <w:br/>
              <w:t xml:space="preserve">        if trigger_condition and not trigger_condition(val_str):</w:t>
              <w:br/>
              <w:t xml:space="preserve">            return None</w:t>
              <w:br/>
              <w:br/>
              <w:t xml:space="preserve">        trace = _CURRENT_TRACE.get()</w:t>
              <w:br/>
              <w:t xml:space="preserve">        trace_id = trace["trace_id"] if trace else "unknown-trace"</w:t>
              <w:br/>
              <w:t xml:space="preserve">        source_kind = record.ranges[0].source_kind if record.ranges else "PARAMETER"</w:t>
              <w:br/>
              <w:br/>
              <w:t xml:space="preserve">        return {</w:t>
              <w:br/>
              <w:t xml:space="preserve">            "rule_key": rule_key,</w:t>
              <w:br/>
              <w:t xml:space="preserve">            "severity": severity,</w:t>
              <w:br/>
              <w:t xml:space="preserve">            "sink_signature": sink_signature,</w:t>
              <w:br/>
              <w:t xml:space="preserve">            "source_kind": source_kind,</w:t>
              <w:br/>
              <w:t xml:space="preserve">            "sink_argument": val_str[:2000],</w:t>
              <w:br/>
              <w:t xml:space="preserve">            "trace_id": trace_id,</w:t>
              <w:br/>
              <w:t xml:space="preserve">        }</w:t>
              <w:br/>
              <w:t xml:space="preserve">    except Exception as exc:</w:t>
              <w:br/>
              <w:t xml:space="preserve">        logger.debug("Error inspecting sink %s: %s", sink_signature, exc)</w:t>
              <w:br/>
              <w:t xml:space="preserve">        return None</w:t>
              <w:br/>
              <w:br/>
              <w:t># Rule-Specific Sink Interceptors</w:t>
              <w:br/>
              <w:t>def check_sql_sink(sql: str, sink_signature: str = "sqlite3.Cursor.execute") -&gt; dict[str, Any] | None:</w:t>
              <w:br/>
              <w:t xml:space="preserve">    return inspect_generic_sink(sql, "sql-injection", "CRITICAL", sink_signature)</w:t>
              <w:br/>
              <w:br/>
              <w:t>def check_command_sink(cmd: str | list[str], sink_signature: str = "subprocess.Popen") -&gt; dict[str, Any] | None:</w:t>
              <w:br/>
              <w:t xml:space="preserve">    return inspect_generic_sink(cmd, "command-injection", "CRITICAL", sink_signature)</w:t>
              <w:br/>
              <w:br/>
              <w:t>def check_deserialization_sink(data: str | bytes, sink_signature: str = "pickle.loads") -&gt; dict[str, Any] | None:</w:t>
              <w:br/>
              <w:t xml:space="preserve">    val_str = data.decode("utf-8", errors="ignore") if isinstance(data, bytes) else str(data)</w:t>
              <w:br/>
              <w:t xml:space="preserve">    return inspect_generic_sink(val_str, "unsafe-deserialization", "CRITICAL", sink_signature)</w:t>
              <w:br/>
              <w:br/>
              <w:t>def check_xxe_sink(xml_data: str, sink_signature: str = "xml.etree.ElementTree.fromstring") -&gt; dict[str, Any] | None:</w:t>
              <w:br/>
              <w:t xml:space="preserve">    return inspect_generic_sink(</w:t>
              <w:br/>
              <w:t xml:space="preserve">        xml_data, "xxe", "CRITICAL", sink_signature,</w:t>
              <w:br/>
              <w:t xml:space="preserve">        trigger_condition=lambda x: "&lt;!ENTITY" in x.upper() or "&lt;!DOCTYPE" in x.upper() or "SYSTEM" in x.upper()</w:t>
              <w:br/>
              <w:t xml:space="preserve">    )</w:t>
              <w:br/>
              <w:br/>
              <w:t>def check_path_traversal_sink(path: str, sink_signature: str = "builtins.open") -&gt; dict[str, Any] | None:</w:t>
              <w:br/>
              <w:t xml:space="preserve">    return inspect_generic_sink(</w:t>
              <w:br/>
              <w:t xml:space="preserve">        path, "path-traversal", "HIGH", sink_signature,</w:t>
              <w:br/>
              <w:t xml:space="preserve">        trigger_condition=lambda p: ".." in p or p.startswith("/") or "\\" in p</w:t>
              <w:br/>
              <w:t xml:space="preserve">    )</w:t>
              <w:br/>
            </w:r>
          </w:p>
        </w:tc>
      </w:tr>
    </w:tbl>
    <w:p>
      <w:pPr>
        <w:spacing w:after="120"/>
      </w:pPr>
    </w:p>
    <w:p>
      <w:pPr>
        <w:spacing w:before="160" w:after="160"/>
        <w:jc w:val="center"/>
      </w:pPr>
      <w:r>
        <w:rPr>
          <w:color w:val="B4B4B4"/>
        </w:rPr>
        <w:t>――――――――――――――――――――――――――――――――――――――――</w:t>
      </w:r>
    </w:p>
    <w:p>
      <w:pPr>
        <w:spacing w:before="240" w:after="120"/>
      </w:pPr>
      <w:r>
        <w:rPr>
          <w:rFonts w:ascii="Calibri" w:hAnsi="Calibri"/>
          <w:b/>
          <w:color w:val="2E75B6"/>
          <w:sz w:val="26"/>
        </w:rPr>
        <w:t>Snippet B.3: Runtime Agent Middleware Hook &amp; Function Wrapping (`aegis_python_agent/agent.py`)</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180" w:type="dxa"/>
              <w:right w:w="180" w:type="dxa"/>
            </w:tcMar>
          </w:tcPr>
          <w:p>
            <w:pPr>
              <w:spacing w:before="80" w:after="80"/>
            </w:pPr>
            <w:r>
              <w:rPr>
                <w:rFonts w:ascii="Consolas" w:hAnsi="Consolas"/>
                <w:color w:val="1E283C"/>
                <w:sz w:val="17"/>
              </w:rPr>
              <w:t>"""Runtime Agent Hooking &amp; ASGI Middleware Integration.</w:t>
              <w:br/>
              <w:br/>
              <w:t>Intercepts incoming web requests to mark query parameters and request bodies</w:t>
              <w:br/>
              <w:t>as tainted sources, wrapping standard database and OS functions dynamically.</w:t>
              <w:br/>
              <w:t>"""</w:t>
              <w:br/>
              <w:br/>
              <w:t>import functools</w:t>
              <w:br/>
              <w:t>import uuid</w:t>
              <w:br/>
              <w:t>from typing import Callable, Any</w:t>
              <w:br/>
              <w:t>from .taint import start_request_trace, clear_request_trace, mark_tainted</w:t>
              <w:br/>
              <w:t>from .sinks import check_sql_sink, check_command_sink</w:t>
              <w:br/>
              <w:br/>
              <w:t>def hook_function(target_obj: Any, attr_name: str, wrapper_factory: Callable) -&gt; None:</w:t>
              <w:br/>
              <w:t xml:space="preserve">    """Dynamically replace target function with an instrumented wrapper."""</w:t>
              <w:br/>
              <w:t xml:space="preserve">    original = getattr(target_obj, attr_name)</w:t>
              <w:br/>
              <w:t xml:space="preserve">    wrapper = wrapper_factory(original)</w:t>
              <w:br/>
              <w:t xml:space="preserve">    setattr(target_obj, attr_name, wrapper)</w:t>
              <w:br/>
              <w:br/>
              <w:t>def sql_execute_wrapper(original_execute: Callable) -&gt; Callable:</w:t>
              <w:br/>
              <w:t xml:space="preserve">    @functools.wraps(original_execute)</w:t>
              <w:br/>
              <w:t xml:space="preserve">    def wrapper(self, sql: str, *args, **kwargs):</w:t>
              <w:br/>
              <w:t xml:space="preserve">        finding = check_sql_sink(sql, sink_signature="sqlite3.Cursor.execute")</w:t>
              <w:br/>
              <w:t xml:space="preserve">        if finding:</w:t>
              <w:br/>
              <w:t xml:space="preserve">            # Emit vulnerability event out-of-band via background thread</w:t>
              <w:br/>
              <w:t xml:space="preserve">            from .agent import emit_finding_event</w:t>
              <w:br/>
              <w:t xml:space="preserve">            emit_finding_event(finding)</w:t>
              <w:br/>
              <w:t xml:space="preserve">        return original_execute(self, sql, *args, **kwargs)</w:t>
              <w:br/>
              <w:t xml:space="preserve">    return wrapper</w:t>
              <w:br/>
              <w:br/>
              <w:t>class AegisASGIMiddleware:</w:t>
              <w:br/>
              <w:t xml:space="preserve">    """ASGI Middleware initializing request-scoped taint tracking context."""</w:t>
              <w:br/>
              <w:br/>
              <w:t xml:space="preserve">    def __init__(self, app: Any):</w:t>
              <w:br/>
              <w:t xml:space="preserve">        self.app = app</w:t>
              <w:br/>
              <w:br/>
              <w:t xml:space="preserve">    async def __call__(self, scope: dict, receive: Callable, send: Callable) -&gt; None:</w:t>
              <w:br/>
              <w:t xml:space="preserve">        if scope["type"] != "http":</w:t>
              <w:br/>
              <w:t xml:space="preserve">            await self.app(scope, receive, send)</w:t>
              <w:br/>
              <w:t xml:space="preserve">            return</w:t>
              <w:br/>
              <w:br/>
              <w:t xml:space="preserve">        trace_id = str(uuid.uuid4())</w:t>
              <w:br/>
              <w:t xml:space="preserve">        route = scope.get("path", "/")</w:t>
              <w:br/>
              <w:t xml:space="preserve">        method = scope.get("method", "GET")</w:t>
              <w:br/>
              <w:br/>
              <w:t xml:space="preserve">        start_request_trace(trace_id, route, method)</w:t>
              <w:br/>
              <w:t xml:space="preserve">        </w:t>
              <w:br/>
              <w:t xml:space="preserve">        # Taint query string parameters</w:t>
              <w:br/>
              <w:t xml:space="preserve">        query_string = scope.get("query_string", b"").decode("utf-8")</w:t>
              <w:br/>
              <w:t xml:space="preserve">        if query_string:</w:t>
              <w:br/>
              <w:t xml:space="preserve">            mark_tainted(query_string, "QUERY_PARAMETER", "raw_query")</w:t>
              <w:br/>
              <w:br/>
              <w:t xml:space="preserve">        try:</w:t>
              <w:br/>
              <w:t xml:space="preserve">            await self.app(scope, receive, send)</w:t>
              <w:br/>
              <w:t xml:space="preserve">        finally:</w:t>
              <w:br/>
              <w:t xml:space="preserve">            clear_request_trace()</w:t>
              <w:br/>
            </w:r>
          </w:p>
        </w:tc>
      </w:tr>
    </w:tbl>
    <w:p>
      <w:pPr>
        <w:spacing w:after="120"/>
      </w:pPr>
    </w:p>
    <w:p>
      <w:pPr>
        <w:spacing w:before="160" w:after="160"/>
        <w:jc w:val="center"/>
      </w:pPr>
      <w:r>
        <w:rPr>
          <w:color w:val="B4B4B4"/>
        </w:rPr>
        <w:t>――――――――――――――――――――――――――――――――――――――――</w:t>
      </w:r>
    </w:p>
    <w:p>
      <w:pPr>
        <w:spacing w:before="240" w:after="120"/>
      </w:pPr>
      <w:r>
        <w:rPr>
          <w:rFonts w:ascii="Calibri" w:hAnsi="Calibri"/>
          <w:b/>
          <w:color w:val="2E75B6"/>
          <w:sz w:val="26"/>
        </w:rPr>
        <w:t>Snippet B.4: Asynchronous Finding Ingestion Event Pipeline (`apps/worker/ingestion.py`)</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180" w:type="dxa"/>
              <w:right w:w="180" w:type="dxa"/>
            </w:tcMar>
          </w:tcPr>
          <w:p>
            <w:pPr>
              <w:spacing w:before="80" w:after="80"/>
            </w:pPr>
            <w:r>
              <w:rPr>
                <w:rFonts w:ascii="Consolas" w:hAnsi="Consolas"/>
                <w:color w:val="1E283C"/>
                <w:sz w:val="17"/>
              </w:rPr>
              <w:t>"""Asynchronous Security Finding Ingestion &amp; Storage Pipeline.</w:t>
              <w:br/>
              <w:br/>
              <w:t>Consumes security finding events from Apache Kafka and writes dual persistent</w:t>
              <w:br/>
              <w:t>records to PostgreSQL (relational state) and ClickHouse (analytics stream).</w:t>
              <w:br/>
              <w:t>"""</w:t>
              <w:br/>
              <w:br/>
              <w:t>import json</w:t>
              <w:br/>
              <w:t>import logging</w:t>
              <w:br/>
              <w:t>from typing import Dict, Any</w:t>
              <w:br/>
              <w:br/>
              <w:t>logger = logging.getLogger("aegis.worker")</w:t>
              <w:br/>
              <w:br/>
              <w:t>async def process_finding_event(event_data: Dict[str, Any], db_pool, clickhouse_client) -&gt; None:</w:t>
              <w:br/>
              <w:t xml:space="preserve">    """Process and persist an ingested runtime vulnerability finding event."""</w:t>
              <w:br/>
              <w:t xml:space="preserve">    rule_key = event_data.get("rule_key")</w:t>
              <w:br/>
              <w:t xml:space="preserve">    severity = event_data.get("severity")</w:t>
              <w:br/>
              <w:t xml:space="preserve">    sink_sig = event_data.get("sink_signature")</w:t>
              <w:br/>
              <w:t xml:space="preserve">    sink_arg = event_data.get("sink_argument")</w:t>
              <w:br/>
              <w:t xml:space="preserve">    trace_id = event_data.get("trace_id")</w:t>
              <w:br/>
              <w:br/>
              <w:t xml:space="preserve">    # 1. Insert operational record into PostgreSQL</w:t>
              <w:br/>
              <w:t xml:space="preserve">    async with db_pool.acquire() as conn:</w:t>
              <w:br/>
              <w:t xml:space="preserve">        await conn.execute(</w:t>
              <w:br/>
              <w:t xml:space="preserve">            """</w:t>
              <w:br/>
              <w:t xml:space="preserve">            INSERT INTO findings (trace_id, rule_key, severity, sink_signature, sink_argument, status, created_at)</w:t>
              <w:br/>
              <w:t xml:space="preserve">            VALUES ($1, $2, $3, $4, $5, 'OPEN', NOW())</w:t>
              <w:br/>
              <w:t xml:space="preserve">            ON CONFLICT (trace_id, rule_key) DO UPDATE</w:t>
              <w:br/>
              <w:t xml:space="preserve">            SET occurrence_count = findings.occurrence_count + 1, updated_at = NOW()</w:t>
              <w:br/>
              <w:t xml:space="preserve">            """,</w:t>
              <w:br/>
              <w:t xml:space="preserve">            trace_id, rule_key, severity, sink_sig, sink_arg</w:t>
              <w:br/>
              <w:t xml:space="preserve">        )</w:t>
              <w:br/>
              <w:br/>
              <w:t xml:space="preserve">    # 2. Insert telemetry row into ClickHouse columnar data warehouse</w:t>
              <w:br/>
              <w:t xml:space="preserve">    clickhouse_client.execute(</w:t>
              <w:br/>
              <w:t xml:space="preserve">        """</w:t>
              <w:br/>
              <w:t xml:space="preserve">        INSERT INTO aegis_analytics.finding_events</w:t>
              <w:br/>
              <w:t xml:space="preserve">        (trace_id, rule_key, severity, sink_signature, created_at)</w:t>
              <w:br/>
              <w:t xml:space="preserve">        VALUES</w:t>
              <w:br/>
              <w:t xml:space="preserve">        """,</w:t>
              <w:br/>
              <w:t xml:space="preserve">        [(trace_id, rule_key, severity, sink_sig, "NOW()")]</w:t>
              <w:br/>
              <w:t xml:space="preserve">    )</w:t>
              <w:br/>
              <w:t xml:space="preserve">    logger.info("Successfully ingested finding trace=%s rule=%s severity=%s", trace_id, rule_key, severity)</w:t>
              <w:br/>
            </w:r>
          </w:p>
        </w:tc>
      </w:tr>
    </w:tbl>
    <w:p>
      <w:pPr>
        <w:spacing w:after="120"/>
      </w:pPr>
    </w:p>
    <w:p>
      <w:pPr>
        <w:spacing w:before="160" w:after="160"/>
        <w:jc w:val="center"/>
      </w:pPr>
      <w:r>
        <w:rPr>
          <w:color w:val="B4B4B4"/>
        </w:rPr>
        <w:t>――――――――――――――――――――――――――――――――――――――――</w:t>
      </w:r>
    </w:p>
    <w:p>
      <w:pPr>
        <w:spacing w:before="240" w:after="120"/>
      </w:pPr>
      <w:r>
        <w:rPr>
          <w:rFonts w:ascii="Calibri" w:hAnsi="Calibri"/>
          <w:b/>
          <w:color w:val="2E75B6"/>
          <w:sz w:val="26"/>
        </w:rPr>
        <w:t>Snippet B.5: Fast-Path Security Reporting API Router (`app/api/reports.py`)</w:t>
      </w:r>
    </w:p>
    <w:tbl>
      <w:tblPr>
        <w:tblW w:type="auto" w:w="0"/>
        <w:jc w:val="center"/>
        <w:tblLook w:firstColumn="1" w:firstRow="1" w:lastColumn="0" w:lastRow="0" w:noHBand="0" w:noVBand="1" w:val="04A0"/>
      </w:tblPr>
      <w:tblGrid>
        <w:gridCol w:w="9360"/>
      </w:tblGrid>
      <w:tr>
        <w:tc>
          <w:tcPr>
            <w:tcW w:type="dxa" w:w="9360"/>
            <w:shd w:fill="F4F5F7"/>
            <w:tcMar>
              <w:top w:w="140" w:type="dxa"/>
              <w:bottom w:w="140" w:type="dxa"/>
              <w:left w:w="180" w:type="dxa"/>
              <w:right w:w="180" w:type="dxa"/>
            </w:tcMar>
          </w:tcPr>
          <w:p>
            <w:pPr>
              <w:spacing w:before="80" w:after="80"/>
            </w:pPr>
            <w:r>
              <w:rPr>
                <w:rFonts w:ascii="Consolas" w:hAnsi="Consolas"/>
                <w:color w:val="1E283C"/>
                <w:sz w:val="17"/>
              </w:rPr>
              <w:t>"""FastAPI Controller Router for Security Finding Reports &amp; Analytics."""</w:t>
              <w:br/>
              <w:br/>
              <w:t>from fastapi import APIRouter, Depends, Query, HTTPException</w:t>
              <w:br/>
              <w:t>from typing import List, Optional</w:t>
              <w:br/>
              <w:t>from pydantic import BaseModel</w:t>
              <w:br/>
              <w:br/>
              <w:t>router = APIRouter(prefix="/api/v1/reports", tags=["Security Reports"])</w:t>
              <w:br/>
              <w:br/>
              <w:t>class FindingResponse(BaseModel):</w:t>
              <w:br/>
              <w:t xml:space="preserve">    trace_id: str</w:t>
              <w:br/>
              <w:t xml:space="preserve">    rule_key: str</w:t>
              <w:br/>
              <w:t xml:space="preserve">    severity: str</w:t>
              <w:br/>
              <w:t xml:space="preserve">    sink_signature: str</w:t>
              <w:br/>
              <w:t xml:space="preserve">    sink_argument: str</w:t>
              <w:br/>
              <w:t xml:space="preserve">    status: str</w:t>
              <w:br/>
              <w:br/>
              <w:t>@router.get("/findings", response_model=List[FindingResponse])</w:t>
              <w:br/>
              <w:t>async def list_security_findings(</w:t>
              <w:br/>
              <w:t xml:space="preserve">    severity: Optional[str] = Query(None, description="Filter by severity (CRITICAL, HIGH, MEDIUM, LOW)"),</w:t>
              <w:br/>
              <w:t xml:space="preserve">    rule_key: Optional[str] = Query(None, description="Filter by OWASP vulnerability rule key"),</w:t>
              <w:br/>
              <w:t xml:space="preserve">    limit: int = Query(50, ge=1, le=500),</w:t>
              <w:br/>
              <w:t>):</w:t>
              <w:br/>
              <w:t xml:space="preserve">    """Retrieve security findings captured by active Aegis IAST runtime agents."""</w:t>
              <w:br/>
              <w:t xml:space="preserve">    query = "SELECT trace_id, rule_key, severity, sink_signature, sink_argument, status FROM findings WHERE 1=1"</w:t>
              <w:br/>
              <w:t xml:space="preserve">    params = []</w:t>
              <w:br/>
              <w:t xml:space="preserve">    </w:t>
              <w:br/>
              <w:t xml:space="preserve">    if severity:</w:t>
              <w:br/>
              <w:t xml:space="preserve">        params.append(severity.upper())</w:t>
              <w:br/>
              <w:t xml:space="preserve">        query += f" AND severity = ${len(params)}"</w:t>
              <w:br/>
              <w:t xml:space="preserve">    if rule_key:</w:t>
              <w:br/>
              <w:t xml:space="preserve">        params.append(rule_key.lower())</w:t>
              <w:br/>
              <w:t xml:space="preserve">        query += f" AND rule_key = ${len(params)}"</w:t>
              <w:br/>
              <w:br/>
              <w:t xml:space="preserve">    query += f" ORDER BY created_at DESC LIMIT {limit}"</w:t>
              <w:br/>
              <w:t xml:space="preserve">    </w:t>
              <w:br/>
              <w:t xml:space="preserve">    # Execute query against PostgreSQL data store (abstracted pool call)</w:t>
              <w:br/>
              <w:t xml:space="preserve">    findings = await fetch_findings_from_db(query, params)</w:t>
              <w:br/>
              <w:t xml:space="preserve">    return findings</w:t>
              <w:br/>
            </w:r>
          </w:p>
        </w:tc>
      </w:tr>
    </w:tbl>
    <w:p>
      <w:pPr>
        <w:spacing w:after="120"/>
      </w:pPr>
    </w:p>
    <w:p>
      <w:pPr>
        <w:spacing w:before="160" w:after="160"/>
        <w:jc w:val="center"/>
      </w:pPr>
      <w:r>
        <w:rPr>
          <w:color w:val="B4B4B4"/>
        </w:rPr>
        <w:t>――――――――――――――――――――――――――――――――――――――――</w:t>
      </w:r>
    </w:p>
    <w:p>
      <w:pPr>
        <w:spacing w:before="320" w:after="160"/>
      </w:pPr>
      <w:r>
        <w:rPr>
          <w:rFonts w:ascii="Calibri" w:hAnsi="Calibri"/>
          <w:b/>
          <w:color w:val="1F4E78"/>
          <w:sz w:val="32"/>
        </w:rPr>
        <w:t>Appendix C: Vulnerability Dataset</w:t>
      </w:r>
    </w:p>
    <w:p>
      <w:pPr>
        <w:spacing w:before="0" w:after="120" w:line="276" w:lineRule="auto"/>
      </w:pPr>
      <w:r>
        <w:rPr>
          <w:rFonts w:ascii="Calibri" w:hAnsi="Calibri"/>
          <w:b w:val="0"/>
          <w:i w:val="0"/>
          <w:color w:val="323232"/>
          <w:sz w:val="22"/>
        </w:rPr>
        <w:t>This appendix presents the complete empirical benchmark dataset comprising 100 test cases evaluated in Chapter 4: 50 vulnerable HTTP endpoints across the OWASP Top 10 vulnerability categories and 50 corresponding sanitized control endpoints.</w:t>
      </w:r>
    </w:p>
    <w:p>
      <w:pPr>
        <w:spacing w:before="240" w:after="120"/>
      </w:pPr>
      <w:r>
        <w:rPr>
          <w:rFonts w:ascii="Calibri" w:hAnsi="Calibri"/>
          <w:b/>
          <w:color w:val="2E75B6"/>
          <w:sz w:val="26"/>
        </w:rPr>
        <w:t>Table C.1: OWASP Top 10 Benchmark Vulnerability Test Dataset (50 Vulnerable Endpoints)</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vAlign w:val="center"/>
            <w:tcMar>
              <w:top w:w="100" w:type="dxa"/>
              <w:bottom w:w="100" w:type="dxa"/>
              <w:left w:w="120" w:type="dxa"/>
              <w:right w:w="120" w:type="dxa"/>
            </w:tcMar>
            <w:shd w:fill="1F4E78"/>
          </w:tcPr>
          <w:p>
            <w:pPr>
              <w:spacing w:before="40" w:after="40"/>
            </w:pPr>
            <w:r>
              <w:rPr>
                <w:rFonts w:ascii="Calibri" w:hAnsi="Calibri"/>
                <w:b/>
                <w:color w:val="FFFFFF"/>
                <w:sz w:val="18"/>
              </w:rPr>
              <w:t>ID</w:t>
            </w:r>
          </w:p>
        </w:tc>
        <w:tc>
          <w:tcPr>
            <w:tcW w:type="dxa" w:w="936"/>
            <w:vAlign w:val="center"/>
            <w:tcMar>
              <w:top w:w="100" w:type="dxa"/>
              <w:bottom w:w="100" w:type="dxa"/>
              <w:left w:w="120" w:type="dxa"/>
              <w:right w:w="120" w:type="dxa"/>
            </w:tcMar>
            <w:shd w:fill="1F4E78"/>
          </w:tcPr>
          <w:p>
            <w:pPr>
              <w:spacing w:before="40" w:after="40"/>
            </w:pPr>
            <w:r>
              <w:rPr>
                <w:rFonts w:ascii="Calibri" w:hAnsi="Calibri"/>
                <w:b/>
                <w:color w:val="FFFFFF"/>
                <w:sz w:val="18"/>
              </w:rPr>
              <w:t>OWASP Category</w:t>
            </w:r>
          </w:p>
        </w:tc>
        <w:tc>
          <w:tcPr>
            <w:tcW w:type="dxa" w:w="936"/>
            <w:vAlign w:val="center"/>
            <w:tcMar>
              <w:top w:w="100" w:type="dxa"/>
              <w:bottom w:w="100" w:type="dxa"/>
              <w:left w:w="120" w:type="dxa"/>
              <w:right w:w="120" w:type="dxa"/>
            </w:tcMar>
            <w:shd w:fill="1F4E78"/>
          </w:tcPr>
          <w:p>
            <w:pPr>
              <w:spacing w:before="40" w:after="40"/>
            </w:pPr>
            <w:r>
              <w:rPr>
                <w:rFonts w:ascii="Calibri" w:hAnsi="Calibri"/>
                <w:b/>
                <w:color w:val="FFFFFF"/>
                <w:sz w:val="18"/>
              </w:rPr>
              <w:t>CWE ID</w:t>
            </w:r>
          </w:p>
        </w:tc>
        <w:tc>
          <w:tcPr>
            <w:tcW w:type="dxa" w:w="936"/>
            <w:vAlign w:val="center"/>
            <w:tcMar>
              <w:top w:w="100" w:type="dxa"/>
              <w:bottom w:w="100" w:type="dxa"/>
              <w:left w:w="120" w:type="dxa"/>
              <w:right w:w="120" w:type="dxa"/>
            </w:tcMar>
            <w:shd w:fill="1F4E78"/>
          </w:tcPr>
          <w:p>
            <w:pPr>
              <w:spacing w:before="40" w:after="40"/>
            </w:pPr>
            <w:r>
              <w:rPr>
                <w:rFonts w:ascii="Calibri" w:hAnsi="Calibri"/>
                <w:b/>
                <w:color w:val="FFFFFF"/>
                <w:sz w:val="18"/>
              </w:rPr>
              <w:t>Target Endpoint</w:t>
            </w:r>
          </w:p>
        </w:tc>
        <w:tc>
          <w:tcPr>
            <w:tcW w:type="dxa" w:w="936"/>
            <w:vAlign w:val="center"/>
            <w:tcMar>
              <w:top w:w="100" w:type="dxa"/>
              <w:bottom w:w="100" w:type="dxa"/>
              <w:left w:w="120" w:type="dxa"/>
              <w:right w:w="120" w:type="dxa"/>
            </w:tcMar>
            <w:shd w:fill="1F4E78"/>
          </w:tcPr>
          <w:p>
            <w:pPr>
              <w:spacing w:before="40" w:after="40"/>
            </w:pPr>
            <w:r>
              <w:rPr>
                <w:rFonts w:ascii="Calibri" w:hAnsi="Calibri"/>
                <w:b/>
                <w:color w:val="FFFFFF"/>
                <w:sz w:val="18"/>
              </w:rPr>
              <w:t>HTTP Method</w:t>
            </w:r>
          </w:p>
        </w:tc>
        <w:tc>
          <w:tcPr>
            <w:tcW w:type="dxa" w:w="936"/>
            <w:vAlign w:val="center"/>
            <w:tcMar>
              <w:top w:w="100" w:type="dxa"/>
              <w:bottom w:w="100" w:type="dxa"/>
              <w:left w:w="120" w:type="dxa"/>
              <w:right w:w="120" w:type="dxa"/>
            </w:tcMar>
            <w:shd w:fill="1F4E78"/>
          </w:tcPr>
          <w:p>
            <w:pPr>
              <w:spacing w:before="40" w:after="40"/>
            </w:pPr>
            <w:r>
              <w:rPr>
                <w:rFonts w:ascii="Calibri" w:hAnsi="Calibri"/>
                <w:b/>
                <w:color w:val="FFFFFF"/>
                <w:sz w:val="18"/>
              </w:rPr>
              <w:t>Injected Payload</w:t>
            </w:r>
          </w:p>
        </w:tc>
        <w:tc>
          <w:tcPr>
            <w:tcW w:type="dxa" w:w="936"/>
            <w:vAlign w:val="center"/>
            <w:tcMar>
              <w:top w:w="100" w:type="dxa"/>
              <w:bottom w:w="100" w:type="dxa"/>
              <w:left w:w="120" w:type="dxa"/>
              <w:right w:w="120" w:type="dxa"/>
            </w:tcMar>
            <w:shd w:fill="1F4E78"/>
          </w:tcPr>
          <w:p>
            <w:pPr>
              <w:spacing w:before="40" w:after="40"/>
            </w:pPr>
            <w:r>
              <w:rPr>
                <w:rFonts w:ascii="Calibri" w:hAnsi="Calibri"/>
                <w:b/>
                <w:color w:val="FFFFFF"/>
                <w:sz w:val="18"/>
              </w:rPr>
              <w:t>Expected Rule</w:t>
            </w:r>
          </w:p>
        </w:tc>
        <w:tc>
          <w:tcPr>
            <w:tcW w:type="dxa" w:w="936"/>
            <w:vAlign w:val="center"/>
            <w:tcMar>
              <w:top w:w="100" w:type="dxa"/>
              <w:bottom w:w="100" w:type="dxa"/>
              <w:left w:w="120" w:type="dxa"/>
              <w:right w:w="120" w:type="dxa"/>
            </w:tcMar>
            <w:shd w:fill="1F4E78"/>
          </w:tcPr>
          <w:p>
            <w:pPr>
              <w:spacing w:before="40" w:after="40"/>
            </w:pPr>
            <w:r>
              <w:rPr>
                <w:rFonts w:ascii="Calibri" w:hAnsi="Calibri"/>
                <w:b/>
                <w:color w:val="FFFFFF"/>
                <w:sz w:val="18"/>
              </w:rPr>
              <w:t>Severity</w:t>
            </w:r>
          </w:p>
        </w:tc>
        <w:tc>
          <w:tcPr>
            <w:tcW w:type="dxa" w:w="936"/>
            <w:vAlign w:val="center"/>
            <w:tcMar>
              <w:top w:w="100" w:type="dxa"/>
              <w:bottom w:w="100" w:type="dxa"/>
              <w:left w:w="120" w:type="dxa"/>
              <w:right w:w="120" w:type="dxa"/>
            </w:tcMar>
            <w:shd w:fill="1F4E78"/>
          </w:tcPr>
          <w:p>
            <w:pPr>
              <w:spacing w:before="40" w:after="40"/>
            </w:pPr>
            <w:r>
              <w:rPr>
                <w:rFonts w:ascii="Calibri" w:hAnsi="Calibri"/>
                <w:b/>
                <w:color w:val="FFFFFF"/>
                <w:sz w:val="18"/>
              </w:rPr>
              <w:t>Intercepted Sensitive Sink</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V01</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SQL Injection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CWE-89</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/api/users/search</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admin' OR '1'='1</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sql-injection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CRITICAL</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sqlite3.Cursor.execute</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V02</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SQL Injection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CWE-89</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/api/orders/lookup</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101; DROP TABLE orders;--</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sql-injection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CRITICAL</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psycopg2.cursor.execute</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V03</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SQL Injection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CWE-89</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/api/auth/login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POST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{"user": "admin'--", "pass": "x"}</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sql-injection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CRITICAL</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sqlalchemy.engine.execute</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V04</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SQL Injection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CWE-89</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/api/products/filter</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category=books' UNION SELECT...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sql-injection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CRITICAL</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sqlite3.Cursor.execute</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V05</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SQL Injection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CWE-89</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/api/reports/query</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POST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{"raw_sql": "SELECT * FROM users"}</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sql-injection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CRITICAL</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sqlite3.Cursor.execute</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V06</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OS Command Injection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CWE-78</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/api/system/ping</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127.0.0.1; whoami</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command-injection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CRITICAL</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subprocess.Popen</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V07</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OS Command Injection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CWE-78</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/api/logs/view</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`app.log \</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cat /etc/passwd`</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command-injection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CRITICAL</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os.system</w:t>
            </w: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V08</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OS Command Injection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CWE-78</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/api/tools/lookup</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POST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{"host": "google.com &amp;&amp; id"}</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command-injection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CRITICAL</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subprocess.check_output</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V09</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OS Command Injection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CWE-78</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/api/media/convert</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POST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file.jpg; rm -rf /tmp/*</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command-injection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CRITICAL</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subprocess.Popen</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V10</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OS Command Injection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CWE-78</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/api/network/trace</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localhost \</w:t>
            </w:r>
            <w:r>
              <w:rPr>
                <w:rFonts w:ascii="Calibri" w:hAnsi="Calibri"/>
                <w:color w:val="282828"/>
                <w:sz w:val="17"/>
              </w:rPr>
              <w:t>id\</w:t>
            </w:r>
            <w:r>
              <w:rPr>
                <w:rFonts w:ascii="Consolas" w:hAnsi="Consolas"/>
                <w:color w:val="282828"/>
                <w:sz w:val="17"/>
              </w:rPr>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command-injection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CRITICAL</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os.popen</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V11</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Unsafe Deserialization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CWE-502</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/api/data/deserialize</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POST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cos\nsystem\n(S'id'\ntR.</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unsafe-deserialization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CRITICAL</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pickle.loads</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V12</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Unsafe Deserialization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CWE-502</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/api/cache/restore</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POST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Binary pickle blob (exec payload)</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unsafe-deserialization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CRITICAL</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pickle.loads</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V13</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Unsafe Deserialization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CWE-502</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/api/session/load</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POST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yaml.unsafe_load payload</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unsafe-deserialization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CRITICAL</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yaml.unsafe_load</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V14</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Unsafe Deserialization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CWE-502</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/api/config/import</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POST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jsonpickle payload with python obj</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unsafe-deserialization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CRITICAL</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jsonpickle.decode</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V15</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Unsafe Deserialization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CWE-502</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/api/jobs/submit</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POST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marshal.loads byte sequence</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unsafe-deserialization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CRITICAL</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marshal.loads</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V16</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XML External Entity (XXE)</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CWE-611</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/api/xml/parse</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POST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&lt;!ENTITY xxe SYSTEM "file:///etc/passwd"&gt;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xxe</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CRITICAL</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xml.etree.ElementTree.fromstring</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V17</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XML External Entity (XXE)</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CWE-611</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/api/soap/service</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POST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&lt;!DOCTYPE foo [&lt;!ENTITY xxe SYSTEM...]&gt;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xxe</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CRITICAL</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lxml.etree.fromstring</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V18</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XML External Entity (XXE)</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CWE-611</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/api/docs/import_xml</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POST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External DTD entity payload</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xxe</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CRITICAL</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xml.dom.minidom.parseString</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V19</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XML External Entity (XXE)</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CWE-611</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/api/config/xml</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POST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OOB SSRF XXE payload</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xxe</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CRITICAL</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xml.etree.ElementTree.fromstring</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V20</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XML External Entity (XXE)</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CWE-611</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/api/vxml/process</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POST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Billion laughs XML expansion</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xxe</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CRITICAL</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xml.etree.ElementTree.parse</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V21</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Path Traversal</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CWE-22</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/api/files/read</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filename=../../../../etc/passwd</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path-traversal</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HIGH</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builtins.open</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V22</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Path Traversal</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CWE-22</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/api/download/file</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path=..%2f..%2fetc%2fshadow</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path-traversal</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HIGH</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builtins.open</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V23</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Path Traversal</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CWE-22</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/api/templates/render</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tpl=../../../../var/log/syslog</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path-traversal</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HIGH</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jinja2.Environment.get_template</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V24</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Path Traversal</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CWE-22</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/api/static/load</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file=/etc/hosts</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path-traversal</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HIGH</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builtins.open</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V25</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Path Traversal</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CWE-22</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/api/logs/fetch</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log=../../../../root/.ssh/id_rsa</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path-traversal</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HIGH</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builtins.open</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V26</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Reflected XSS</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CWE-79</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/api/render/html</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user_input=&lt;script&gt;alert(1)&lt;/script&gt;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reflected-xss</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HIGH</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fastapi.responses.HTMLResponse</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V27</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Reflected XSS</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CWE-79</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/api/search/echo</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q=&lt;img src=x onerror=alert('XSS')&gt;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reflected-xss</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HIGH</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fastapi.responses.HTMLResponse</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V28</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Reflected XSS</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CWE-79</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/api/feedback/preview</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POST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{"msg": "&lt;svg/onload=alert(1)&gt;"}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reflected-xss</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HIGH</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fastapi.responses.HTMLResponse</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V29</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Reflected XSS</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CWE-79</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/api/profile/name</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name=javascript:alert(document.cookie)</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reflected-xss</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HIGH</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fastapi.responses.HTMLResponse</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V30</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Reflected XSS</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CWE-79</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/api/error/display</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err=&lt;iframe src="javascript:alert(1)"&gt;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reflected-xss</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HIGH</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fastapi.responses.HTMLResponse</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V31</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Server-Side Request Forgery</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CWE-918</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/api/fetch/url</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target=http://169.254.169.254/latest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ssrf</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HIGH</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urllib.request.urlopen</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V32</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Server-Side Request Forgery</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CWE-918</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/api/webhook/test</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POST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{"url": "http://10.0.0.1:8000/admin"}</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ssrf</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HIGH</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requests.get</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V33</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Server-Side Request Forgery</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CWE-918</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/api/proxy/request</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url=http://localhost:6379</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ssrf</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HIGH</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urllib.request.urlopen</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V34</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Server-Side Request Forgery</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CWE-918</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/api/image/fetch</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src=http://127.0.0.1:9000/minio</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ssrf</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HIGH</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requests.get</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V35</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Server-Side Request Forgery</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CWE-918</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/api/site/ping</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POST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{"endpoint": "http://169.254.169.254"}</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ssrf</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HIGH</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httpx.get</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V36</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Open Redirect</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CWE-601</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/api/navigate/redirect</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url=http://attacker-site.com</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open-redirect</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MEDIUM</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fastapi.responses.RedirectResponse</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V37</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Open Redirect</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CWE-601</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/api/auth/callback</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next=//evil.com/login</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open-redirect</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MEDIUM</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fastapi.responses.RedirectResponse</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V38</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Open Redirect</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CWE-601</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/api/logout/return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target=https://phishing-domain.com</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open-redirect</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MEDIUM</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fastapi.responses.RedirectResponse</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V39</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Open Redirect</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CWE-601</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/api/sso/continue</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dest=http://malicious-host.net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open-redirect</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MEDIUM</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fastapi.responses.RedirectResponse</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V40</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Open Redirect</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CWE-601</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/api/link/track</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goto=//attacker.org</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open-redirect</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MEDIUM</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fastapi.responses.RedirectResponse</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V41</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HTTP Header Injection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CWE-113</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/api/headers/set</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custom_header=val\r\nSet-Cookie: s=1</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header-injection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MEDIUM</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fastapi.responses.Response.headers</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V42</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HTTP Header Injection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CWE-113</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/api/response/header</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val=test%0d%0aLocation:%20evil.com</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header-injection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MEDIUM</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fastapi.responses.Response.headers</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V43</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HTTP Header Injection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CWE-113</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/api/cookie/set</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val=sess%0d%0aHTTP/1.1%20200%20OK</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header-injection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MEDIUM</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fastapi.responses.Response.headers</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V44</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HTTP Header Injection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CWE-113</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/api/lang/switch</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lang=en\r\nX-Injected: true</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header-injection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MEDIUM</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fastapi.responses.Response.headers</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V45</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HTTP Header Injection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CWE-113</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/api/cache/control</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mode=no-cache\nSet-Cookie: admin=1</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header-injection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MEDIUM</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fastapi.responses.Response.headers</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V46</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Log Injection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CWE-117</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/api/system/log</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msg=Login\nADMIN_PRIVILEGE_GRANTED</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log-injection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MEDIUM</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logging.Logger.info</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V47</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Log Injection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CWE-117</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/api/user/activity</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POST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{"action": "click\r\n[CRITICAL] Error"}</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log-injection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MEDIUM</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logging.Logger.warn</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V48</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Log Injection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CWE-117</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/api/audit/record</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event=logout%0a2026-08-24%20FAKE_LOG</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log-injection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MEDIUM</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logging.Logger.info</w:t>
            </w:r>
          </w:p>
        </w:tc>
        <w:tc>
          <w:tcPr>
            <w:tcW w:type="dxa" w:w="936"/>
          </w:tcPr>
          <w:p/>
        </w:tc>
      </w:tr>
      <w:tr>
        <w:tc>
          <w:tcPr>
            <w:tcW w:type="dxa" w:w="936"/>
            <w:vAlign w:val="center"/>
            <w:tcMar>
              <w:top w:w="100" w:type="dxa"/>
              <w:bottom w:w="100" w:type="dxa"/>
              <w:left w:w="120" w:type="dxa"/>
              <w:right w:w="120" w:type="dxa"/>
            </w:tcMar>
            <w:shd w:fill="F2F4F7"/>
          </w:tcPr>
          <w:p>
            <w:pPr>
              <w:spacing w:before="40" w:after="40"/>
            </w:pPr>
            <w:r>
              <w:rPr>
                <w:rFonts w:ascii="Calibri" w:hAnsi="Calibri"/>
                <w:b/>
                <w:color w:val="282828"/>
                <w:sz w:val="17"/>
              </w:rPr>
              <w:t>V49</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Log Injection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CWE-117</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/api/trace/event</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POST</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{"note": "test\nSystem Shutdown"}</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log-injection</w:t>
            </w:r>
          </w:p>
        </w:tc>
        <w:tc>
          <w:tcPr>
            <w:tcW w:type="dxa" w:w="936"/>
            <w:vAlign w:val="center"/>
            <w:tcMar>
              <w:top w:w="100" w:type="dxa"/>
              <w:bottom w:w="100" w:type="dxa"/>
              <w:left w:w="120" w:type="dxa"/>
              <w:right w:w="120" w:type="dxa"/>
            </w:tcMar>
            <w:shd w:fill="F2F4F7"/>
          </w:tcPr>
          <w:p>
            <w:pPr>
              <w:spacing w:before="40" w:after="40"/>
            </w:pPr>
            <w:r>
              <w:rPr>
                <w:rFonts w:ascii="Calibri" w:hAnsi="Calibri"/>
                <w:color w:val="282828"/>
                <w:sz w:val="17"/>
              </w:rPr>
              <w:t>MEDIUM</w:t>
            </w:r>
          </w:p>
        </w:tc>
        <w:tc>
          <w:tcPr>
            <w:tcW w:type="dxa" w:w="936"/>
            <w:vAlign w:val="center"/>
            <w:tcMar>
              <w:top w:w="100" w:type="dxa"/>
              <w:bottom w:w="100" w:type="dxa"/>
              <w:left w:w="120" w:type="dxa"/>
              <w:right w:w="120" w:type="dxa"/>
            </w:tcMar>
            <w:shd w:fill="F2F4F7"/>
          </w:tcPr>
          <w:p>
            <w:pPr>
              <w:spacing w:before="40" w:after="40"/>
            </w:pPr>
            <w:r>
              <w:rPr>
                <w:rFonts w:ascii="Consolas" w:hAnsi="Consolas"/>
                <w:color w:val="282828"/>
                <w:sz w:val="17"/>
              </w:rPr>
              <w:t>logging.Logger.error</w:t>
            </w:r>
          </w:p>
        </w:tc>
        <w:tc>
          <w:tcPr>
            <w:tcW w:type="dxa" w:w="936"/>
          </w:tcPr>
          <w:p/>
        </w:tc>
      </w:tr>
      <w:tr>
        <w:tc>
          <w:tcPr>
            <w:tcW w:type="dxa" w:w="936"/>
            <w:vAlign w:val="center"/>
            <w:tcMar>
              <w:top w:w="100" w:type="dxa"/>
              <w:bottom w:w="100" w:type="dxa"/>
              <w:left w:w="120" w:type="dxa"/>
              <w:right w:w="120" w:type="dxa"/>
            </w:tcMar>
            <w:shd w:fill="FFFFFF"/>
          </w:tcPr>
          <w:p>
            <w:pPr>
              <w:spacing w:before="40" w:after="40"/>
            </w:pPr>
            <w:r>
              <w:rPr>
                <w:rFonts w:ascii="Calibri" w:hAnsi="Calibri"/>
                <w:b/>
                <w:color w:val="282828"/>
                <w:sz w:val="17"/>
              </w:rPr>
              <w:t>V50</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Log Injection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CWE-117</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/api/debug/echo</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GET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debug=ok%0d%0aPASSWORD=secret</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log-injection</w:t>
            </w:r>
          </w:p>
        </w:tc>
        <w:tc>
          <w:tcPr>
            <w:tcW w:type="dxa" w:w="936"/>
            <w:vAlign w:val="center"/>
            <w:tcMar>
              <w:top w:w="100" w:type="dxa"/>
              <w:bottom w:w="100" w:type="dxa"/>
              <w:left w:w="120" w:type="dxa"/>
              <w:right w:w="120" w:type="dxa"/>
            </w:tcMar>
            <w:shd w:fill="FFFFFF"/>
          </w:tcPr>
          <w:p>
            <w:pPr>
              <w:spacing w:before="40" w:after="40"/>
            </w:pPr>
            <w:r>
              <w:rPr>
                <w:rFonts w:ascii="Calibri" w:hAnsi="Calibri"/>
                <w:color w:val="282828"/>
                <w:sz w:val="17"/>
              </w:rPr>
              <w:t>MEDIUM</w:t>
            </w:r>
          </w:p>
        </w:tc>
        <w:tc>
          <w:tcPr>
            <w:tcW w:type="dxa" w:w="936"/>
            <w:vAlign w:val="center"/>
            <w:tcMar>
              <w:top w:w="100" w:type="dxa"/>
              <w:bottom w:w="100" w:type="dxa"/>
              <w:left w:w="120" w:type="dxa"/>
              <w:right w:w="120" w:type="dxa"/>
            </w:tcMar>
            <w:shd w:fill="FFFFFF"/>
          </w:tcPr>
          <w:p>
            <w:pPr>
              <w:spacing w:before="40" w:after="40"/>
            </w:pPr>
            <w:r>
              <w:rPr>
                <w:rFonts w:ascii="Consolas" w:hAnsi="Consolas"/>
                <w:color w:val="282828"/>
                <w:sz w:val="17"/>
              </w:rPr>
              <w:t>logging.Logger.debug</w:t>
            </w:r>
          </w:p>
        </w:tc>
        <w:tc>
          <w:tcPr>
            <w:tcW w:type="dxa" w:w="936"/>
          </w:tcPr>
          <w:p/>
        </w:tc>
      </w:tr>
    </w:tbl>
    <w:p>
      <w:pPr>
        <w:spacing w:after="120"/>
      </w:pPr>
    </w:p>
    <w:p>
      <w:pPr>
        <w:spacing w:before="160" w:after="160"/>
        <w:jc w:val="center"/>
      </w:pPr>
      <w:r>
        <w:rPr>
          <w:color w:val="B4B4B4"/>
        </w:rPr>
        <w:t>――――――――――――――――――――――――――――――――――――――――</w:t>
      </w:r>
    </w:p>
    <w:p>
      <w:pPr>
        <w:spacing w:before="240" w:after="120"/>
      </w:pPr>
      <w:r>
        <w:rPr>
          <w:rFonts w:ascii="Calibri" w:hAnsi="Calibri"/>
          <w:b/>
          <w:color w:val="2E75B6"/>
          <w:sz w:val="26"/>
        </w:rPr>
        <w:t>Table C.2: Sanitized Control Dataset Specifications (50 Control Endpoints)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100" w:type="dxa"/>
              <w:bottom w:w="100" w:type="dxa"/>
              <w:left w:w="120" w:type="dxa"/>
              <w:right w:w="120" w:type="dxa"/>
            </w:tcMar>
            <w:shd w:fill="1F4E78"/>
          </w:tcPr>
          <w:p>
            <w:pPr>
              <w:spacing w:before="40" w:after="40"/>
            </w:pPr>
            <w:r>
              <w:rPr>
                <w:rFonts w:ascii="Calibri" w:hAnsi="Calibri"/>
                <w:b/>
                <w:color w:val="FFFFFF"/>
                <w:sz w:val="18"/>
              </w:rPr>
              <w:t>Category ID</w:t>
            </w:r>
          </w:p>
        </w:tc>
        <w:tc>
          <w:tcPr>
            <w:tcW w:type="dxa" w:w="1872"/>
            <w:vAlign w:val="center"/>
            <w:tcMar>
              <w:top w:w="100" w:type="dxa"/>
              <w:bottom w:w="100" w:type="dxa"/>
              <w:left w:w="120" w:type="dxa"/>
              <w:right w:w="120" w:type="dxa"/>
            </w:tcMar>
            <w:shd w:fill="1F4E78"/>
          </w:tcPr>
          <w:p>
            <w:pPr>
              <w:spacing w:before="40" w:after="40"/>
            </w:pPr>
            <w:r>
              <w:rPr>
                <w:rFonts w:ascii="Calibri" w:hAnsi="Calibri"/>
                <w:b/>
                <w:color w:val="FFFFFF"/>
                <w:sz w:val="18"/>
              </w:rPr>
              <w:t>Total Endpoints</w:t>
            </w:r>
          </w:p>
        </w:tc>
        <w:tc>
          <w:tcPr>
            <w:tcW w:type="dxa" w:w="1872"/>
            <w:vAlign w:val="center"/>
            <w:tcMar>
              <w:top w:w="100" w:type="dxa"/>
              <w:bottom w:w="100" w:type="dxa"/>
              <w:left w:w="120" w:type="dxa"/>
              <w:right w:w="120" w:type="dxa"/>
            </w:tcMar>
            <w:shd w:fill="1F4E78"/>
          </w:tcPr>
          <w:p>
            <w:pPr>
              <w:spacing w:before="40" w:after="40"/>
            </w:pPr>
            <w:r>
              <w:rPr>
                <w:rFonts w:ascii="Calibri" w:hAnsi="Calibri"/>
                <w:b/>
                <w:color w:val="FFFFFF"/>
                <w:sz w:val="18"/>
              </w:rPr>
              <w:t>Applied Mitigation / Neutralization Mechanism</w:t>
            </w:r>
          </w:p>
        </w:tc>
        <w:tc>
          <w:tcPr>
            <w:tcW w:type="dxa" w:w="1872"/>
            <w:vAlign w:val="center"/>
            <w:tcMar>
              <w:top w:w="100" w:type="dxa"/>
              <w:bottom w:w="100" w:type="dxa"/>
              <w:left w:w="120" w:type="dxa"/>
              <w:right w:w="120" w:type="dxa"/>
            </w:tcMar>
            <w:shd w:fill="1F4E78"/>
          </w:tcPr>
          <w:p>
            <w:pPr>
              <w:spacing w:before="40" w:after="40"/>
            </w:pPr>
            <w:r>
              <w:rPr>
                <w:rFonts w:ascii="Calibri" w:hAnsi="Calibri"/>
                <w:b/>
                <w:color w:val="FFFFFF"/>
                <w:sz w:val="18"/>
              </w:rPr>
              <w:t>Example Sanitized Input</w:t>
            </w:r>
          </w:p>
        </w:tc>
        <w:tc>
          <w:tcPr>
            <w:tcW w:type="dxa" w:w="1872"/>
            <w:vAlign w:val="center"/>
            <w:tcMar>
              <w:top w:w="100" w:type="dxa"/>
              <w:bottom w:w="100" w:type="dxa"/>
              <w:left w:w="120" w:type="dxa"/>
              <w:right w:w="120" w:type="dxa"/>
            </w:tcMar>
            <w:shd w:fill="1F4E78"/>
          </w:tcPr>
          <w:p>
            <w:pPr>
              <w:spacing w:before="40" w:after="40"/>
            </w:pPr>
            <w:r>
              <w:rPr>
                <w:rFonts w:ascii="Calibri" w:hAnsi="Calibri"/>
                <w:b/>
                <w:color w:val="FFFFFF"/>
                <w:sz w:val="18"/>
              </w:rPr>
              <w:t>Expected Benchmark Result</w:t>
            </w:r>
          </w:p>
        </w:tc>
      </w:tr>
      <w:tr>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C01-C05</w:t>
            </w:r>
          </w:p>
        </w:tc>
        <w:tc>
          <w:tcPr>
            <w:tcW w:type="dxa" w:w="1872"/>
            <w:vAlign w:val="center"/>
            <w:tcMar>
              <w:top w:w="100" w:type="dxa"/>
              <w:bottom w:w="100" w:type="dxa"/>
              <w:left w:w="120" w:type="dxa"/>
              <w:right w:w="120" w:type="dxa"/>
            </w:tcMar>
            <w:shd w:fill="F2F4F7"/>
          </w:tcPr>
          <w:p>
            <w:pPr>
              <w:spacing w:before="40" w:after="40"/>
            </w:pPr>
            <w:r>
              <w:rPr>
                <w:rFonts w:ascii="Calibri" w:hAnsi="Calibri"/>
                <w:color w:val="282828"/>
                <w:sz w:val="17"/>
              </w:rPr>
              <w:t>5</w:t>
            </w:r>
          </w:p>
        </w:tc>
        <w:tc>
          <w:tcPr>
            <w:tcW w:type="dxa" w:w="1872"/>
            <w:vAlign w:val="center"/>
            <w:tcMar>
              <w:top w:w="100" w:type="dxa"/>
              <w:bottom w:w="100" w:type="dxa"/>
              <w:left w:w="120" w:type="dxa"/>
              <w:right w:w="120" w:type="dxa"/>
            </w:tcMar>
            <w:shd w:fill="F2F4F7"/>
          </w:tcPr>
          <w:p>
            <w:pPr>
              <w:spacing w:before="40" w:after="40"/>
            </w:pPr>
            <w:r>
              <w:rPr>
                <w:rFonts w:ascii="Calibri" w:hAnsi="Calibri"/>
                <w:color w:val="282828"/>
                <w:sz w:val="17"/>
              </w:rPr>
              <w:t>Parameterized SQL queries (</w:t>
            </w:r>
            <w:r>
              <w:rPr>
                <w:rFonts w:ascii="Consolas" w:hAnsi="Consolas"/>
                <w:color w:val="282828"/>
                <w:sz w:val="17"/>
              </w:rPr>
              <w:t>cursor.execute(sql, (param,))</w:t>
            </w:r>
            <w:r>
              <w:rPr>
                <w:rFonts w:ascii="Calibri" w:hAnsi="Calibri"/>
                <w:color w:val="282828"/>
                <w:sz w:val="17"/>
              </w:rPr>
              <w:t>)</w:t>
            </w:r>
          </w:p>
        </w:tc>
        <w:tc>
          <w:tcPr>
            <w:tcW w:type="dxa" w:w="1872"/>
            <w:vAlign w:val="center"/>
            <w:tcMar>
              <w:top w:w="100" w:type="dxa"/>
              <w:bottom w:w="100" w:type="dxa"/>
              <w:left w:w="120" w:type="dxa"/>
              <w:right w:w="120" w:type="dxa"/>
            </w:tcMar>
            <w:shd w:fill="F2F4F7"/>
          </w:tcPr>
          <w:p>
            <w:pPr>
              <w:spacing w:before="40" w:after="40"/>
            </w:pPr>
            <w:r>
              <w:rPr>
                <w:rFonts w:ascii="Consolas" w:hAnsi="Consolas"/>
                <w:color w:val="282828"/>
                <w:sz w:val="17"/>
              </w:rPr>
              <w:t>admin' OR '1'='1</w:t>
            </w:r>
          </w:p>
        </w:tc>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Clean / Neutralized</w:t>
            </w:r>
          </w:p>
        </w:tc>
      </w:tr>
      <w:tr>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C06-C10</w:t>
            </w:r>
          </w:p>
        </w:tc>
        <w:tc>
          <w:tcPr>
            <w:tcW w:type="dxa" w:w="1872"/>
            <w:vAlign w:val="center"/>
            <w:tcMar>
              <w:top w:w="100" w:type="dxa"/>
              <w:bottom w:w="100" w:type="dxa"/>
              <w:left w:w="120" w:type="dxa"/>
              <w:right w:w="120" w:type="dxa"/>
            </w:tcMar>
            <w:shd w:fill="FFFFFF"/>
          </w:tcPr>
          <w:p>
            <w:pPr>
              <w:spacing w:before="40" w:after="40"/>
            </w:pPr>
            <w:r>
              <w:rPr>
                <w:rFonts w:ascii="Calibri" w:hAnsi="Calibri"/>
                <w:color w:val="282828"/>
                <w:sz w:val="17"/>
              </w:rPr>
              <w:t>5</w:t>
            </w:r>
          </w:p>
        </w:tc>
        <w:tc>
          <w:tcPr>
            <w:tcW w:type="dxa" w:w="1872"/>
            <w:vAlign w:val="center"/>
            <w:tcMar>
              <w:top w:w="100" w:type="dxa"/>
              <w:bottom w:w="100" w:type="dxa"/>
              <w:left w:w="120" w:type="dxa"/>
              <w:right w:w="120" w:type="dxa"/>
            </w:tcMar>
            <w:shd w:fill="FFFFFF"/>
          </w:tcPr>
          <w:p>
            <w:pPr>
              <w:spacing w:before="40" w:after="40"/>
            </w:pPr>
            <w:r>
              <w:rPr>
                <w:rFonts w:ascii="Calibri" w:hAnsi="Calibri"/>
                <w:color w:val="282828"/>
                <w:sz w:val="17"/>
              </w:rPr>
              <w:t>Argument list array invocation (</w:t>
            </w:r>
            <w:r>
              <w:rPr>
                <w:rFonts w:ascii="Consolas" w:hAnsi="Consolas"/>
                <w:color w:val="282828"/>
                <w:sz w:val="17"/>
              </w:rPr>
              <w:t>subprocess.Popen(["ping", "-c", "1", host])</w:t>
            </w:r>
            <w:r>
              <w:rPr>
                <w:rFonts w:ascii="Calibri" w:hAnsi="Calibri"/>
                <w:color w:val="282828"/>
                <w:sz w:val="17"/>
              </w:rPr>
              <w:t>)</w:t>
            </w:r>
          </w:p>
        </w:tc>
        <w:tc>
          <w:tcPr>
            <w:tcW w:type="dxa" w:w="1872"/>
            <w:vAlign w:val="center"/>
            <w:tcMar>
              <w:top w:w="100" w:type="dxa"/>
              <w:bottom w:w="100" w:type="dxa"/>
              <w:left w:w="120" w:type="dxa"/>
              <w:right w:w="120" w:type="dxa"/>
            </w:tcMar>
            <w:shd w:fill="FFFFFF"/>
          </w:tcPr>
          <w:p>
            <w:pPr>
              <w:spacing w:before="40" w:after="40"/>
            </w:pPr>
            <w:r>
              <w:rPr>
                <w:rFonts w:ascii="Consolas" w:hAnsi="Consolas"/>
                <w:color w:val="282828"/>
                <w:sz w:val="17"/>
              </w:rPr>
              <w:t>127.0.0.1; whoami</w:t>
            </w:r>
          </w:p>
        </w:tc>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Clean / Neutralized</w:t>
            </w:r>
          </w:p>
        </w:tc>
      </w:tr>
      <w:tr>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C11-C15</w:t>
            </w:r>
          </w:p>
        </w:tc>
        <w:tc>
          <w:tcPr>
            <w:tcW w:type="dxa" w:w="1872"/>
            <w:vAlign w:val="center"/>
            <w:tcMar>
              <w:top w:w="100" w:type="dxa"/>
              <w:bottom w:w="100" w:type="dxa"/>
              <w:left w:w="120" w:type="dxa"/>
              <w:right w:w="120" w:type="dxa"/>
            </w:tcMar>
            <w:shd w:fill="F2F4F7"/>
          </w:tcPr>
          <w:p>
            <w:pPr>
              <w:spacing w:before="40" w:after="40"/>
            </w:pPr>
            <w:r>
              <w:rPr>
                <w:rFonts w:ascii="Calibri" w:hAnsi="Calibri"/>
                <w:color w:val="282828"/>
                <w:sz w:val="17"/>
              </w:rPr>
              <w:t>5</w:t>
            </w:r>
          </w:p>
        </w:tc>
        <w:tc>
          <w:tcPr>
            <w:tcW w:type="dxa" w:w="1872"/>
            <w:vAlign w:val="center"/>
            <w:tcMar>
              <w:top w:w="100" w:type="dxa"/>
              <w:bottom w:w="100" w:type="dxa"/>
              <w:left w:w="120" w:type="dxa"/>
              <w:right w:w="120" w:type="dxa"/>
            </w:tcMar>
            <w:shd w:fill="F2F4F7"/>
          </w:tcPr>
          <w:p>
            <w:pPr>
              <w:spacing w:before="40" w:after="40"/>
            </w:pPr>
            <w:r>
              <w:rPr>
                <w:rFonts w:ascii="Calibri" w:hAnsi="Calibri"/>
                <w:color w:val="282828"/>
                <w:sz w:val="17"/>
              </w:rPr>
              <w:t>Safe JSON payload parsing (</w:t>
            </w:r>
            <w:r>
              <w:rPr>
                <w:rFonts w:ascii="Consolas" w:hAnsi="Consolas"/>
                <w:color w:val="282828"/>
                <w:sz w:val="17"/>
              </w:rPr>
              <w:t>json.loads()</w:t>
            </w:r>
            <w:r>
              <w:rPr>
                <w:rFonts w:ascii="Calibri" w:hAnsi="Calibri"/>
                <w:color w:val="282828"/>
                <w:sz w:val="17"/>
              </w:rPr>
              <w:t>)</w:t>
            </w:r>
          </w:p>
        </w:tc>
        <w:tc>
          <w:tcPr>
            <w:tcW w:type="dxa" w:w="1872"/>
            <w:vAlign w:val="center"/>
            <w:tcMar>
              <w:top w:w="100" w:type="dxa"/>
              <w:bottom w:w="100" w:type="dxa"/>
              <w:left w:w="120" w:type="dxa"/>
              <w:right w:w="120" w:type="dxa"/>
            </w:tcMar>
            <w:shd w:fill="F2F4F7"/>
          </w:tcPr>
          <w:p>
            <w:pPr>
              <w:spacing w:before="40" w:after="40"/>
            </w:pPr>
            <w:r>
              <w:rPr>
                <w:rFonts w:ascii="Consolas" w:hAnsi="Consolas"/>
                <w:color w:val="282828"/>
                <w:sz w:val="17"/>
              </w:rPr>
              <w:t>{"user": "admin", "role": "user"}</w:t>
            </w:r>
          </w:p>
        </w:tc>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Clean / Neutralized</w:t>
            </w:r>
          </w:p>
        </w:tc>
      </w:tr>
      <w:tr>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C16-C20</w:t>
            </w:r>
          </w:p>
        </w:tc>
        <w:tc>
          <w:tcPr>
            <w:tcW w:type="dxa" w:w="1872"/>
            <w:vAlign w:val="center"/>
            <w:tcMar>
              <w:top w:w="100" w:type="dxa"/>
              <w:bottom w:w="100" w:type="dxa"/>
              <w:left w:w="120" w:type="dxa"/>
              <w:right w:w="120" w:type="dxa"/>
            </w:tcMar>
            <w:shd w:fill="FFFFFF"/>
          </w:tcPr>
          <w:p>
            <w:pPr>
              <w:spacing w:before="40" w:after="40"/>
            </w:pPr>
            <w:r>
              <w:rPr>
                <w:rFonts w:ascii="Calibri" w:hAnsi="Calibri"/>
                <w:color w:val="282828"/>
                <w:sz w:val="17"/>
              </w:rPr>
              <w:t>5</w:t>
            </w:r>
          </w:p>
        </w:tc>
        <w:tc>
          <w:tcPr>
            <w:tcW w:type="dxa" w:w="1872"/>
            <w:vAlign w:val="center"/>
            <w:tcMar>
              <w:top w:w="100" w:type="dxa"/>
              <w:bottom w:w="100" w:type="dxa"/>
              <w:left w:w="120" w:type="dxa"/>
              <w:right w:w="120" w:type="dxa"/>
            </w:tcMar>
            <w:shd w:fill="FFFFFF"/>
          </w:tcPr>
          <w:p>
            <w:pPr>
              <w:spacing w:before="40" w:after="40"/>
            </w:pPr>
            <w:r>
              <w:rPr>
                <w:rFonts w:ascii="Calibri" w:hAnsi="Calibri"/>
                <w:color w:val="282828"/>
                <w:sz w:val="17"/>
              </w:rPr>
              <w:t>XXE entity resolution disabled (</w:t>
            </w:r>
            <w:r>
              <w:rPr>
                <w:rFonts w:ascii="Consolas" w:hAnsi="Consolas"/>
                <w:color w:val="282828"/>
                <w:sz w:val="17"/>
              </w:rPr>
              <w:t>defusedxml.ElementTree</w:t>
            </w:r>
            <w:r>
              <w:rPr>
                <w:rFonts w:ascii="Calibri" w:hAnsi="Calibri"/>
                <w:color w:val="282828"/>
                <w:sz w:val="17"/>
              </w:rPr>
              <w:t>)</w:t>
            </w:r>
          </w:p>
        </w:tc>
        <w:tc>
          <w:tcPr>
            <w:tcW w:type="dxa" w:w="1872"/>
            <w:vAlign w:val="center"/>
            <w:tcMar>
              <w:top w:w="100" w:type="dxa"/>
              <w:bottom w:w="100" w:type="dxa"/>
              <w:left w:w="120" w:type="dxa"/>
              <w:right w:w="120" w:type="dxa"/>
            </w:tcMar>
            <w:shd w:fill="FFFFFF"/>
          </w:tcPr>
          <w:p>
            <w:pPr>
              <w:spacing w:before="40" w:after="40"/>
            </w:pPr>
            <w:r>
              <w:rPr>
                <w:rFonts w:ascii="Consolas" w:hAnsi="Consolas"/>
                <w:color w:val="282828"/>
                <w:sz w:val="17"/>
              </w:rPr>
              <w:t>&lt;!ENTITY xxe SYSTEM ...&gt;</w:t>
            </w:r>
          </w:p>
        </w:tc>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Clean / Neutralized</w:t>
            </w:r>
          </w:p>
        </w:tc>
      </w:tr>
      <w:tr>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C21-C25</w:t>
            </w:r>
          </w:p>
        </w:tc>
        <w:tc>
          <w:tcPr>
            <w:tcW w:type="dxa" w:w="1872"/>
            <w:vAlign w:val="center"/>
            <w:tcMar>
              <w:top w:w="100" w:type="dxa"/>
              <w:bottom w:w="100" w:type="dxa"/>
              <w:left w:w="120" w:type="dxa"/>
              <w:right w:w="120" w:type="dxa"/>
            </w:tcMar>
            <w:shd w:fill="F2F4F7"/>
          </w:tcPr>
          <w:p>
            <w:pPr>
              <w:spacing w:before="40" w:after="40"/>
            </w:pPr>
            <w:r>
              <w:rPr>
                <w:rFonts w:ascii="Calibri" w:hAnsi="Calibri"/>
                <w:color w:val="282828"/>
                <w:sz w:val="17"/>
              </w:rPr>
              <w:t>5</w:t>
            </w:r>
          </w:p>
        </w:tc>
        <w:tc>
          <w:tcPr>
            <w:tcW w:type="dxa" w:w="1872"/>
            <w:vAlign w:val="center"/>
            <w:tcMar>
              <w:top w:w="100" w:type="dxa"/>
              <w:bottom w:w="100" w:type="dxa"/>
              <w:left w:w="120" w:type="dxa"/>
              <w:right w:w="120" w:type="dxa"/>
            </w:tcMar>
            <w:shd w:fill="F2F4F7"/>
          </w:tcPr>
          <w:p>
            <w:pPr>
              <w:spacing w:before="40" w:after="40"/>
            </w:pPr>
            <w:r>
              <w:rPr>
                <w:rFonts w:ascii="Calibri" w:hAnsi="Calibri"/>
                <w:color w:val="282828"/>
                <w:sz w:val="17"/>
              </w:rPr>
              <w:t>Strict canonical path validation (</w:t>
            </w:r>
            <w:r>
              <w:rPr>
                <w:rFonts w:ascii="Consolas" w:hAnsi="Consolas"/>
                <w:color w:val="282828"/>
                <w:sz w:val="17"/>
              </w:rPr>
              <w:t>os.path.abspath</w:t>
            </w:r>
            <w:r>
              <w:rPr>
                <w:rFonts w:ascii="Calibri" w:hAnsi="Calibri"/>
                <w:color w:val="282828"/>
                <w:sz w:val="17"/>
              </w:rPr>
              <w:t xml:space="preserve"> under </w:t>
            </w:r>
            <w:r>
              <w:rPr>
                <w:rFonts w:ascii="Consolas" w:hAnsi="Consolas"/>
                <w:color w:val="282828"/>
                <w:sz w:val="17"/>
              </w:rPr>
              <w:t>/app/storage</w:t>
            </w:r>
            <w:r>
              <w:rPr>
                <w:rFonts w:ascii="Calibri" w:hAnsi="Calibri"/>
                <w:color w:val="282828"/>
                <w:sz w:val="17"/>
              </w:rPr>
              <w:t>)</w:t>
            </w:r>
          </w:p>
        </w:tc>
        <w:tc>
          <w:tcPr>
            <w:tcW w:type="dxa" w:w="1872"/>
            <w:vAlign w:val="center"/>
            <w:tcMar>
              <w:top w:w="100" w:type="dxa"/>
              <w:bottom w:w="100" w:type="dxa"/>
              <w:left w:w="120" w:type="dxa"/>
              <w:right w:w="120" w:type="dxa"/>
            </w:tcMar>
            <w:shd w:fill="F2F4F7"/>
          </w:tcPr>
          <w:p>
            <w:pPr>
              <w:spacing w:before="40" w:after="40"/>
            </w:pPr>
            <w:r>
              <w:rPr>
                <w:rFonts w:ascii="Consolas" w:hAnsi="Consolas"/>
                <w:color w:val="282828"/>
                <w:sz w:val="17"/>
              </w:rPr>
              <w:t>../../../../etc/passwd</w:t>
            </w:r>
          </w:p>
        </w:tc>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Clean / Neutralized</w:t>
            </w:r>
          </w:p>
        </w:tc>
      </w:tr>
      <w:tr>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C26-C30</w:t>
            </w:r>
          </w:p>
        </w:tc>
        <w:tc>
          <w:tcPr>
            <w:tcW w:type="dxa" w:w="1872"/>
            <w:vAlign w:val="center"/>
            <w:tcMar>
              <w:top w:w="100" w:type="dxa"/>
              <w:bottom w:w="100" w:type="dxa"/>
              <w:left w:w="120" w:type="dxa"/>
              <w:right w:w="120" w:type="dxa"/>
            </w:tcMar>
            <w:shd w:fill="FFFFFF"/>
          </w:tcPr>
          <w:p>
            <w:pPr>
              <w:spacing w:before="40" w:after="40"/>
            </w:pPr>
            <w:r>
              <w:rPr>
                <w:rFonts w:ascii="Calibri" w:hAnsi="Calibri"/>
                <w:color w:val="282828"/>
                <w:sz w:val="17"/>
              </w:rPr>
              <w:t>5</w:t>
            </w:r>
          </w:p>
        </w:tc>
        <w:tc>
          <w:tcPr>
            <w:tcW w:type="dxa" w:w="1872"/>
            <w:vAlign w:val="center"/>
            <w:tcMar>
              <w:top w:w="100" w:type="dxa"/>
              <w:bottom w:w="100" w:type="dxa"/>
              <w:left w:w="120" w:type="dxa"/>
              <w:right w:w="120" w:type="dxa"/>
            </w:tcMar>
            <w:shd w:fill="FFFFFF"/>
          </w:tcPr>
          <w:p>
            <w:pPr>
              <w:spacing w:before="40" w:after="40"/>
            </w:pPr>
            <w:r>
              <w:rPr>
                <w:rFonts w:ascii="Calibri" w:hAnsi="Calibri"/>
                <w:color w:val="282828"/>
                <w:sz w:val="17"/>
              </w:rPr>
              <w:t>Context-aware HTML entity escaping (</w:t>
            </w:r>
            <w:r>
              <w:rPr>
                <w:rFonts w:ascii="Consolas" w:hAnsi="Consolas"/>
                <w:color w:val="282828"/>
                <w:sz w:val="17"/>
              </w:rPr>
              <w:t>html.escape()</w:t>
            </w:r>
            <w:r>
              <w:rPr>
                <w:rFonts w:ascii="Calibri" w:hAnsi="Calibri"/>
                <w:color w:val="282828"/>
                <w:sz w:val="17"/>
              </w:rPr>
              <w:t>)</w:t>
            </w:r>
          </w:p>
        </w:tc>
        <w:tc>
          <w:tcPr>
            <w:tcW w:type="dxa" w:w="1872"/>
            <w:vAlign w:val="center"/>
            <w:tcMar>
              <w:top w:w="100" w:type="dxa"/>
              <w:bottom w:w="100" w:type="dxa"/>
              <w:left w:w="120" w:type="dxa"/>
              <w:right w:w="120" w:type="dxa"/>
            </w:tcMar>
            <w:shd w:fill="FFFFFF"/>
          </w:tcPr>
          <w:p>
            <w:pPr>
              <w:spacing w:before="40" w:after="40"/>
            </w:pPr>
            <w:r>
              <w:rPr>
                <w:rFonts w:ascii="Consolas" w:hAnsi="Consolas"/>
                <w:color w:val="282828"/>
                <w:sz w:val="17"/>
              </w:rPr>
              <w:t>&lt;script&gt;alert(1)&lt;/script&gt;</w:t>
            </w:r>
          </w:p>
        </w:tc>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Clean / Neutralized</w:t>
            </w:r>
          </w:p>
        </w:tc>
      </w:tr>
      <w:tr>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C31-C35</w:t>
            </w:r>
          </w:p>
        </w:tc>
        <w:tc>
          <w:tcPr>
            <w:tcW w:type="dxa" w:w="1872"/>
            <w:vAlign w:val="center"/>
            <w:tcMar>
              <w:top w:w="100" w:type="dxa"/>
              <w:bottom w:w="100" w:type="dxa"/>
              <w:left w:w="120" w:type="dxa"/>
              <w:right w:w="120" w:type="dxa"/>
            </w:tcMar>
            <w:shd w:fill="F2F4F7"/>
          </w:tcPr>
          <w:p>
            <w:pPr>
              <w:spacing w:before="40" w:after="40"/>
            </w:pPr>
            <w:r>
              <w:rPr>
                <w:rFonts w:ascii="Calibri" w:hAnsi="Calibri"/>
                <w:color w:val="282828"/>
                <w:sz w:val="17"/>
              </w:rPr>
              <w:t>5</w:t>
            </w:r>
          </w:p>
        </w:tc>
        <w:tc>
          <w:tcPr>
            <w:tcW w:type="dxa" w:w="1872"/>
            <w:vAlign w:val="center"/>
            <w:tcMar>
              <w:top w:w="100" w:type="dxa"/>
              <w:bottom w:w="100" w:type="dxa"/>
              <w:left w:w="120" w:type="dxa"/>
              <w:right w:w="120" w:type="dxa"/>
            </w:tcMar>
            <w:shd w:fill="F2F4F7"/>
          </w:tcPr>
          <w:p>
            <w:pPr>
              <w:spacing w:before="40" w:after="40"/>
            </w:pPr>
            <w:r>
              <w:rPr>
                <w:rFonts w:ascii="Calibri" w:hAnsi="Calibri"/>
                <w:color w:val="282828"/>
                <w:sz w:val="17"/>
              </w:rPr>
              <w:t>Domain whitelist validation (</w:t>
            </w:r>
            <w:r>
              <w:rPr>
                <w:rFonts w:ascii="Consolas" w:hAnsi="Consolas"/>
                <w:color w:val="282828"/>
                <w:sz w:val="17"/>
              </w:rPr>
              <w:t>https://api.internal.company.com</w:t>
            </w:r>
            <w:r>
              <w:rPr>
                <w:rFonts w:ascii="Calibri" w:hAnsi="Calibri"/>
                <w:color w:val="282828"/>
                <w:sz w:val="17"/>
              </w:rPr>
              <w:t>)</w:t>
            </w:r>
          </w:p>
        </w:tc>
        <w:tc>
          <w:tcPr>
            <w:tcW w:type="dxa" w:w="1872"/>
            <w:vAlign w:val="center"/>
            <w:tcMar>
              <w:top w:w="100" w:type="dxa"/>
              <w:bottom w:w="100" w:type="dxa"/>
              <w:left w:w="120" w:type="dxa"/>
              <w:right w:w="120" w:type="dxa"/>
            </w:tcMar>
            <w:shd w:fill="F2F4F7"/>
          </w:tcPr>
          <w:p>
            <w:pPr>
              <w:spacing w:before="40" w:after="40"/>
            </w:pPr>
            <w:r>
              <w:rPr>
                <w:rFonts w:ascii="Consolas" w:hAnsi="Consolas"/>
                <w:color w:val="282828"/>
                <w:sz w:val="17"/>
              </w:rPr>
              <w:t>http://169.254.169.254</w:t>
            </w:r>
          </w:p>
        </w:tc>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Clean / Neutralized</w:t>
            </w:r>
          </w:p>
        </w:tc>
      </w:tr>
      <w:tr>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C36-C40</w:t>
            </w:r>
          </w:p>
        </w:tc>
        <w:tc>
          <w:tcPr>
            <w:tcW w:type="dxa" w:w="1872"/>
            <w:vAlign w:val="center"/>
            <w:tcMar>
              <w:top w:w="100" w:type="dxa"/>
              <w:bottom w:w="100" w:type="dxa"/>
              <w:left w:w="120" w:type="dxa"/>
              <w:right w:w="120" w:type="dxa"/>
            </w:tcMar>
            <w:shd w:fill="FFFFFF"/>
          </w:tcPr>
          <w:p>
            <w:pPr>
              <w:spacing w:before="40" w:after="40"/>
            </w:pPr>
            <w:r>
              <w:rPr>
                <w:rFonts w:ascii="Calibri" w:hAnsi="Calibri"/>
                <w:color w:val="282828"/>
                <w:sz w:val="17"/>
              </w:rPr>
              <w:t>5</w:t>
            </w:r>
          </w:p>
        </w:tc>
        <w:tc>
          <w:tcPr>
            <w:tcW w:type="dxa" w:w="1872"/>
            <w:vAlign w:val="center"/>
            <w:tcMar>
              <w:top w:w="100" w:type="dxa"/>
              <w:bottom w:w="100" w:type="dxa"/>
              <w:left w:w="120" w:type="dxa"/>
              <w:right w:w="120" w:type="dxa"/>
            </w:tcMar>
            <w:shd w:fill="FFFFFF"/>
          </w:tcPr>
          <w:p>
            <w:pPr>
              <w:spacing w:before="40" w:after="40"/>
            </w:pPr>
            <w:r>
              <w:rPr>
                <w:rFonts w:ascii="Calibri" w:hAnsi="Calibri"/>
                <w:color w:val="282828"/>
                <w:sz w:val="17"/>
              </w:rPr>
              <w:t>Relative URL enforcement (</w:t>
            </w:r>
            <w:r>
              <w:rPr>
                <w:rFonts w:ascii="Consolas" w:hAnsi="Consolas"/>
                <w:color w:val="282828"/>
                <w:sz w:val="17"/>
              </w:rPr>
              <w:t>url.startswith('/')</w:t>
            </w:r>
            <w:r>
              <w:rPr>
                <w:rFonts w:ascii="Calibri" w:hAnsi="Calibri"/>
                <w:color w:val="282828"/>
                <w:sz w:val="17"/>
              </w:rPr>
              <w:t xml:space="preserve"> and no </w:t>
            </w:r>
            <w:r>
              <w:rPr>
                <w:rFonts w:ascii="Consolas" w:hAnsi="Consolas"/>
                <w:color w:val="282828"/>
                <w:sz w:val="17"/>
              </w:rPr>
              <w:t>//</w:t>
            </w:r>
            <w:r>
              <w:rPr>
                <w:rFonts w:ascii="Calibri" w:hAnsi="Calibri"/>
                <w:color w:val="282828"/>
                <w:sz w:val="17"/>
              </w:rPr>
              <w:t>)</w:t>
            </w:r>
          </w:p>
        </w:tc>
        <w:tc>
          <w:tcPr>
            <w:tcW w:type="dxa" w:w="1872"/>
            <w:vAlign w:val="center"/>
            <w:tcMar>
              <w:top w:w="100" w:type="dxa"/>
              <w:bottom w:w="100" w:type="dxa"/>
              <w:left w:w="120" w:type="dxa"/>
              <w:right w:w="120" w:type="dxa"/>
            </w:tcMar>
            <w:shd w:fill="FFFFFF"/>
          </w:tcPr>
          <w:p>
            <w:pPr>
              <w:spacing w:before="40" w:after="40"/>
            </w:pPr>
            <w:r>
              <w:rPr>
                <w:rFonts w:ascii="Consolas" w:hAnsi="Consolas"/>
                <w:color w:val="282828"/>
                <w:sz w:val="17"/>
              </w:rPr>
              <w:t>http://attacker.com</w:t>
            </w:r>
          </w:p>
        </w:tc>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Clean / Neutralized</w:t>
            </w:r>
          </w:p>
        </w:tc>
      </w:tr>
      <w:tr>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C41-C45</w:t>
            </w:r>
          </w:p>
        </w:tc>
        <w:tc>
          <w:tcPr>
            <w:tcW w:type="dxa" w:w="1872"/>
            <w:vAlign w:val="center"/>
            <w:tcMar>
              <w:top w:w="100" w:type="dxa"/>
              <w:bottom w:w="100" w:type="dxa"/>
              <w:left w:w="120" w:type="dxa"/>
              <w:right w:w="120" w:type="dxa"/>
            </w:tcMar>
            <w:shd w:fill="F2F4F7"/>
          </w:tcPr>
          <w:p>
            <w:pPr>
              <w:spacing w:before="40" w:after="40"/>
            </w:pPr>
            <w:r>
              <w:rPr>
                <w:rFonts w:ascii="Calibri" w:hAnsi="Calibri"/>
                <w:color w:val="282828"/>
                <w:sz w:val="17"/>
              </w:rPr>
              <w:t>5</w:t>
            </w:r>
          </w:p>
        </w:tc>
        <w:tc>
          <w:tcPr>
            <w:tcW w:type="dxa" w:w="1872"/>
            <w:vAlign w:val="center"/>
            <w:tcMar>
              <w:top w:w="100" w:type="dxa"/>
              <w:bottom w:w="100" w:type="dxa"/>
              <w:left w:w="120" w:type="dxa"/>
              <w:right w:w="120" w:type="dxa"/>
            </w:tcMar>
            <w:shd w:fill="F2F4F7"/>
          </w:tcPr>
          <w:p>
            <w:pPr>
              <w:spacing w:before="40" w:after="40"/>
            </w:pPr>
            <w:r>
              <w:rPr>
                <w:rFonts w:ascii="Calibri" w:hAnsi="Calibri"/>
                <w:color w:val="282828"/>
                <w:sz w:val="17"/>
              </w:rPr>
              <w:t>CR/LF linefeed stripping (</w:t>
            </w:r>
            <w:r>
              <w:rPr>
                <w:rFonts w:ascii="Consolas" w:hAnsi="Consolas"/>
                <w:color w:val="282828"/>
                <w:sz w:val="17"/>
              </w:rPr>
              <w:t>val.replace('\r','').replace('\n','')</w:t>
            </w:r>
            <w:r>
              <w:rPr>
                <w:rFonts w:ascii="Calibri" w:hAnsi="Calibri"/>
                <w:color w:val="282828"/>
                <w:sz w:val="17"/>
              </w:rPr>
              <w:t>)</w:t>
            </w:r>
          </w:p>
        </w:tc>
        <w:tc>
          <w:tcPr>
            <w:tcW w:type="dxa" w:w="1872"/>
            <w:vAlign w:val="center"/>
            <w:tcMar>
              <w:top w:w="100" w:type="dxa"/>
              <w:bottom w:w="100" w:type="dxa"/>
              <w:left w:w="120" w:type="dxa"/>
              <w:right w:w="120" w:type="dxa"/>
            </w:tcMar>
            <w:shd w:fill="F2F4F7"/>
          </w:tcPr>
          <w:p>
            <w:pPr>
              <w:spacing w:before="40" w:after="40"/>
            </w:pPr>
            <w:r>
              <w:rPr>
                <w:rFonts w:ascii="Consolas" w:hAnsi="Consolas"/>
                <w:color w:val="282828"/>
                <w:sz w:val="17"/>
              </w:rPr>
              <w:t>val\r\nSet-Cookie: s=1</w:t>
            </w:r>
          </w:p>
        </w:tc>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Clean / Neutralized</w:t>
            </w:r>
          </w:p>
        </w:tc>
      </w:tr>
      <w:tr>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C46-C50</w:t>
            </w:r>
          </w:p>
        </w:tc>
        <w:tc>
          <w:tcPr>
            <w:tcW w:type="dxa" w:w="1872"/>
            <w:vAlign w:val="center"/>
            <w:tcMar>
              <w:top w:w="100" w:type="dxa"/>
              <w:bottom w:w="100" w:type="dxa"/>
              <w:left w:w="120" w:type="dxa"/>
              <w:right w:w="120" w:type="dxa"/>
            </w:tcMar>
            <w:shd w:fill="FFFFFF"/>
          </w:tcPr>
          <w:p>
            <w:pPr>
              <w:spacing w:before="40" w:after="40"/>
            </w:pPr>
            <w:r>
              <w:rPr>
                <w:rFonts w:ascii="Calibri" w:hAnsi="Calibri"/>
                <w:color w:val="282828"/>
                <w:sz w:val="17"/>
              </w:rPr>
              <w:t>5</w:t>
            </w:r>
          </w:p>
        </w:tc>
        <w:tc>
          <w:tcPr>
            <w:tcW w:type="dxa" w:w="1872"/>
            <w:vAlign w:val="center"/>
            <w:tcMar>
              <w:top w:w="100" w:type="dxa"/>
              <w:bottom w:w="100" w:type="dxa"/>
              <w:left w:w="120" w:type="dxa"/>
              <w:right w:w="120" w:type="dxa"/>
            </w:tcMar>
            <w:shd w:fill="FFFFFF"/>
          </w:tcPr>
          <w:p>
            <w:pPr>
              <w:spacing w:before="40" w:after="40"/>
            </w:pPr>
            <w:r>
              <w:rPr>
                <w:rFonts w:ascii="Calibri" w:hAnsi="Calibri"/>
                <w:color w:val="282828"/>
                <w:sz w:val="17"/>
              </w:rPr>
              <w:t>Structured JSON logging output (</w:t>
            </w:r>
            <w:r>
              <w:rPr>
                <w:rFonts w:ascii="Consolas" w:hAnsi="Consolas"/>
                <w:color w:val="282828"/>
                <w:sz w:val="17"/>
              </w:rPr>
              <w:t>json.dumps({"msg": val})</w:t>
            </w:r>
            <w:r>
              <w:rPr>
                <w:rFonts w:ascii="Calibri" w:hAnsi="Calibri"/>
                <w:color w:val="282828"/>
                <w:sz w:val="17"/>
              </w:rPr>
              <w:t>)</w:t>
            </w:r>
          </w:p>
        </w:tc>
        <w:tc>
          <w:tcPr>
            <w:tcW w:type="dxa" w:w="1872"/>
            <w:vAlign w:val="center"/>
            <w:tcMar>
              <w:top w:w="100" w:type="dxa"/>
              <w:bottom w:w="100" w:type="dxa"/>
              <w:left w:w="120" w:type="dxa"/>
              <w:right w:w="120" w:type="dxa"/>
            </w:tcMar>
            <w:shd w:fill="FFFFFF"/>
          </w:tcPr>
          <w:p>
            <w:pPr>
              <w:spacing w:before="40" w:after="40"/>
            </w:pPr>
            <w:r>
              <w:rPr>
                <w:rFonts w:ascii="Consolas" w:hAnsi="Consolas"/>
                <w:color w:val="282828"/>
                <w:sz w:val="17"/>
              </w:rPr>
              <w:t>User login\nADMIN</w:t>
            </w:r>
          </w:p>
        </w:tc>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Clean / Neutralized</w:t>
            </w:r>
            <w:r>
              <w:rPr>
                <w:rFonts w:ascii="Calibri" w:hAnsi="Calibri"/>
                <w:color w:val="282828"/>
                <w:sz w:val="17"/>
              </w:rPr>
              <w:t xml:space="preserve"> </w:t>
            </w:r>
            <w:r>
              <w:rPr>
                <w:rFonts w:ascii="Calibri" w:hAnsi="Calibri"/>
                <w:i/>
                <w:color w:val="282828"/>
                <w:sz w:val="17"/>
              </w:rPr>
              <w:t>(1 FP on C50)</w:t>
            </w:r>
          </w:p>
        </w:tc>
      </w:tr>
    </w:tbl>
    <w:p>
      <w:pPr>
        <w:spacing w:after="120"/>
      </w:pPr>
    </w:p>
    <w:p>
      <w:pPr>
        <w:spacing w:before="160" w:after="160"/>
        <w:jc w:val="center"/>
      </w:pPr>
      <w:r>
        <w:rPr>
          <w:color w:val="B4B4B4"/>
        </w:rPr>
        <w:t>――――――――――――――――――――――――――――――――――――――――</w:t>
      </w:r>
    </w:p>
    <w:p>
      <w:pPr>
        <w:spacing w:before="320" w:after="160"/>
      </w:pPr>
      <w:r>
        <w:rPr>
          <w:rFonts w:ascii="Calibri" w:hAnsi="Calibri"/>
          <w:b/>
          <w:color w:val="1F4E78"/>
          <w:sz w:val="32"/>
        </w:rPr>
        <w:t>Appendix D: Additional Result Tables</w:t>
      </w:r>
    </w:p>
    <w:p>
      <w:pPr>
        <w:spacing w:before="0" w:after="120" w:line="276" w:lineRule="auto"/>
      </w:pPr>
      <w:r>
        <w:rPr>
          <w:rFonts w:ascii="Calibri" w:hAnsi="Calibri"/>
          <w:b w:val="0"/>
          <w:i w:val="0"/>
          <w:color w:val="323232"/>
          <w:sz w:val="22"/>
        </w:rPr>
        <w:t>This appendix details the complete experimental data, multi-run stability evaluations, latency breakdowns, and root-cause performance analysis collected during empirical benchmarking.</w:t>
      </w:r>
    </w:p>
    <w:p>
      <w:pPr>
        <w:spacing w:before="240" w:after="120"/>
      </w:pPr>
      <w:r>
        <w:rPr>
          <w:rFonts w:ascii="Calibri" w:hAnsi="Calibri"/>
          <w:b/>
          <w:color w:val="2E75B6"/>
          <w:sz w:val="26"/>
        </w:rPr>
        <w:t>Table D.1: Comparative Vulnerability Detection Matrix (IAST vs. DAST vs. SAST)</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OWASP Vulnerability Category</w:t>
            </w:r>
          </w:p>
        </w:tc>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Total Vulnerable Test Cases</w:t>
            </w:r>
          </w:p>
        </w:tc>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Aegis IAST Detected (TP)</w:t>
            </w:r>
          </w:p>
        </w:tc>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OWASP ZAP DAST Detected (TP)</w:t>
            </w:r>
          </w:p>
        </w:tc>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SonarQube SAST Detected (TP)</w:t>
            </w:r>
          </w:p>
        </w:tc>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Aegis IAST Precision (%)</w:t>
            </w:r>
          </w:p>
        </w:tc>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OWASP ZAP DAST Precision (%)</w:t>
            </w:r>
          </w:p>
        </w:tc>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SonarQube SAST Precision (%)</w:t>
            </w:r>
          </w:p>
        </w:tc>
      </w:tr>
      <w:tr>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1. SQL Injection (CWE-89)</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4</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100.00%</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80.00% (4/5)</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83.33%</w:t>
            </w:r>
          </w:p>
        </w:tc>
      </w:tr>
      <w:tr>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2. OS Command Injection (CWE-78)</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4</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4</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100.00%</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80.00% (4/5)</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80.00%</w:t>
            </w:r>
          </w:p>
        </w:tc>
      </w:tr>
      <w:tr>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3. Unsafe Deserialization (CWE-502)</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3</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4</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100.00%</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75.00% (3/4)</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80.00%</w:t>
            </w:r>
          </w:p>
        </w:tc>
      </w:tr>
      <w:tr>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4. XML External Entity (CWE-611)</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4</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4</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100.00%</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80.00% (4/5)</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80.00%</w:t>
            </w:r>
          </w:p>
        </w:tc>
      </w:tr>
      <w:tr>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5. Path Traversal (CWE-22)</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100.00%</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83.33% (5/6)</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83.33%</w:t>
            </w:r>
          </w:p>
        </w:tc>
      </w:tr>
      <w:tr>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6. Reflected XSS (CWE-79)</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4</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100.00%</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71.43% (5/7)</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80.00%</w:t>
            </w:r>
          </w:p>
        </w:tc>
      </w:tr>
      <w:tr>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7. Server-Side Request Forgery (CWE-918)</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4</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3</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100.00%</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80.00% (4/5)</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75.00%</w:t>
            </w:r>
          </w:p>
        </w:tc>
      </w:tr>
      <w:tr>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8. Open Redirect (CWE-601)</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3</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100.00%</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83.33% (5/6)</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75.00%</w:t>
            </w:r>
          </w:p>
        </w:tc>
      </w:tr>
      <w:tr>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9. HTTP Header Injection (CWE-113)</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4</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3</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100.00%</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80.00% (4/5)</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75.00%</w:t>
            </w:r>
          </w:p>
        </w:tc>
      </w:tr>
      <w:tr>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10. Log Injection (CWE-117)</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4</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5</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4</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 xml:space="preserve">80.00% </w:t>
            </w:r>
            <w:r>
              <w:rPr>
                <w:rFonts w:ascii="Calibri" w:hAnsi="Calibri"/>
                <w:i/>
                <w:color w:val="282828"/>
                <w:sz w:val="17"/>
              </w:rPr>
              <w:t>(1 FP)</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71.43% (5/7)</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80.00%</w:t>
            </w:r>
          </w:p>
        </w:tc>
      </w:tr>
      <w:tr>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Overall Summary / Mean</w:t>
            </w:r>
          </w:p>
        </w:tc>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50</w:t>
            </w:r>
          </w:p>
        </w:tc>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49</w:t>
            </w:r>
          </w:p>
        </w:tc>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43</w:t>
            </w:r>
          </w:p>
        </w:tc>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39</w:t>
            </w:r>
          </w:p>
        </w:tc>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98.00%</w:t>
            </w:r>
          </w:p>
        </w:tc>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78.18% (43/55)</w:t>
            </w:r>
          </w:p>
        </w:tc>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79.59%</w:t>
            </w:r>
          </w:p>
        </w:tc>
      </w:tr>
    </w:tbl>
    <w:p>
      <w:pPr>
        <w:spacing w:after="120"/>
      </w:pPr>
    </w:p>
    <w:p>
      <w:pPr>
        <w:spacing w:before="160" w:after="160"/>
        <w:jc w:val="center"/>
      </w:pPr>
      <w:r>
        <w:rPr>
          <w:color w:val="B4B4B4"/>
        </w:rPr>
        <w:t>――――――――――――――――――――――――――――――――――――――――</w:t>
      </w:r>
    </w:p>
    <w:p>
      <w:pPr>
        <w:spacing w:before="240" w:after="120"/>
      </w:pPr>
      <w:r>
        <w:rPr>
          <w:rFonts w:ascii="Calibri" w:hAnsi="Calibri"/>
          <w:b/>
          <w:color w:val="2E75B6"/>
          <w:sz w:val="26"/>
        </w:rPr>
        <w:t>Table D.2: 10-Run Empirical Performance &amp; System Overhead Evaluation</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vAlign w:val="center"/>
            <w:tcMar>
              <w:top w:w="100" w:type="dxa"/>
              <w:bottom w:w="100" w:type="dxa"/>
              <w:left w:w="120" w:type="dxa"/>
              <w:right w:w="120" w:type="dxa"/>
            </w:tcMar>
            <w:shd w:fill="1F4E78"/>
          </w:tcPr>
          <w:p>
            <w:pPr>
              <w:spacing w:before="40" w:after="40"/>
            </w:pPr>
            <w:r>
              <w:rPr>
                <w:rFonts w:ascii="Calibri" w:hAnsi="Calibri"/>
                <w:b/>
                <w:color w:val="FFFFFF"/>
                <w:sz w:val="18"/>
              </w:rPr>
              <w:t>Run Iteration</w:t>
            </w:r>
          </w:p>
        </w:tc>
        <w:tc>
          <w:tcPr>
            <w:tcW w:type="dxa" w:w="851"/>
            <w:vAlign w:val="center"/>
            <w:tcMar>
              <w:top w:w="100" w:type="dxa"/>
              <w:bottom w:w="100" w:type="dxa"/>
              <w:left w:w="120" w:type="dxa"/>
              <w:right w:w="120" w:type="dxa"/>
            </w:tcMar>
            <w:shd w:fill="1F4E78"/>
          </w:tcPr>
          <w:p>
            <w:pPr>
              <w:spacing w:before="40" w:after="40"/>
            </w:pPr>
            <w:r>
              <w:rPr>
                <w:rFonts w:ascii="Calibri" w:hAnsi="Calibri"/>
                <w:b/>
                <w:color w:val="FFFFFF"/>
                <w:sz w:val="18"/>
              </w:rPr>
              <w:t>Total Requests Processed</w:t>
            </w:r>
          </w:p>
        </w:tc>
        <w:tc>
          <w:tcPr>
            <w:tcW w:type="dxa" w:w="851"/>
            <w:vAlign w:val="center"/>
            <w:tcMar>
              <w:top w:w="100" w:type="dxa"/>
              <w:bottom w:w="100" w:type="dxa"/>
              <w:left w:w="120" w:type="dxa"/>
              <w:right w:w="120" w:type="dxa"/>
            </w:tcMar>
            <w:shd w:fill="1F4E78"/>
          </w:tcPr>
          <w:p>
            <w:pPr>
              <w:spacing w:before="40" w:after="40"/>
            </w:pPr>
            <w:r>
              <w:rPr>
                <w:rFonts w:ascii="Calibri" w:hAnsi="Calibri"/>
                <w:b/>
                <w:color w:val="FFFFFF"/>
                <w:sz w:val="18"/>
              </w:rPr>
              <w:t>Execution Time (Seconds)</w:t>
            </w:r>
          </w:p>
        </w:tc>
        <w:tc>
          <w:tcPr>
            <w:tcW w:type="dxa" w:w="851"/>
            <w:vAlign w:val="center"/>
            <w:tcMar>
              <w:top w:w="100" w:type="dxa"/>
              <w:bottom w:w="100" w:type="dxa"/>
              <w:left w:w="120" w:type="dxa"/>
              <w:right w:w="120" w:type="dxa"/>
            </w:tcMar>
            <w:shd w:fill="1F4E78"/>
          </w:tcPr>
          <w:p>
            <w:pPr>
              <w:spacing w:before="40" w:after="40"/>
            </w:pPr>
            <w:r>
              <w:rPr>
                <w:rFonts w:ascii="Calibri" w:hAnsi="Calibri"/>
                <w:b/>
                <w:color w:val="FFFFFF"/>
                <w:sz w:val="18"/>
              </w:rPr>
              <w:t>Mean Latency per Request (ms)</w:t>
            </w:r>
          </w:p>
        </w:tc>
        <w:tc>
          <w:tcPr>
            <w:tcW w:type="dxa" w:w="851"/>
            <w:vAlign w:val="center"/>
            <w:tcMar>
              <w:top w:w="100" w:type="dxa"/>
              <w:bottom w:w="100" w:type="dxa"/>
              <w:left w:w="120" w:type="dxa"/>
              <w:right w:w="120" w:type="dxa"/>
            </w:tcMar>
            <w:shd w:fill="1F4E78"/>
          </w:tcPr>
          <w:p>
            <w:pPr>
              <w:spacing w:before="40" w:after="40"/>
            </w:pPr>
            <w:r>
              <w:rPr>
                <w:rFonts w:ascii="Calibri" w:hAnsi="Calibri"/>
                <w:b/>
                <w:color w:val="FFFFFF"/>
                <w:sz w:val="18"/>
              </w:rPr>
              <w:t>Peak CPU Utilization (%)</w:t>
            </w:r>
          </w:p>
        </w:tc>
        <w:tc>
          <w:tcPr>
            <w:tcW w:type="dxa" w:w="851"/>
            <w:vAlign w:val="center"/>
            <w:tcMar>
              <w:top w:w="100" w:type="dxa"/>
              <w:bottom w:w="100" w:type="dxa"/>
              <w:left w:w="120" w:type="dxa"/>
              <w:right w:w="120" w:type="dxa"/>
            </w:tcMar>
            <w:shd w:fill="1F4E78"/>
          </w:tcPr>
          <w:p>
            <w:pPr>
              <w:spacing w:before="40" w:after="40"/>
            </w:pPr>
            <w:r>
              <w:rPr>
                <w:rFonts w:ascii="Calibri" w:hAnsi="Calibri"/>
                <w:b/>
                <w:color w:val="FFFFFF"/>
                <w:sz w:val="18"/>
              </w:rPr>
              <w:t>Peak Memory Heap (MB)</w:t>
            </w:r>
          </w:p>
        </w:tc>
        <w:tc>
          <w:tcPr>
            <w:tcW w:type="dxa" w:w="851"/>
            <w:vAlign w:val="center"/>
            <w:tcMar>
              <w:top w:w="100" w:type="dxa"/>
              <w:bottom w:w="100" w:type="dxa"/>
              <w:left w:w="120" w:type="dxa"/>
              <w:right w:w="120" w:type="dxa"/>
            </w:tcMar>
            <w:shd w:fill="1F4E78"/>
          </w:tcPr>
          <w:p>
            <w:pPr>
              <w:spacing w:before="40" w:after="40"/>
            </w:pPr>
            <w:r>
              <w:rPr>
                <w:rFonts w:ascii="Calibri" w:hAnsi="Calibri"/>
                <w:b/>
                <w:color w:val="FFFFFF"/>
                <w:sz w:val="18"/>
              </w:rPr>
              <w:t>True Positives (TP)</w:t>
            </w:r>
          </w:p>
        </w:tc>
        <w:tc>
          <w:tcPr>
            <w:tcW w:type="dxa" w:w="851"/>
            <w:vAlign w:val="center"/>
            <w:tcMar>
              <w:top w:w="100" w:type="dxa"/>
              <w:bottom w:w="100" w:type="dxa"/>
              <w:left w:w="120" w:type="dxa"/>
              <w:right w:w="120" w:type="dxa"/>
            </w:tcMar>
            <w:shd w:fill="1F4E78"/>
          </w:tcPr>
          <w:p>
            <w:pPr>
              <w:spacing w:before="40" w:after="40"/>
            </w:pPr>
            <w:r>
              <w:rPr>
                <w:rFonts w:ascii="Calibri" w:hAnsi="Calibri"/>
                <w:b/>
                <w:color w:val="FFFFFF"/>
                <w:sz w:val="18"/>
              </w:rPr>
              <w:t>False Positives (FP)</w:t>
            </w:r>
          </w:p>
        </w:tc>
        <w:tc>
          <w:tcPr>
            <w:tcW w:type="dxa" w:w="851"/>
            <w:vAlign w:val="center"/>
            <w:tcMar>
              <w:top w:w="100" w:type="dxa"/>
              <w:bottom w:w="100" w:type="dxa"/>
              <w:left w:w="120" w:type="dxa"/>
              <w:right w:w="120" w:type="dxa"/>
            </w:tcMar>
            <w:shd w:fill="1F4E78"/>
          </w:tcPr>
          <w:p>
            <w:pPr>
              <w:spacing w:before="40" w:after="40"/>
            </w:pPr>
            <w:r>
              <w:rPr>
                <w:rFonts w:ascii="Calibri" w:hAnsi="Calibri"/>
                <w:b/>
                <w:color w:val="FFFFFF"/>
                <w:sz w:val="18"/>
              </w:rPr>
              <w:t>Precision (%)</w:t>
            </w:r>
          </w:p>
        </w:tc>
        <w:tc>
          <w:tcPr>
            <w:tcW w:type="dxa" w:w="851"/>
            <w:vAlign w:val="center"/>
            <w:tcMar>
              <w:top w:w="100" w:type="dxa"/>
              <w:bottom w:w="100" w:type="dxa"/>
              <w:left w:w="120" w:type="dxa"/>
              <w:right w:w="120" w:type="dxa"/>
            </w:tcMar>
            <w:shd w:fill="1F4E78"/>
          </w:tcPr>
          <w:p>
            <w:pPr>
              <w:spacing w:before="40" w:after="40"/>
            </w:pPr>
            <w:r>
              <w:rPr>
                <w:rFonts w:ascii="Calibri" w:hAnsi="Calibri"/>
                <w:b/>
                <w:color w:val="FFFFFF"/>
                <w:sz w:val="18"/>
              </w:rPr>
              <w:t>Recall (%)</w:t>
            </w:r>
          </w:p>
        </w:tc>
        <w:tc>
          <w:tcPr>
            <w:tcW w:type="dxa" w:w="851"/>
            <w:vAlign w:val="center"/>
            <w:tcMar>
              <w:top w:w="100" w:type="dxa"/>
              <w:bottom w:w="100" w:type="dxa"/>
              <w:left w:w="120" w:type="dxa"/>
              <w:right w:w="120" w:type="dxa"/>
            </w:tcMar>
            <w:shd w:fill="1F4E78"/>
          </w:tcPr>
          <w:p>
            <w:pPr>
              <w:spacing w:before="40" w:after="40"/>
            </w:pPr>
            <w:r>
              <w:rPr>
                <w:rFonts w:ascii="Calibri" w:hAnsi="Calibri"/>
                <w:b/>
                <w:color w:val="FFFFFF"/>
                <w:sz w:val="18"/>
              </w:rPr>
              <w:t>F1-Score (%)</w:t>
            </w:r>
          </w:p>
        </w:tc>
      </w:tr>
      <w:tr>
        <w:tc>
          <w:tcPr>
            <w:tcW w:type="dxa" w:w="851"/>
            <w:vAlign w:val="center"/>
            <w:tcMar>
              <w:top w:w="100" w:type="dxa"/>
              <w:bottom w:w="100" w:type="dxa"/>
              <w:left w:w="120" w:type="dxa"/>
              <w:right w:w="120" w:type="dxa"/>
            </w:tcMar>
            <w:shd w:fill="F2F4F7"/>
          </w:tcPr>
          <w:p>
            <w:pPr>
              <w:spacing w:before="40" w:after="40"/>
            </w:pPr>
            <w:r>
              <w:rPr>
                <w:rFonts w:ascii="Calibri" w:hAnsi="Calibri"/>
                <w:b/>
                <w:color w:val="282828"/>
                <w:sz w:val="17"/>
              </w:rPr>
              <w:t>Run 01</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100</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14.48</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2.78</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14.2%</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142.5 MB</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49</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98.00%</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98.00%</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98.00%</w:t>
            </w:r>
          </w:p>
        </w:tc>
      </w:tr>
      <w:tr>
        <w:tc>
          <w:tcPr>
            <w:tcW w:type="dxa" w:w="851"/>
            <w:vAlign w:val="center"/>
            <w:tcMar>
              <w:top w:w="100" w:type="dxa"/>
              <w:bottom w:w="100" w:type="dxa"/>
              <w:left w:w="120" w:type="dxa"/>
              <w:right w:w="120" w:type="dxa"/>
            </w:tcMar>
            <w:shd w:fill="FFFFFF"/>
          </w:tcPr>
          <w:p>
            <w:pPr>
              <w:spacing w:before="40" w:after="40"/>
            </w:pPr>
            <w:r>
              <w:rPr>
                <w:rFonts w:ascii="Calibri" w:hAnsi="Calibri"/>
                <w:b/>
                <w:color w:val="282828"/>
                <w:sz w:val="17"/>
              </w:rPr>
              <w:t>Run 02</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100</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14.52</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2.81</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14.5%</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143.1 MB</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49</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98.00%</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98.00%</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98.00%</w:t>
            </w:r>
          </w:p>
        </w:tc>
      </w:tr>
      <w:tr>
        <w:tc>
          <w:tcPr>
            <w:tcW w:type="dxa" w:w="851"/>
            <w:vAlign w:val="center"/>
            <w:tcMar>
              <w:top w:w="100" w:type="dxa"/>
              <w:bottom w:w="100" w:type="dxa"/>
              <w:left w:w="120" w:type="dxa"/>
              <w:right w:w="120" w:type="dxa"/>
            </w:tcMar>
            <w:shd w:fill="F2F4F7"/>
          </w:tcPr>
          <w:p>
            <w:pPr>
              <w:spacing w:before="40" w:after="40"/>
            </w:pPr>
            <w:r>
              <w:rPr>
                <w:rFonts w:ascii="Calibri" w:hAnsi="Calibri"/>
                <w:b/>
                <w:color w:val="282828"/>
                <w:sz w:val="17"/>
              </w:rPr>
              <w:t>Run 03</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100</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14.39</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2.75</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13.9%</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141.8 MB</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49</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98.00%</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98.00%</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98.00%</w:t>
            </w:r>
          </w:p>
        </w:tc>
      </w:tr>
      <w:tr>
        <w:tc>
          <w:tcPr>
            <w:tcW w:type="dxa" w:w="851"/>
            <w:vAlign w:val="center"/>
            <w:tcMar>
              <w:top w:w="100" w:type="dxa"/>
              <w:bottom w:w="100" w:type="dxa"/>
              <w:left w:w="120" w:type="dxa"/>
              <w:right w:w="120" w:type="dxa"/>
            </w:tcMar>
            <w:shd w:fill="FFFFFF"/>
          </w:tcPr>
          <w:p>
            <w:pPr>
              <w:spacing w:before="40" w:after="40"/>
            </w:pPr>
            <w:r>
              <w:rPr>
                <w:rFonts w:ascii="Calibri" w:hAnsi="Calibri"/>
                <w:b/>
                <w:color w:val="282828"/>
                <w:sz w:val="17"/>
              </w:rPr>
              <w:t>Run 04</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100</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14.61</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2.84</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14.8%</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144.2 MB</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49</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98.00%</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98.00%</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98.00%</w:t>
            </w:r>
          </w:p>
        </w:tc>
      </w:tr>
      <w:tr>
        <w:tc>
          <w:tcPr>
            <w:tcW w:type="dxa" w:w="851"/>
            <w:vAlign w:val="center"/>
            <w:tcMar>
              <w:top w:w="100" w:type="dxa"/>
              <w:bottom w:w="100" w:type="dxa"/>
              <w:left w:w="120" w:type="dxa"/>
              <w:right w:w="120" w:type="dxa"/>
            </w:tcMar>
            <w:shd w:fill="F2F4F7"/>
          </w:tcPr>
          <w:p>
            <w:pPr>
              <w:spacing w:before="40" w:after="40"/>
            </w:pPr>
            <w:r>
              <w:rPr>
                <w:rFonts w:ascii="Calibri" w:hAnsi="Calibri"/>
                <w:b/>
                <w:color w:val="282828"/>
                <w:sz w:val="17"/>
              </w:rPr>
              <w:t>Run 05</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100</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14.45</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2.76</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14.1%</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142.0 MB</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49</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98.00%</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98.00%</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98.00%</w:t>
            </w:r>
          </w:p>
        </w:tc>
      </w:tr>
      <w:tr>
        <w:tc>
          <w:tcPr>
            <w:tcW w:type="dxa" w:w="851"/>
            <w:vAlign w:val="center"/>
            <w:tcMar>
              <w:top w:w="100" w:type="dxa"/>
              <w:bottom w:w="100" w:type="dxa"/>
              <w:left w:w="120" w:type="dxa"/>
              <w:right w:w="120" w:type="dxa"/>
            </w:tcMar>
            <w:shd w:fill="FFFFFF"/>
          </w:tcPr>
          <w:p>
            <w:pPr>
              <w:spacing w:before="40" w:after="40"/>
            </w:pPr>
            <w:r>
              <w:rPr>
                <w:rFonts w:ascii="Calibri" w:hAnsi="Calibri"/>
                <w:b/>
                <w:color w:val="282828"/>
                <w:sz w:val="17"/>
              </w:rPr>
              <w:t>Run 06</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100</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14.55</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2.82</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14.6%</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143.5 MB</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49</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98.00%</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98.00%</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98.00%</w:t>
            </w:r>
          </w:p>
        </w:tc>
      </w:tr>
      <w:tr>
        <w:tc>
          <w:tcPr>
            <w:tcW w:type="dxa" w:w="851"/>
            <w:vAlign w:val="center"/>
            <w:tcMar>
              <w:top w:w="100" w:type="dxa"/>
              <w:bottom w:w="100" w:type="dxa"/>
              <w:left w:w="120" w:type="dxa"/>
              <w:right w:w="120" w:type="dxa"/>
            </w:tcMar>
            <w:shd w:fill="F2F4F7"/>
          </w:tcPr>
          <w:p>
            <w:pPr>
              <w:spacing w:before="40" w:after="40"/>
            </w:pPr>
            <w:r>
              <w:rPr>
                <w:rFonts w:ascii="Calibri" w:hAnsi="Calibri"/>
                <w:b/>
                <w:color w:val="282828"/>
                <w:sz w:val="17"/>
              </w:rPr>
              <w:t>Run 07</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100</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14.42</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2.77</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14.0%</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142.2 MB</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49</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98.00%</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98.00%</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98.00%</w:t>
            </w:r>
          </w:p>
        </w:tc>
      </w:tr>
      <w:tr>
        <w:tc>
          <w:tcPr>
            <w:tcW w:type="dxa" w:w="851"/>
            <w:vAlign w:val="center"/>
            <w:tcMar>
              <w:top w:w="100" w:type="dxa"/>
              <w:bottom w:w="100" w:type="dxa"/>
              <w:left w:w="120" w:type="dxa"/>
              <w:right w:w="120" w:type="dxa"/>
            </w:tcMar>
            <w:shd w:fill="FFFFFF"/>
          </w:tcPr>
          <w:p>
            <w:pPr>
              <w:spacing w:before="40" w:after="40"/>
            </w:pPr>
            <w:r>
              <w:rPr>
                <w:rFonts w:ascii="Calibri" w:hAnsi="Calibri"/>
                <w:b/>
                <w:color w:val="282828"/>
                <w:sz w:val="17"/>
              </w:rPr>
              <w:t>Run 08</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100</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14.58</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2.83</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14.7%</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143.9 MB</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49</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98.00%</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98.00%</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98.00%</w:t>
            </w:r>
          </w:p>
        </w:tc>
      </w:tr>
      <w:tr>
        <w:tc>
          <w:tcPr>
            <w:tcW w:type="dxa" w:w="851"/>
            <w:vAlign w:val="center"/>
            <w:tcMar>
              <w:top w:w="100" w:type="dxa"/>
              <w:bottom w:w="100" w:type="dxa"/>
              <w:left w:w="120" w:type="dxa"/>
              <w:right w:w="120" w:type="dxa"/>
            </w:tcMar>
            <w:shd w:fill="F2F4F7"/>
          </w:tcPr>
          <w:p>
            <w:pPr>
              <w:spacing w:before="40" w:after="40"/>
            </w:pPr>
            <w:r>
              <w:rPr>
                <w:rFonts w:ascii="Calibri" w:hAnsi="Calibri"/>
                <w:b/>
                <w:color w:val="282828"/>
                <w:sz w:val="17"/>
              </w:rPr>
              <w:t>Run 09</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100</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14.50</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2.80</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14.4%</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142.8 MB</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49</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1</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98.00%</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98.00%</w:t>
            </w:r>
          </w:p>
        </w:tc>
        <w:tc>
          <w:tcPr>
            <w:tcW w:type="dxa" w:w="851"/>
            <w:vAlign w:val="center"/>
            <w:tcMar>
              <w:top w:w="100" w:type="dxa"/>
              <w:bottom w:w="100" w:type="dxa"/>
              <w:left w:w="120" w:type="dxa"/>
              <w:right w:w="120" w:type="dxa"/>
            </w:tcMar>
            <w:shd w:fill="F2F4F7"/>
          </w:tcPr>
          <w:p>
            <w:pPr>
              <w:spacing w:before="40" w:after="40"/>
            </w:pPr>
            <w:r>
              <w:rPr>
                <w:rFonts w:ascii="Calibri" w:hAnsi="Calibri"/>
                <w:color w:val="282828"/>
                <w:sz w:val="17"/>
              </w:rPr>
              <w:t>98.00%</w:t>
            </w:r>
          </w:p>
        </w:tc>
      </w:tr>
      <w:tr>
        <w:tc>
          <w:tcPr>
            <w:tcW w:type="dxa" w:w="851"/>
            <w:vAlign w:val="center"/>
            <w:tcMar>
              <w:top w:w="100" w:type="dxa"/>
              <w:bottom w:w="100" w:type="dxa"/>
              <w:left w:w="120" w:type="dxa"/>
              <w:right w:w="120" w:type="dxa"/>
            </w:tcMar>
            <w:shd w:fill="FFFFFF"/>
          </w:tcPr>
          <w:p>
            <w:pPr>
              <w:spacing w:before="40" w:after="40"/>
            </w:pPr>
            <w:r>
              <w:rPr>
                <w:rFonts w:ascii="Calibri" w:hAnsi="Calibri"/>
                <w:b/>
                <w:color w:val="282828"/>
                <w:sz w:val="17"/>
              </w:rPr>
              <w:t>Run 10</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100</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14.46</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2.79</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14.3%</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142.6 MB</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49</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1</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98.00%</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98.00%</w:t>
            </w:r>
          </w:p>
        </w:tc>
        <w:tc>
          <w:tcPr>
            <w:tcW w:type="dxa" w:w="851"/>
            <w:vAlign w:val="center"/>
            <w:tcMar>
              <w:top w:w="100" w:type="dxa"/>
              <w:bottom w:w="100" w:type="dxa"/>
              <w:left w:w="120" w:type="dxa"/>
              <w:right w:w="120" w:type="dxa"/>
            </w:tcMar>
            <w:shd w:fill="FFFFFF"/>
          </w:tcPr>
          <w:p>
            <w:pPr>
              <w:spacing w:before="40" w:after="40"/>
            </w:pPr>
            <w:r>
              <w:rPr>
                <w:rFonts w:ascii="Calibri" w:hAnsi="Calibri"/>
                <w:color w:val="282828"/>
                <w:sz w:val="17"/>
              </w:rPr>
              <w:t>98.00%</w:t>
            </w:r>
          </w:p>
        </w:tc>
      </w:tr>
      <w:tr>
        <w:tc>
          <w:tcPr>
            <w:tcW w:type="dxa" w:w="851"/>
            <w:vAlign w:val="center"/>
            <w:tcMar>
              <w:top w:w="100" w:type="dxa"/>
              <w:bottom w:w="100" w:type="dxa"/>
              <w:left w:w="120" w:type="dxa"/>
              <w:right w:w="120" w:type="dxa"/>
            </w:tcMar>
            <w:shd w:fill="F2F4F7"/>
          </w:tcPr>
          <w:p>
            <w:pPr>
              <w:spacing w:before="40" w:after="40"/>
            </w:pPr>
            <w:r>
              <w:rPr>
                <w:rFonts w:ascii="Calibri" w:hAnsi="Calibri"/>
                <w:b/>
                <w:color w:val="282828"/>
                <w:sz w:val="17"/>
              </w:rPr>
              <w:t>Mean ($\mu$)</w:t>
            </w:r>
          </w:p>
        </w:tc>
        <w:tc>
          <w:tcPr>
            <w:tcW w:type="dxa" w:w="851"/>
            <w:vAlign w:val="center"/>
            <w:tcMar>
              <w:top w:w="100" w:type="dxa"/>
              <w:bottom w:w="100" w:type="dxa"/>
              <w:left w:w="120" w:type="dxa"/>
              <w:right w:w="120" w:type="dxa"/>
            </w:tcMar>
            <w:shd w:fill="F2F4F7"/>
          </w:tcPr>
          <w:p>
            <w:pPr>
              <w:spacing w:before="40" w:after="40"/>
            </w:pPr>
            <w:r>
              <w:rPr>
                <w:rFonts w:ascii="Calibri" w:hAnsi="Calibri"/>
                <w:b/>
                <w:color w:val="282828"/>
                <w:sz w:val="17"/>
              </w:rPr>
              <w:t>100</w:t>
            </w:r>
          </w:p>
        </w:tc>
        <w:tc>
          <w:tcPr>
            <w:tcW w:type="dxa" w:w="851"/>
            <w:vAlign w:val="center"/>
            <w:tcMar>
              <w:top w:w="100" w:type="dxa"/>
              <w:bottom w:w="100" w:type="dxa"/>
              <w:left w:w="120" w:type="dxa"/>
              <w:right w:w="120" w:type="dxa"/>
            </w:tcMar>
            <w:shd w:fill="F2F4F7"/>
          </w:tcPr>
          <w:p>
            <w:pPr>
              <w:spacing w:before="40" w:after="40"/>
            </w:pPr>
            <w:r>
              <w:rPr>
                <w:rFonts w:ascii="Calibri" w:hAnsi="Calibri"/>
                <w:b/>
                <w:color w:val="282828"/>
                <w:sz w:val="17"/>
              </w:rPr>
              <w:t>14.50</w:t>
            </w:r>
          </w:p>
        </w:tc>
        <w:tc>
          <w:tcPr>
            <w:tcW w:type="dxa" w:w="851"/>
            <w:vAlign w:val="center"/>
            <w:tcMar>
              <w:top w:w="100" w:type="dxa"/>
              <w:bottom w:w="100" w:type="dxa"/>
              <w:left w:w="120" w:type="dxa"/>
              <w:right w:w="120" w:type="dxa"/>
            </w:tcMar>
            <w:shd w:fill="F2F4F7"/>
          </w:tcPr>
          <w:p>
            <w:pPr>
              <w:spacing w:before="40" w:after="40"/>
            </w:pPr>
            <w:r>
              <w:rPr>
                <w:rFonts w:ascii="Calibri" w:hAnsi="Calibri"/>
                <w:b/>
                <w:color w:val="282828"/>
                <w:sz w:val="17"/>
              </w:rPr>
              <w:t>2.80</w:t>
            </w:r>
          </w:p>
        </w:tc>
        <w:tc>
          <w:tcPr>
            <w:tcW w:type="dxa" w:w="851"/>
            <w:vAlign w:val="center"/>
            <w:tcMar>
              <w:top w:w="100" w:type="dxa"/>
              <w:bottom w:w="100" w:type="dxa"/>
              <w:left w:w="120" w:type="dxa"/>
              <w:right w:w="120" w:type="dxa"/>
            </w:tcMar>
            <w:shd w:fill="F2F4F7"/>
          </w:tcPr>
          <w:p>
            <w:pPr>
              <w:spacing w:before="40" w:after="40"/>
            </w:pPr>
            <w:r>
              <w:rPr>
                <w:rFonts w:ascii="Calibri" w:hAnsi="Calibri"/>
                <w:b/>
                <w:color w:val="282828"/>
                <w:sz w:val="17"/>
              </w:rPr>
              <w:t>14.35%</w:t>
            </w:r>
          </w:p>
        </w:tc>
        <w:tc>
          <w:tcPr>
            <w:tcW w:type="dxa" w:w="851"/>
            <w:vAlign w:val="center"/>
            <w:tcMar>
              <w:top w:w="100" w:type="dxa"/>
              <w:bottom w:w="100" w:type="dxa"/>
              <w:left w:w="120" w:type="dxa"/>
              <w:right w:w="120" w:type="dxa"/>
            </w:tcMar>
            <w:shd w:fill="F2F4F7"/>
          </w:tcPr>
          <w:p>
            <w:pPr>
              <w:spacing w:before="40" w:after="40"/>
            </w:pPr>
            <w:r>
              <w:rPr>
                <w:rFonts w:ascii="Calibri" w:hAnsi="Calibri"/>
                <w:b/>
                <w:color w:val="282828"/>
                <w:sz w:val="17"/>
              </w:rPr>
              <w:t>142.86 MB</w:t>
            </w:r>
          </w:p>
        </w:tc>
        <w:tc>
          <w:tcPr>
            <w:tcW w:type="dxa" w:w="851"/>
            <w:vAlign w:val="center"/>
            <w:tcMar>
              <w:top w:w="100" w:type="dxa"/>
              <w:bottom w:w="100" w:type="dxa"/>
              <w:left w:w="120" w:type="dxa"/>
              <w:right w:w="120" w:type="dxa"/>
            </w:tcMar>
            <w:shd w:fill="F2F4F7"/>
          </w:tcPr>
          <w:p>
            <w:pPr>
              <w:spacing w:before="40" w:after="40"/>
            </w:pPr>
            <w:r>
              <w:rPr>
                <w:rFonts w:ascii="Calibri" w:hAnsi="Calibri"/>
                <w:b/>
                <w:color w:val="282828"/>
                <w:sz w:val="17"/>
              </w:rPr>
              <w:t>49.00</w:t>
            </w:r>
          </w:p>
        </w:tc>
        <w:tc>
          <w:tcPr>
            <w:tcW w:type="dxa" w:w="851"/>
            <w:vAlign w:val="center"/>
            <w:tcMar>
              <w:top w:w="100" w:type="dxa"/>
              <w:bottom w:w="100" w:type="dxa"/>
              <w:left w:w="120" w:type="dxa"/>
              <w:right w:w="120" w:type="dxa"/>
            </w:tcMar>
            <w:shd w:fill="F2F4F7"/>
          </w:tcPr>
          <w:p>
            <w:pPr>
              <w:spacing w:before="40" w:after="40"/>
            </w:pPr>
            <w:r>
              <w:rPr>
                <w:rFonts w:ascii="Calibri" w:hAnsi="Calibri"/>
                <w:b/>
                <w:color w:val="282828"/>
                <w:sz w:val="17"/>
              </w:rPr>
              <w:t>1.00</w:t>
            </w:r>
          </w:p>
        </w:tc>
        <w:tc>
          <w:tcPr>
            <w:tcW w:type="dxa" w:w="851"/>
            <w:vAlign w:val="center"/>
            <w:tcMar>
              <w:top w:w="100" w:type="dxa"/>
              <w:bottom w:w="100" w:type="dxa"/>
              <w:left w:w="120" w:type="dxa"/>
              <w:right w:w="120" w:type="dxa"/>
            </w:tcMar>
            <w:shd w:fill="F2F4F7"/>
          </w:tcPr>
          <w:p>
            <w:pPr>
              <w:spacing w:before="40" w:after="40"/>
            </w:pPr>
            <w:r>
              <w:rPr>
                <w:rFonts w:ascii="Calibri" w:hAnsi="Calibri"/>
                <w:b/>
                <w:color w:val="282828"/>
                <w:sz w:val="17"/>
              </w:rPr>
              <w:t>98.00%</w:t>
            </w:r>
          </w:p>
        </w:tc>
        <w:tc>
          <w:tcPr>
            <w:tcW w:type="dxa" w:w="851"/>
            <w:vAlign w:val="center"/>
            <w:tcMar>
              <w:top w:w="100" w:type="dxa"/>
              <w:bottom w:w="100" w:type="dxa"/>
              <w:left w:w="120" w:type="dxa"/>
              <w:right w:w="120" w:type="dxa"/>
            </w:tcMar>
            <w:shd w:fill="F2F4F7"/>
          </w:tcPr>
          <w:p>
            <w:pPr>
              <w:spacing w:before="40" w:after="40"/>
            </w:pPr>
            <w:r>
              <w:rPr>
                <w:rFonts w:ascii="Calibri" w:hAnsi="Calibri"/>
                <w:b/>
                <w:color w:val="282828"/>
                <w:sz w:val="17"/>
              </w:rPr>
              <w:t>98.00%</w:t>
            </w:r>
          </w:p>
        </w:tc>
        <w:tc>
          <w:tcPr>
            <w:tcW w:type="dxa" w:w="851"/>
            <w:vAlign w:val="center"/>
            <w:tcMar>
              <w:top w:w="100" w:type="dxa"/>
              <w:bottom w:w="100" w:type="dxa"/>
              <w:left w:w="120" w:type="dxa"/>
              <w:right w:w="120" w:type="dxa"/>
            </w:tcMar>
            <w:shd w:fill="F2F4F7"/>
          </w:tcPr>
          <w:p>
            <w:pPr>
              <w:spacing w:before="40" w:after="40"/>
            </w:pPr>
            <w:r>
              <w:rPr>
                <w:rFonts w:ascii="Calibri" w:hAnsi="Calibri"/>
                <w:b/>
                <w:color w:val="282828"/>
                <w:sz w:val="17"/>
              </w:rPr>
              <w:t>98.00%</w:t>
            </w:r>
          </w:p>
        </w:tc>
      </w:tr>
      <w:tr>
        <w:tc>
          <w:tcPr>
            <w:tcW w:type="dxa" w:w="851"/>
            <w:vAlign w:val="center"/>
            <w:tcMar>
              <w:top w:w="100" w:type="dxa"/>
              <w:bottom w:w="100" w:type="dxa"/>
              <w:left w:w="120" w:type="dxa"/>
              <w:right w:w="120" w:type="dxa"/>
            </w:tcMar>
            <w:shd w:fill="FFFFFF"/>
          </w:tcPr>
          <w:p>
            <w:pPr>
              <w:spacing w:before="40" w:after="40"/>
            </w:pPr>
            <w:r>
              <w:rPr>
                <w:rFonts w:ascii="Calibri" w:hAnsi="Calibri"/>
                <w:b/>
                <w:color w:val="282828"/>
                <w:sz w:val="17"/>
              </w:rPr>
              <w:t>Std Dev ($\sigma$)</w:t>
            </w:r>
          </w:p>
        </w:tc>
        <w:tc>
          <w:tcPr>
            <w:tcW w:type="dxa" w:w="851"/>
            <w:vAlign w:val="center"/>
            <w:tcMar>
              <w:top w:w="100" w:type="dxa"/>
              <w:bottom w:w="100" w:type="dxa"/>
              <w:left w:w="120" w:type="dxa"/>
              <w:right w:w="120" w:type="dxa"/>
            </w:tcMar>
            <w:shd w:fill="FFFFFF"/>
          </w:tcPr>
          <w:p>
            <w:pPr>
              <w:spacing w:before="40" w:after="40"/>
            </w:pPr>
            <w:r>
              <w:rPr>
                <w:rFonts w:ascii="Calibri" w:hAnsi="Calibri"/>
                <w:b/>
                <w:color w:val="282828"/>
                <w:sz w:val="17"/>
              </w:rPr>
              <w:t>0</w:t>
            </w:r>
          </w:p>
        </w:tc>
        <w:tc>
          <w:tcPr>
            <w:tcW w:type="dxa" w:w="851"/>
            <w:vAlign w:val="center"/>
            <w:tcMar>
              <w:top w:w="100" w:type="dxa"/>
              <w:bottom w:w="100" w:type="dxa"/>
              <w:left w:w="120" w:type="dxa"/>
              <w:right w:w="120" w:type="dxa"/>
            </w:tcMar>
            <w:shd w:fill="FFFFFF"/>
          </w:tcPr>
          <w:p>
            <w:pPr>
              <w:spacing w:before="40" w:after="40"/>
            </w:pPr>
            <w:r>
              <w:rPr>
                <w:rFonts w:ascii="Calibri" w:hAnsi="Calibri"/>
                <w:b/>
                <w:color w:val="282828"/>
                <w:sz w:val="17"/>
              </w:rPr>
              <w:t>0.066</w:t>
            </w:r>
          </w:p>
        </w:tc>
        <w:tc>
          <w:tcPr>
            <w:tcW w:type="dxa" w:w="851"/>
            <w:vAlign w:val="center"/>
            <w:tcMar>
              <w:top w:w="100" w:type="dxa"/>
              <w:bottom w:w="100" w:type="dxa"/>
              <w:left w:w="120" w:type="dxa"/>
              <w:right w:w="120" w:type="dxa"/>
            </w:tcMar>
            <w:shd w:fill="FFFFFF"/>
          </w:tcPr>
          <w:p>
            <w:pPr>
              <w:spacing w:before="40" w:after="40"/>
            </w:pPr>
            <w:r>
              <w:rPr>
                <w:rFonts w:ascii="Calibri" w:hAnsi="Calibri"/>
                <w:b/>
                <w:color w:val="282828"/>
                <w:sz w:val="17"/>
              </w:rPr>
              <w:t>0.030</w:t>
            </w:r>
          </w:p>
        </w:tc>
        <w:tc>
          <w:tcPr>
            <w:tcW w:type="dxa" w:w="851"/>
            <w:vAlign w:val="center"/>
            <w:tcMar>
              <w:top w:w="100" w:type="dxa"/>
              <w:bottom w:w="100" w:type="dxa"/>
              <w:left w:w="120" w:type="dxa"/>
              <w:right w:w="120" w:type="dxa"/>
            </w:tcMar>
            <w:shd w:fill="FFFFFF"/>
          </w:tcPr>
          <w:p>
            <w:pPr>
              <w:spacing w:before="40" w:after="40"/>
            </w:pPr>
            <w:r>
              <w:rPr>
                <w:rFonts w:ascii="Calibri" w:hAnsi="Calibri"/>
                <w:b/>
                <w:color w:val="282828"/>
                <w:sz w:val="17"/>
              </w:rPr>
              <w:t>0.30%</w:t>
            </w:r>
          </w:p>
        </w:tc>
        <w:tc>
          <w:tcPr>
            <w:tcW w:type="dxa" w:w="851"/>
            <w:vAlign w:val="center"/>
            <w:tcMar>
              <w:top w:w="100" w:type="dxa"/>
              <w:bottom w:w="100" w:type="dxa"/>
              <w:left w:w="120" w:type="dxa"/>
              <w:right w:w="120" w:type="dxa"/>
            </w:tcMar>
            <w:shd w:fill="FFFFFF"/>
          </w:tcPr>
          <w:p>
            <w:pPr>
              <w:spacing w:before="40" w:after="40"/>
            </w:pPr>
            <w:r>
              <w:rPr>
                <w:rFonts w:ascii="Calibri" w:hAnsi="Calibri"/>
                <w:b/>
                <w:color w:val="282828"/>
                <w:sz w:val="17"/>
              </w:rPr>
              <w:t>0.78 MB</w:t>
            </w:r>
          </w:p>
        </w:tc>
        <w:tc>
          <w:tcPr>
            <w:tcW w:type="dxa" w:w="851"/>
            <w:vAlign w:val="center"/>
            <w:tcMar>
              <w:top w:w="100" w:type="dxa"/>
              <w:bottom w:w="100" w:type="dxa"/>
              <w:left w:w="120" w:type="dxa"/>
              <w:right w:w="120" w:type="dxa"/>
            </w:tcMar>
            <w:shd w:fill="FFFFFF"/>
          </w:tcPr>
          <w:p>
            <w:pPr>
              <w:spacing w:before="40" w:after="40"/>
            </w:pPr>
            <w:r>
              <w:rPr>
                <w:rFonts w:ascii="Calibri" w:hAnsi="Calibri"/>
                <w:b/>
                <w:color w:val="282828"/>
                <w:sz w:val="17"/>
              </w:rPr>
              <w:t>0.00</w:t>
            </w:r>
          </w:p>
        </w:tc>
        <w:tc>
          <w:tcPr>
            <w:tcW w:type="dxa" w:w="851"/>
            <w:vAlign w:val="center"/>
            <w:tcMar>
              <w:top w:w="100" w:type="dxa"/>
              <w:bottom w:w="100" w:type="dxa"/>
              <w:left w:w="120" w:type="dxa"/>
              <w:right w:w="120" w:type="dxa"/>
            </w:tcMar>
            <w:shd w:fill="FFFFFF"/>
          </w:tcPr>
          <w:p>
            <w:pPr>
              <w:spacing w:before="40" w:after="40"/>
            </w:pPr>
            <w:r>
              <w:rPr>
                <w:rFonts w:ascii="Calibri" w:hAnsi="Calibri"/>
                <w:b/>
                <w:color w:val="282828"/>
                <w:sz w:val="17"/>
              </w:rPr>
              <w:t>0.00</w:t>
            </w:r>
          </w:p>
        </w:tc>
        <w:tc>
          <w:tcPr>
            <w:tcW w:type="dxa" w:w="851"/>
            <w:vAlign w:val="center"/>
            <w:tcMar>
              <w:top w:w="100" w:type="dxa"/>
              <w:bottom w:w="100" w:type="dxa"/>
              <w:left w:w="120" w:type="dxa"/>
              <w:right w:w="120" w:type="dxa"/>
            </w:tcMar>
            <w:shd w:fill="FFFFFF"/>
          </w:tcPr>
          <w:p>
            <w:pPr>
              <w:spacing w:before="40" w:after="40"/>
            </w:pPr>
            <w:r>
              <w:rPr>
                <w:rFonts w:ascii="Calibri" w:hAnsi="Calibri"/>
                <w:b/>
                <w:color w:val="282828"/>
                <w:sz w:val="17"/>
              </w:rPr>
              <w:t>0.00%</w:t>
            </w:r>
          </w:p>
        </w:tc>
        <w:tc>
          <w:tcPr>
            <w:tcW w:type="dxa" w:w="851"/>
            <w:vAlign w:val="center"/>
            <w:tcMar>
              <w:top w:w="100" w:type="dxa"/>
              <w:bottom w:w="100" w:type="dxa"/>
              <w:left w:w="120" w:type="dxa"/>
              <w:right w:w="120" w:type="dxa"/>
            </w:tcMar>
            <w:shd w:fill="FFFFFF"/>
          </w:tcPr>
          <w:p>
            <w:pPr>
              <w:spacing w:before="40" w:after="40"/>
            </w:pPr>
            <w:r>
              <w:rPr>
                <w:rFonts w:ascii="Calibri" w:hAnsi="Calibri"/>
                <w:b/>
                <w:color w:val="282828"/>
                <w:sz w:val="17"/>
              </w:rPr>
              <w:t>0.00%</w:t>
            </w:r>
          </w:p>
        </w:tc>
        <w:tc>
          <w:tcPr>
            <w:tcW w:type="dxa" w:w="851"/>
            <w:vAlign w:val="center"/>
            <w:tcMar>
              <w:top w:w="100" w:type="dxa"/>
              <w:bottom w:w="100" w:type="dxa"/>
              <w:left w:w="120" w:type="dxa"/>
              <w:right w:w="120" w:type="dxa"/>
            </w:tcMar>
            <w:shd w:fill="FFFFFF"/>
          </w:tcPr>
          <w:p>
            <w:pPr>
              <w:spacing w:before="40" w:after="40"/>
            </w:pPr>
            <w:r>
              <w:rPr>
                <w:rFonts w:ascii="Calibri" w:hAnsi="Calibri"/>
                <w:b/>
                <w:color w:val="282828"/>
                <w:sz w:val="17"/>
              </w:rPr>
              <w:t>0.00%</w:t>
            </w:r>
          </w:p>
        </w:tc>
      </w:tr>
    </w:tbl>
    <w:p>
      <w:pPr>
        <w:spacing w:after="120"/>
      </w:pPr>
    </w:p>
    <w:p>
      <w:pPr>
        <w:spacing w:before="160" w:after="160"/>
        <w:jc w:val="center"/>
      </w:pPr>
      <w:r>
        <w:rPr>
          <w:color w:val="B4B4B4"/>
        </w:rPr>
        <w:t>――――――――――――――――――――――――――――――――――――――――</w:t>
      </w:r>
    </w:p>
    <w:p>
      <w:pPr>
        <w:spacing w:before="240" w:after="120"/>
      </w:pPr>
      <w:r>
        <w:rPr>
          <w:rFonts w:ascii="Calibri" w:hAnsi="Calibri"/>
          <w:b/>
          <w:color w:val="2E75B6"/>
          <w:sz w:val="26"/>
        </w:rPr>
        <w:t>Table D.3: Detection Latency &amp; Mean Time to Scan (MTTS) Breakdown by Vulnerability Class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Mar>
              <w:top w:w="100" w:type="dxa"/>
              <w:bottom w:w="100" w:type="dxa"/>
              <w:left w:w="120" w:type="dxa"/>
              <w:right w:w="120" w:type="dxa"/>
            </w:tcMar>
            <w:shd w:fill="1F4E78"/>
          </w:tcPr>
          <w:p>
            <w:pPr>
              <w:spacing w:before="40" w:after="40"/>
            </w:pPr>
            <w:r>
              <w:rPr>
                <w:rFonts w:ascii="Calibri" w:hAnsi="Calibri"/>
                <w:b/>
                <w:color w:val="FFFFFF"/>
                <w:sz w:val="18"/>
              </w:rPr>
              <w:t>Vulnerability Category</w:t>
            </w:r>
          </w:p>
        </w:tc>
        <w:tc>
          <w:tcPr>
            <w:tcW w:type="dxa" w:w="1560"/>
            <w:vAlign w:val="center"/>
            <w:tcMar>
              <w:top w:w="100" w:type="dxa"/>
              <w:bottom w:w="100" w:type="dxa"/>
              <w:left w:w="120" w:type="dxa"/>
              <w:right w:w="120" w:type="dxa"/>
            </w:tcMar>
            <w:shd w:fill="1F4E78"/>
          </w:tcPr>
          <w:p>
            <w:pPr>
              <w:spacing w:before="40" w:after="40"/>
            </w:pPr>
            <w:r>
              <w:rPr>
                <w:rFonts w:ascii="Calibri" w:hAnsi="Calibri"/>
                <w:b/>
                <w:color w:val="FFFFFF"/>
                <w:sz w:val="18"/>
              </w:rPr>
              <w:t>Aegis IAST Single Request Latency (ms)</w:t>
            </w:r>
          </w:p>
        </w:tc>
        <w:tc>
          <w:tcPr>
            <w:tcW w:type="dxa" w:w="1560"/>
            <w:vAlign w:val="center"/>
            <w:tcMar>
              <w:top w:w="100" w:type="dxa"/>
              <w:bottom w:w="100" w:type="dxa"/>
              <w:left w:w="120" w:type="dxa"/>
              <w:right w:w="120" w:type="dxa"/>
            </w:tcMar>
            <w:shd w:fill="1F4E78"/>
          </w:tcPr>
          <w:p>
            <w:pPr>
              <w:spacing w:before="40" w:after="40"/>
            </w:pPr>
            <w:r>
              <w:rPr>
                <w:rFonts w:ascii="Calibri" w:hAnsi="Calibri"/>
                <w:b/>
                <w:color w:val="FFFFFF"/>
                <w:sz w:val="18"/>
              </w:rPr>
              <w:t>Aegis IAST Total Category MTTS (s)</w:t>
            </w:r>
          </w:p>
        </w:tc>
        <w:tc>
          <w:tcPr>
            <w:tcW w:type="dxa" w:w="1560"/>
            <w:vAlign w:val="center"/>
            <w:tcMar>
              <w:top w:w="100" w:type="dxa"/>
              <w:bottom w:w="100" w:type="dxa"/>
              <w:left w:w="120" w:type="dxa"/>
              <w:right w:w="120" w:type="dxa"/>
            </w:tcMar>
            <w:shd w:fill="1F4E78"/>
          </w:tcPr>
          <w:p>
            <w:pPr>
              <w:spacing w:before="40" w:after="40"/>
            </w:pPr>
            <w:r>
              <w:rPr>
                <w:rFonts w:ascii="Calibri" w:hAnsi="Calibri"/>
                <w:b/>
                <w:color w:val="FFFFFF"/>
                <w:sz w:val="18"/>
              </w:rPr>
              <w:t>OWASP ZAP DAST Category MTTS (s)</w:t>
            </w:r>
          </w:p>
        </w:tc>
        <w:tc>
          <w:tcPr>
            <w:tcW w:type="dxa" w:w="1560"/>
            <w:vAlign w:val="center"/>
            <w:tcMar>
              <w:top w:w="100" w:type="dxa"/>
              <w:bottom w:w="100" w:type="dxa"/>
              <w:left w:w="120" w:type="dxa"/>
              <w:right w:w="120" w:type="dxa"/>
            </w:tcMar>
            <w:shd w:fill="1F4E78"/>
          </w:tcPr>
          <w:p>
            <w:pPr>
              <w:spacing w:before="40" w:after="40"/>
            </w:pPr>
            <w:r>
              <w:rPr>
                <w:rFonts w:ascii="Calibri" w:hAnsi="Calibri"/>
                <w:b/>
                <w:color w:val="FFFFFF"/>
                <w:sz w:val="18"/>
              </w:rPr>
              <w:t>Speedup Factor (DAST / IAST)</w:t>
            </w:r>
          </w:p>
        </w:tc>
        <w:tc>
          <w:tcPr>
            <w:tcW w:type="dxa" w:w="1560"/>
            <w:vAlign w:val="center"/>
            <w:tcMar>
              <w:top w:w="100" w:type="dxa"/>
              <w:bottom w:w="100" w:type="dxa"/>
              <w:left w:w="120" w:type="dxa"/>
              <w:right w:w="120" w:type="dxa"/>
            </w:tcMar>
            <w:shd w:fill="1F4E78"/>
          </w:tcPr>
          <w:p>
            <w:pPr>
              <w:spacing w:before="40" w:after="40"/>
            </w:pPr>
            <w:r>
              <w:rPr>
                <w:rFonts w:ascii="Calibri" w:hAnsi="Calibri"/>
                <w:b/>
                <w:color w:val="FFFFFF"/>
                <w:sz w:val="18"/>
              </w:rPr>
              <w:t>Primary Performance Bottleneck in Black-Box DAST Scanning</w:t>
            </w:r>
          </w:p>
        </w:tc>
      </w:tr>
      <w:tr>
        <w:tc>
          <w:tcPr>
            <w:tcW w:type="dxa" w:w="1560"/>
            <w:vAlign w:val="center"/>
            <w:tcMar>
              <w:top w:w="100" w:type="dxa"/>
              <w:bottom w:w="100" w:type="dxa"/>
              <w:left w:w="120" w:type="dxa"/>
              <w:right w:w="120" w:type="dxa"/>
            </w:tcMar>
            <w:shd w:fill="F2F4F7"/>
          </w:tcPr>
          <w:p>
            <w:pPr>
              <w:spacing w:before="40" w:after="40"/>
            </w:pPr>
            <w:r>
              <w:rPr>
                <w:rFonts w:ascii="Calibri" w:hAnsi="Calibri"/>
                <w:b/>
                <w:color w:val="282828"/>
                <w:sz w:val="17"/>
              </w:rPr>
              <w:t>SQL Injection</w:t>
            </w:r>
          </w:p>
        </w:tc>
        <w:tc>
          <w:tcPr>
            <w:tcW w:type="dxa" w:w="1560"/>
            <w:vAlign w:val="center"/>
            <w:tcMar>
              <w:top w:w="100" w:type="dxa"/>
              <w:bottom w:w="100" w:type="dxa"/>
              <w:left w:w="120" w:type="dxa"/>
              <w:right w:w="120" w:type="dxa"/>
            </w:tcMar>
            <w:shd w:fill="F2F4F7"/>
          </w:tcPr>
          <w:p>
            <w:pPr>
              <w:spacing w:before="40" w:after="40"/>
            </w:pPr>
            <w:r>
              <w:rPr>
                <w:rFonts w:ascii="Calibri" w:hAnsi="Calibri"/>
                <w:color w:val="282828"/>
                <w:sz w:val="17"/>
              </w:rPr>
              <w:t>3.12 ms</w:t>
            </w:r>
          </w:p>
        </w:tc>
        <w:tc>
          <w:tcPr>
            <w:tcW w:type="dxa" w:w="1560"/>
            <w:vAlign w:val="center"/>
            <w:tcMar>
              <w:top w:w="100" w:type="dxa"/>
              <w:bottom w:w="100" w:type="dxa"/>
              <w:left w:w="120" w:type="dxa"/>
              <w:right w:w="120" w:type="dxa"/>
            </w:tcMar>
            <w:shd w:fill="F2F4F7"/>
          </w:tcPr>
          <w:p>
            <w:pPr>
              <w:spacing w:before="40" w:after="40"/>
            </w:pPr>
            <w:r>
              <w:rPr>
                <w:rFonts w:ascii="Calibri" w:hAnsi="Calibri"/>
                <w:color w:val="282828"/>
                <w:sz w:val="17"/>
              </w:rPr>
              <w:t>1.45 s</w:t>
            </w:r>
          </w:p>
        </w:tc>
        <w:tc>
          <w:tcPr>
            <w:tcW w:type="dxa" w:w="1560"/>
            <w:vAlign w:val="center"/>
            <w:tcMar>
              <w:top w:w="100" w:type="dxa"/>
              <w:bottom w:w="100" w:type="dxa"/>
              <w:left w:w="120" w:type="dxa"/>
              <w:right w:w="120" w:type="dxa"/>
            </w:tcMar>
            <w:shd w:fill="F2F4F7"/>
          </w:tcPr>
          <w:p>
            <w:pPr>
              <w:spacing w:before="40" w:after="40"/>
            </w:pPr>
            <w:r>
              <w:rPr>
                <w:rFonts w:ascii="Calibri" w:hAnsi="Calibri"/>
                <w:color w:val="282828"/>
                <w:sz w:val="17"/>
              </w:rPr>
              <w:t>412.5 s</w:t>
            </w:r>
          </w:p>
        </w:tc>
        <w:tc>
          <w:tcPr>
            <w:tcW w:type="dxa" w:w="1560"/>
            <w:vAlign w:val="center"/>
            <w:tcMar>
              <w:top w:w="100" w:type="dxa"/>
              <w:bottom w:w="100" w:type="dxa"/>
              <w:left w:w="120" w:type="dxa"/>
              <w:right w:w="120" w:type="dxa"/>
            </w:tcMar>
            <w:shd w:fill="F2F4F7"/>
          </w:tcPr>
          <w:p>
            <w:pPr>
              <w:spacing w:before="40" w:after="40"/>
            </w:pPr>
            <w:r>
              <w:rPr>
                <w:rFonts w:ascii="Calibri" w:hAnsi="Calibri"/>
                <w:b/>
                <w:color w:val="282828"/>
                <w:sz w:val="17"/>
              </w:rPr>
              <w:t>284.5x</w:t>
            </w:r>
          </w:p>
        </w:tc>
        <w:tc>
          <w:tcPr>
            <w:tcW w:type="dxa" w:w="1560"/>
            <w:vAlign w:val="center"/>
            <w:tcMar>
              <w:top w:w="100" w:type="dxa"/>
              <w:bottom w:w="100" w:type="dxa"/>
              <w:left w:w="120" w:type="dxa"/>
              <w:right w:w="120" w:type="dxa"/>
            </w:tcMar>
            <w:shd w:fill="F2F4F7"/>
          </w:tcPr>
          <w:p>
            <w:pPr>
              <w:spacing w:before="40" w:after="40"/>
            </w:pPr>
            <w:r>
              <w:rPr>
                <w:rFonts w:ascii="Calibri" w:hAnsi="Calibri"/>
                <w:color w:val="282828"/>
                <w:sz w:val="17"/>
              </w:rPr>
              <w:t>Time-based blind payloads (</w:t>
            </w:r>
            <w:r>
              <w:rPr>
                <w:rFonts w:ascii="Consolas" w:hAnsi="Consolas"/>
                <w:color w:val="282828"/>
                <w:sz w:val="17"/>
              </w:rPr>
              <w:t>SLEEP(5)</w:t>
            </w:r>
            <w:r>
              <w:rPr>
                <w:rFonts w:ascii="Calibri" w:hAnsi="Calibri"/>
                <w:color w:val="282828"/>
                <w:sz w:val="17"/>
              </w:rPr>
              <w:t>) and multi-stage fuzzing</w:t>
            </w:r>
          </w:p>
        </w:tc>
      </w:tr>
      <w:tr>
        <w:tc>
          <w:tcPr>
            <w:tcW w:type="dxa" w:w="1560"/>
            <w:vAlign w:val="center"/>
            <w:tcMar>
              <w:top w:w="100" w:type="dxa"/>
              <w:bottom w:w="100" w:type="dxa"/>
              <w:left w:w="120" w:type="dxa"/>
              <w:right w:w="120" w:type="dxa"/>
            </w:tcMar>
            <w:shd w:fill="FFFFFF"/>
          </w:tcPr>
          <w:p>
            <w:pPr>
              <w:spacing w:before="40" w:after="40"/>
            </w:pPr>
            <w:r>
              <w:rPr>
                <w:rFonts w:ascii="Calibri" w:hAnsi="Calibri"/>
                <w:b/>
                <w:color w:val="282828"/>
                <w:sz w:val="17"/>
              </w:rPr>
              <w:t>OS Command Injection</w:t>
            </w:r>
          </w:p>
        </w:tc>
        <w:tc>
          <w:tcPr>
            <w:tcW w:type="dxa" w:w="1560"/>
            <w:vAlign w:val="center"/>
            <w:tcMar>
              <w:top w:w="100" w:type="dxa"/>
              <w:bottom w:w="100" w:type="dxa"/>
              <w:left w:w="120" w:type="dxa"/>
              <w:right w:w="120" w:type="dxa"/>
            </w:tcMar>
            <w:shd w:fill="FFFFFF"/>
          </w:tcPr>
          <w:p>
            <w:pPr>
              <w:spacing w:before="40" w:after="40"/>
            </w:pPr>
            <w:r>
              <w:rPr>
                <w:rFonts w:ascii="Calibri" w:hAnsi="Calibri"/>
                <w:color w:val="282828"/>
                <w:sz w:val="17"/>
              </w:rPr>
              <w:t>3.45 ms</w:t>
            </w:r>
          </w:p>
        </w:tc>
        <w:tc>
          <w:tcPr>
            <w:tcW w:type="dxa" w:w="1560"/>
            <w:vAlign w:val="center"/>
            <w:tcMar>
              <w:top w:w="100" w:type="dxa"/>
              <w:bottom w:w="100" w:type="dxa"/>
              <w:left w:w="120" w:type="dxa"/>
              <w:right w:w="120" w:type="dxa"/>
            </w:tcMar>
            <w:shd w:fill="FFFFFF"/>
          </w:tcPr>
          <w:p>
            <w:pPr>
              <w:spacing w:before="40" w:after="40"/>
            </w:pPr>
            <w:r>
              <w:rPr>
                <w:rFonts w:ascii="Calibri" w:hAnsi="Calibri"/>
                <w:color w:val="282828"/>
                <w:sz w:val="17"/>
              </w:rPr>
              <w:t>1.52 s</w:t>
            </w:r>
          </w:p>
        </w:tc>
        <w:tc>
          <w:tcPr>
            <w:tcW w:type="dxa" w:w="1560"/>
            <w:vAlign w:val="center"/>
            <w:tcMar>
              <w:top w:w="100" w:type="dxa"/>
              <w:bottom w:w="100" w:type="dxa"/>
              <w:left w:w="120" w:type="dxa"/>
              <w:right w:w="120" w:type="dxa"/>
            </w:tcMar>
            <w:shd w:fill="FFFFFF"/>
          </w:tcPr>
          <w:p>
            <w:pPr>
              <w:spacing w:before="40" w:after="40"/>
            </w:pPr>
            <w:r>
              <w:rPr>
                <w:rFonts w:ascii="Calibri" w:hAnsi="Calibri"/>
                <w:color w:val="282828"/>
                <w:sz w:val="17"/>
              </w:rPr>
              <w:t>385.0 s</w:t>
            </w:r>
          </w:p>
        </w:tc>
        <w:tc>
          <w:tcPr>
            <w:tcW w:type="dxa" w:w="1560"/>
            <w:vAlign w:val="center"/>
            <w:tcMar>
              <w:top w:w="100" w:type="dxa"/>
              <w:bottom w:w="100" w:type="dxa"/>
              <w:left w:w="120" w:type="dxa"/>
              <w:right w:w="120" w:type="dxa"/>
            </w:tcMar>
            <w:shd w:fill="FFFFFF"/>
          </w:tcPr>
          <w:p>
            <w:pPr>
              <w:spacing w:before="40" w:after="40"/>
            </w:pPr>
            <w:r>
              <w:rPr>
                <w:rFonts w:ascii="Calibri" w:hAnsi="Calibri"/>
                <w:b/>
                <w:color w:val="282828"/>
                <w:sz w:val="17"/>
              </w:rPr>
              <w:t>253.3x</w:t>
            </w:r>
          </w:p>
        </w:tc>
        <w:tc>
          <w:tcPr>
            <w:tcW w:type="dxa" w:w="1560"/>
            <w:vAlign w:val="center"/>
            <w:tcMar>
              <w:top w:w="100" w:type="dxa"/>
              <w:bottom w:w="100" w:type="dxa"/>
              <w:left w:w="120" w:type="dxa"/>
              <w:right w:w="120" w:type="dxa"/>
            </w:tcMar>
            <w:shd w:fill="FFFFFF"/>
          </w:tcPr>
          <w:p>
            <w:pPr>
              <w:spacing w:before="40" w:after="40"/>
            </w:pPr>
            <w:r>
              <w:rPr>
                <w:rFonts w:ascii="Calibri" w:hAnsi="Calibri"/>
                <w:color w:val="282828"/>
                <w:sz w:val="17"/>
              </w:rPr>
              <w:t>Out-of-band ping delays and command timeout wait periods</w:t>
            </w:r>
          </w:p>
        </w:tc>
      </w:tr>
      <w:tr>
        <w:tc>
          <w:tcPr>
            <w:tcW w:type="dxa" w:w="1560"/>
            <w:vAlign w:val="center"/>
            <w:tcMar>
              <w:top w:w="100" w:type="dxa"/>
              <w:bottom w:w="100" w:type="dxa"/>
              <w:left w:w="120" w:type="dxa"/>
              <w:right w:w="120" w:type="dxa"/>
            </w:tcMar>
            <w:shd w:fill="F2F4F7"/>
          </w:tcPr>
          <w:p>
            <w:pPr>
              <w:spacing w:before="40" w:after="40"/>
            </w:pPr>
            <w:r>
              <w:rPr>
                <w:rFonts w:ascii="Calibri" w:hAnsi="Calibri"/>
                <w:b/>
                <w:color w:val="282828"/>
                <w:sz w:val="17"/>
              </w:rPr>
              <w:t>Unsafe Deserialization</w:t>
            </w:r>
          </w:p>
        </w:tc>
        <w:tc>
          <w:tcPr>
            <w:tcW w:type="dxa" w:w="1560"/>
            <w:vAlign w:val="center"/>
            <w:tcMar>
              <w:top w:w="100" w:type="dxa"/>
              <w:bottom w:w="100" w:type="dxa"/>
              <w:left w:w="120" w:type="dxa"/>
              <w:right w:w="120" w:type="dxa"/>
            </w:tcMar>
            <w:shd w:fill="F2F4F7"/>
          </w:tcPr>
          <w:p>
            <w:pPr>
              <w:spacing w:before="40" w:after="40"/>
            </w:pPr>
            <w:r>
              <w:rPr>
                <w:rFonts w:ascii="Calibri" w:hAnsi="Calibri"/>
                <w:color w:val="282828"/>
                <w:sz w:val="17"/>
              </w:rPr>
              <w:t>2.95 ms</w:t>
            </w:r>
          </w:p>
        </w:tc>
        <w:tc>
          <w:tcPr>
            <w:tcW w:type="dxa" w:w="1560"/>
            <w:vAlign w:val="center"/>
            <w:tcMar>
              <w:top w:w="100" w:type="dxa"/>
              <w:bottom w:w="100" w:type="dxa"/>
              <w:left w:w="120" w:type="dxa"/>
              <w:right w:w="120" w:type="dxa"/>
            </w:tcMar>
            <w:shd w:fill="F2F4F7"/>
          </w:tcPr>
          <w:p>
            <w:pPr>
              <w:spacing w:before="40" w:after="40"/>
            </w:pPr>
            <w:r>
              <w:rPr>
                <w:rFonts w:ascii="Calibri" w:hAnsi="Calibri"/>
                <w:color w:val="282828"/>
                <w:sz w:val="17"/>
              </w:rPr>
              <w:t>1.38 s</w:t>
            </w:r>
          </w:p>
        </w:tc>
        <w:tc>
          <w:tcPr>
            <w:tcW w:type="dxa" w:w="1560"/>
            <w:vAlign w:val="center"/>
            <w:tcMar>
              <w:top w:w="100" w:type="dxa"/>
              <w:bottom w:w="100" w:type="dxa"/>
              <w:left w:w="120" w:type="dxa"/>
              <w:right w:w="120" w:type="dxa"/>
            </w:tcMar>
            <w:shd w:fill="F2F4F7"/>
          </w:tcPr>
          <w:p>
            <w:pPr>
              <w:spacing w:before="40" w:after="40"/>
            </w:pPr>
            <w:r>
              <w:rPr>
                <w:rFonts w:ascii="Calibri" w:hAnsi="Calibri"/>
                <w:color w:val="282828"/>
                <w:sz w:val="17"/>
              </w:rPr>
              <w:t>290.0 s</w:t>
            </w:r>
          </w:p>
        </w:tc>
        <w:tc>
          <w:tcPr>
            <w:tcW w:type="dxa" w:w="1560"/>
            <w:vAlign w:val="center"/>
            <w:tcMar>
              <w:top w:w="100" w:type="dxa"/>
              <w:bottom w:w="100" w:type="dxa"/>
              <w:left w:w="120" w:type="dxa"/>
              <w:right w:w="120" w:type="dxa"/>
            </w:tcMar>
            <w:shd w:fill="F2F4F7"/>
          </w:tcPr>
          <w:p>
            <w:pPr>
              <w:spacing w:before="40" w:after="40"/>
            </w:pPr>
            <w:r>
              <w:rPr>
                <w:rFonts w:ascii="Calibri" w:hAnsi="Calibri"/>
                <w:b/>
                <w:color w:val="282828"/>
                <w:sz w:val="17"/>
              </w:rPr>
              <w:t>210.1x</w:t>
            </w:r>
          </w:p>
        </w:tc>
        <w:tc>
          <w:tcPr>
            <w:tcW w:type="dxa" w:w="1560"/>
            <w:vAlign w:val="center"/>
            <w:tcMar>
              <w:top w:w="100" w:type="dxa"/>
              <w:bottom w:w="100" w:type="dxa"/>
              <w:left w:w="120" w:type="dxa"/>
              <w:right w:w="120" w:type="dxa"/>
            </w:tcMar>
            <w:shd w:fill="F2F4F7"/>
          </w:tcPr>
          <w:p>
            <w:pPr>
              <w:spacing w:before="40" w:after="40"/>
            </w:pPr>
            <w:r>
              <w:rPr>
                <w:rFonts w:ascii="Calibri" w:hAnsi="Calibri"/>
                <w:color w:val="282828"/>
                <w:sz w:val="17"/>
              </w:rPr>
              <w:t>Binary payload combinatorial variations and connection resets</w:t>
            </w:r>
          </w:p>
        </w:tc>
      </w:tr>
      <w:tr>
        <w:tc>
          <w:tcPr>
            <w:tcW w:type="dxa" w:w="1560"/>
            <w:vAlign w:val="center"/>
            <w:tcMar>
              <w:top w:w="100" w:type="dxa"/>
              <w:bottom w:w="100" w:type="dxa"/>
              <w:left w:w="120" w:type="dxa"/>
              <w:right w:w="120" w:type="dxa"/>
            </w:tcMar>
            <w:shd w:fill="FFFFFF"/>
          </w:tcPr>
          <w:p>
            <w:pPr>
              <w:spacing w:before="40" w:after="40"/>
            </w:pPr>
            <w:r>
              <w:rPr>
                <w:rFonts w:ascii="Calibri" w:hAnsi="Calibri"/>
                <w:b/>
                <w:color w:val="282828"/>
                <w:sz w:val="17"/>
              </w:rPr>
              <w:t>XML External Entity (XXE)</w:t>
            </w:r>
          </w:p>
        </w:tc>
        <w:tc>
          <w:tcPr>
            <w:tcW w:type="dxa" w:w="1560"/>
            <w:vAlign w:val="center"/>
            <w:tcMar>
              <w:top w:w="100" w:type="dxa"/>
              <w:bottom w:w="100" w:type="dxa"/>
              <w:left w:w="120" w:type="dxa"/>
              <w:right w:w="120" w:type="dxa"/>
            </w:tcMar>
            <w:shd w:fill="FFFFFF"/>
          </w:tcPr>
          <w:p>
            <w:pPr>
              <w:spacing w:before="40" w:after="40"/>
            </w:pPr>
            <w:r>
              <w:rPr>
                <w:rFonts w:ascii="Calibri" w:hAnsi="Calibri"/>
                <w:color w:val="282828"/>
                <w:sz w:val="17"/>
              </w:rPr>
              <w:t>2.88 ms</w:t>
            </w:r>
          </w:p>
        </w:tc>
        <w:tc>
          <w:tcPr>
            <w:tcW w:type="dxa" w:w="1560"/>
            <w:vAlign w:val="center"/>
            <w:tcMar>
              <w:top w:w="100" w:type="dxa"/>
              <w:bottom w:w="100" w:type="dxa"/>
              <w:left w:w="120" w:type="dxa"/>
              <w:right w:w="120" w:type="dxa"/>
            </w:tcMar>
            <w:shd w:fill="FFFFFF"/>
          </w:tcPr>
          <w:p>
            <w:pPr>
              <w:spacing w:before="40" w:after="40"/>
            </w:pPr>
            <w:r>
              <w:rPr>
                <w:rFonts w:ascii="Calibri" w:hAnsi="Calibri"/>
                <w:color w:val="282828"/>
                <w:sz w:val="17"/>
              </w:rPr>
              <w:t>1.40 s</w:t>
            </w:r>
          </w:p>
        </w:tc>
        <w:tc>
          <w:tcPr>
            <w:tcW w:type="dxa" w:w="1560"/>
            <w:vAlign w:val="center"/>
            <w:tcMar>
              <w:top w:w="100" w:type="dxa"/>
              <w:bottom w:w="100" w:type="dxa"/>
              <w:left w:w="120" w:type="dxa"/>
              <w:right w:w="120" w:type="dxa"/>
            </w:tcMar>
            <w:shd w:fill="FFFFFF"/>
          </w:tcPr>
          <w:p>
            <w:pPr>
              <w:spacing w:before="40" w:after="40"/>
            </w:pPr>
            <w:r>
              <w:rPr>
                <w:rFonts w:ascii="Calibri" w:hAnsi="Calibri"/>
                <w:color w:val="282828"/>
                <w:sz w:val="17"/>
              </w:rPr>
              <w:t>315.0 s</w:t>
            </w:r>
          </w:p>
        </w:tc>
        <w:tc>
          <w:tcPr>
            <w:tcW w:type="dxa" w:w="1560"/>
            <w:vAlign w:val="center"/>
            <w:tcMar>
              <w:top w:w="100" w:type="dxa"/>
              <w:bottom w:w="100" w:type="dxa"/>
              <w:left w:w="120" w:type="dxa"/>
              <w:right w:w="120" w:type="dxa"/>
            </w:tcMar>
            <w:shd w:fill="FFFFFF"/>
          </w:tcPr>
          <w:p>
            <w:pPr>
              <w:spacing w:before="40" w:after="40"/>
            </w:pPr>
            <w:r>
              <w:rPr>
                <w:rFonts w:ascii="Calibri" w:hAnsi="Calibri"/>
                <w:b/>
                <w:color w:val="282828"/>
                <w:sz w:val="17"/>
              </w:rPr>
              <w:t>225.0x</w:t>
            </w:r>
          </w:p>
        </w:tc>
        <w:tc>
          <w:tcPr>
            <w:tcW w:type="dxa" w:w="1560"/>
            <w:vAlign w:val="center"/>
            <w:tcMar>
              <w:top w:w="100" w:type="dxa"/>
              <w:bottom w:w="100" w:type="dxa"/>
              <w:left w:w="120" w:type="dxa"/>
              <w:right w:w="120" w:type="dxa"/>
            </w:tcMar>
            <w:shd w:fill="FFFFFF"/>
          </w:tcPr>
          <w:p>
            <w:pPr>
              <w:spacing w:before="40" w:after="40"/>
            </w:pPr>
            <w:r>
              <w:rPr>
                <w:rFonts w:ascii="Calibri" w:hAnsi="Calibri"/>
                <w:color w:val="282828"/>
                <w:sz w:val="17"/>
              </w:rPr>
              <w:t>External DTD resolution timeouts and network listener polling</w:t>
            </w:r>
          </w:p>
        </w:tc>
      </w:tr>
      <w:tr>
        <w:tc>
          <w:tcPr>
            <w:tcW w:type="dxa" w:w="1560"/>
            <w:vAlign w:val="center"/>
            <w:tcMar>
              <w:top w:w="100" w:type="dxa"/>
              <w:bottom w:w="100" w:type="dxa"/>
              <w:left w:w="120" w:type="dxa"/>
              <w:right w:w="120" w:type="dxa"/>
            </w:tcMar>
            <w:shd w:fill="F2F4F7"/>
          </w:tcPr>
          <w:p>
            <w:pPr>
              <w:spacing w:before="40" w:after="40"/>
            </w:pPr>
            <w:r>
              <w:rPr>
                <w:rFonts w:ascii="Calibri" w:hAnsi="Calibri"/>
                <w:b/>
                <w:color w:val="282828"/>
                <w:sz w:val="17"/>
              </w:rPr>
              <w:t>Path Traversal</w:t>
            </w:r>
          </w:p>
        </w:tc>
        <w:tc>
          <w:tcPr>
            <w:tcW w:type="dxa" w:w="1560"/>
            <w:vAlign w:val="center"/>
            <w:tcMar>
              <w:top w:w="100" w:type="dxa"/>
              <w:bottom w:w="100" w:type="dxa"/>
              <w:left w:w="120" w:type="dxa"/>
              <w:right w:w="120" w:type="dxa"/>
            </w:tcMar>
            <w:shd w:fill="F2F4F7"/>
          </w:tcPr>
          <w:p>
            <w:pPr>
              <w:spacing w:before="40" w:after="40"/>
            </w:pPr>
            <w:r>
              <w:rPr>
                <w:rFonts w:ascii="Calibri" w:hAnsi="Calibri"/>
                <w:color w:val="282828"/>
                <w:sz w:val="17"/>
              </w:rPr>
              <w:t>2.65 ms</w:t>
            </w:r>
          </w:p>
        </w:tc>
        <w:tc>
          <w:tcPr>
            <w:tcW w:type="dxa" w:w="1560"/>
            <w:vAlign w:val="center"/>
            <w:tcMar>
              <w:top w:w="100" w:type="dxa"/>
              <w:bottom w:w="100" w:type="dxa"/>
              <w:left w:w="120" w:type="dxa"/>
              <w:right w:w="120" w:type="dxa"/>
            </w:tcMar>
            <w:shd w:fill="F2F4F7"/>
          </w:tcPr>
          <w:p>
            <w:pPr>
              <w:spacing w:before="40" w:after="40"/>
            </w:pPr>
            <w:r>
              <w:rPr>
                <w:rFonts w:ascii="Calibri" w:hAnsi="Calibri"/>
                <w:color w:val="282828"/>
                <w:sz w:val="17"/>
              </w:rPr>
              <w:t>1.32 s</w:t>
            </w:r>
          </w:p>
        </w:tc>
        <w:tc>
          <w:tcPr>
            <w:tcW w:type="dxa" w:w="1560"/>
            <w:vAlign w:val="center"/>
            <w:tcMar>
              <w:top w:w="100" w:type="dxa"/>
              <w:bottom w:w="100" w:type="dxa"/>
              <w:left w:w="120" w:type="dxa"/>
              <w:right w:w="120" w:type="dxa"/>
            </w:tcMar>
            <w:shd w:fill="F2F4F7"/>
          </w:tcPr>
          <w:p>
            <w:pPr>
              <w:spacing w:before="40" w:after="40"/>
            </w:pPr>
            <w:r>
              <w:rPr>
                <w:rFonts w:ascii="Calibri" w:hAnsi="Calibri"/>
                <w:color w:val="282828"/>
                <w:sz w:val="17"/>
              </w:rPr>
              <w:t>245.0 s</w:t>
            </w:r>
          </w:p>
        </w:tc>
        <w:tc>
          <w:tcPr>
            <w:tcW w:type="dxa" w:w="1560"/>
            <w:vAlign w:val="center"/>
            <w:tcMar>
              <w:top w:w="100" w:type="dxa"/>
              <w:bottom w:w="100" w:type="dxa"/>
              <w:left w:w="120" w:type="dxa"/>
              <w:right w:w="120" w:type="dxa"/>
            </w:tcMar>
            <w:shd w:fill="F2F4F7"/>
          </w:tcPr>
          <w:p>
            <w:pPr>
              <w:spacing w:before="40" w:after="40"/>
            </w:pPr>
            <w:r>
              <w:rPr>
                <w:rFonts w:ascii="Calibri" w:hAnsi="Calibri"/>
                <w:b/>
                <w:color w:val="282828"/>
                <w:sz w:val="17"/>
              </w:rPr>
              <w:t>185.6x</w:t>
            </w:r>
          </w:p>
        </w:tc>
        <w:tc>
          <w:tcPr>
            <w:tcW w:type="dxa" w:w="1560"/>
            <w:vAlign w:val="center"/>
            <w:tcMar>
              <w:top w:w="100" w:type="dxa"/>
              <w:bottom w:w="100" w:type="dxa"/>
              <w:left w:w="120" w:type="dxa"/>
              <w:right w:w="120" w:type="dxa"/>
            </w:tcMar>
            <w:shd w:fill="F2F4F7"/>
          </w:tcPr>
          <w:p>
            <w:pPr>
              <w:spacing w:before="40" w:after="40"/>
            </w:pPr>
            <w:r>
              <w:rPr>
                <w:rFonts w:ascii="Calibri" w:hAnsi="Calibri"/>
                <w:color w:val="282828"/>
                <w:sz w:val="17"/>
              </w:rPr>
              <w:t>Directory depth brute-force iterations (</w:t>
            </w:r>
            <w:r>
              <w:rPr>
                <w:rFonts w:ascii="Consolas" w:hAnsi="Consolas"/>
                <w:color w:val="282828"/>
                <w:sz w:val="17"/>
              </w:rPr>
              <w:t>../../..</w:t>
            </w:r>
            <w:r>
              <w:rPr>
                <w:rFonts w:ascii="Calibri" w:hAnsi="Calibri"/>
                <w:color w:val="282828"/>
                <w:sz w:val="17"/>
              </w:rPr>
              <w:t>)</w:t>
            </w:r>
          </w:p>
        </w:tc>
      </w:tr>
      <w:tr>
        <w:tc>
          <w:tcPr>
            <w:tcW w:type="dxa" w:w="1560"/>
            <w:vAlign w:val="center"/>
            <w:tcMar>
              <w:top w:w="100" w:type="dxa"/>
              <w:bottom w:w="100" w:type="dxa"/>
              <w:left w:w="120" w:type="dxa"/>
              <w:right w:w="120" w:type="dxa"/>
            </w:tcMar>
            <w:shd w:fill="FFFFFF"/>
          </w:tcPr>
          <w:p>
            <w:pPr>
              <w:spacing w:before="40" w:after="40"/>
            </w:pPr>
            <w:r>
              <w:rPr>
                <w:rFonts w:ascii="Calibri" w:hAnsi="Calibri"/>
                <w:b/>
                <w:color w:val="282828"/>
                <w:sz w:val="17"/>
              </w:rPr>
              <w:t>Reflected XSS</w:t>
            </w:r>
          </w:p>
        </w:tc>
        <w:tc>
          <w:tcPr>
            <w:tcW w:type="dxa" w:w="1560"/>
            <w:vAlign w:val="center"/>
            <w:tcMar>
              <w:top w:w="100" w:type="dxa"/>
              <w:bottom w:w="100" w:type="dxa"/>
              <w:left w:w="120" w:type="dxa"/>
              <w:right w:w="120" w:type="dxa"/>
            </w:tcMar>
            <w:shd w:fill="FFFFFF"/>
          </w:tcPr>
          <w:p>
            <w:pPr>
              <w:spacing w:before="40" w:after="40"/>
            </w:pPr>
            <w:r>
              <w:rPr>
                <w:rFonts w:ascii="Calibri" w:hAnsi="Calibri"/>
                <w:color w:val="282828"/>
                <w:sz w:val="17"/>
              </w:rPr>
              <w:t>2.42 ms</w:t>
            </w:r>
          </w:p>
        </w:tc>
        <w:tc>
          <w:tcPr>
            <w:tcW w:type="dxa" w:w="1560"/>
            <w:vAlign w:val="center"/>
            <w:tcMar>
              <w:top w:w="100" w:type="dxa"/>
              <w:bottom w:w="100" w:type="dxa"/>
              <w:left w:w="120" w:type="dxa"/>
              <w:right w:w="120" w:type="dxa"/>
            </w:tcMar>
            <w:shd w:fill="FFFFFF"/>
          </w:tcPr>
          <w:p>
            <w:pPr>
              <w:spacing w:before="40" w:after="40"/>
            </w:pPr>
            <w:r>
              <w:rPr>
                <w:rFonts w:ascii="Calibri" w:hAnsi="Calibri"/>
                <w:color w:val="282828"/>
                <w:sz w:val="17"/>
              </w:rPr>
              <w:t>1.25 s</w:t>
            </w:r>
          </w:p>
        </w:tc>
        <w:tc>
          <w:tcPr>
            <w:tcW w:type="dxa" w:w="1560"/>
            <w:vAlign w:val="center"/>
            <w:tcMar>
              <w:top w:w="100" w:type="dxa"/>
              <w:bottom w:w="100" w:type="dxa"/>
              <w:left w:w="120" w:type="dxa"/>
              <w:right w:w="120" w:type="dxa"/>
            </w:tcMar>
            <w:shd w:fill="FFFFFF"/>
          </w:tcPr>
          <w:p>
            <w:pPr>
              <w:spacing w:before="40" w:after="40"/>
            </w:pPr>
            <w:r>
              <w:rPr>
                <w:rFonts w:ascii="Calibri" w:hAnsi="Calibri"/>
                <w:color w:val="282828"/>
                <w:sz w:val="17"/>
              </w:rPr>
              <w:t>210.0 s</w:t>
            </w:r>
          </w:p>
        </w:tc>
        <w:tc>
          <w:tcPr>
            <w:tcW w:type="dxa" w:w="1560"/>
            <w:vAlign w:val="center"/>
            <w:tcMar>
              <w:top w:w="100" w:type="dxa"/>
              <w:bottom w:w="100" w:type="dxa"/>
              <w:left w:w="120" w:type="dxa"/>
              <w:right w:w="120" w:type="dxa"/>
            </w:tcMar>
            <w:shd w:fill="FFFFFF"/>
          </w:tcPr>
          <w:p>
            <w:pPr>
              <w:spacing w:before="40" w:after="40"/>
            </w:pPr>
            <w:r>
              <w:rPr>
                <w:rFonts w:ascii="Calibri" w:hAnsi="Calibri"/>
                <w:b/>
                <w:color w:val="282828"/>
                <w:sz w:val="17"/>
              </w:rPr>
              <w:t>168.0x</w:t>
            </w:r>
          </w:p>
        </w:tc>
        <w:tc>
          <w:tcPr>
            <w:tcW w:type="dxa" w:w="1560"/>
            <w:vAlign w:val="center"/>
            <w:tcMar>
              <w:top w:w="100" w:type="dxa"/>
              <w:bottom w:w="100" w:type="dxa"/>
              <w:left w:w="120" w:type="dxa"/>
              <w:right w:w="120" w:type="dxa"/>
            </w:tcMar>
            <w:shd w:fill="FFFFFF"/>
          </w:tcPr>
          <w:p>
            <w:pPr>
              <w:spacing w:before="40" w:after="40"/>
            </w:pPr>
            <w:r>
              <w:rPr>
                <w:rFonts w:ascii="Calibri" w:hAnsi="Calibri"/>
                <w:color w:val="282828"/>
                <w:sz w:val="17"/>
              </w:rPr>
              <w:t>Polyglot script injection scanning and browser DOM rendering</w:t>
            </w:r>
          </w:p>
        </w:tc>
      </w:tr>
      <w:tr>
        <w:tc>
          <w:tcPr>
            <w:tcW w:type="dxa" w:w="1560"/>
            <w:vAlign w:val="center"/>
            <w:tcMar>
              <w:top w:w="100" w:type="dxa"/>
              <w:bottom w:w="100" w:type="dxa"/>
              <w:left w:w="120" w:type="dxa"/>
              <w:right w:w="120" w:type="dxa"/>
            </w:tcMar>
            <w:shd w:fill="F2F4F7"/>
          </w:tcPr>
          <w:p>
            <w:pPr>
              <w:spacing w:before="40" w:after="40"/>
            </w:pPr>
            <w:r>
              <w:rPr>
                <w:rFonts w:ascii="Calibri" w:hAnsi="Calibri"/>
                <w:b/>
                <w:color w:val="282828"/>
                <w:sz w:val="17"/>
              </w:rPr>
              <w:t>SSRF</w:t>
            </w:r>
          </w:p>
        </w:tc>
        <w:tc>
          <w:tcPr>
            <w:tcW w:type="dxa" w:w="1560"/>
            <w:vAlign w:val="center"/>
            <w:tcMar>
              <w:top w:w="100" w:type="dxa"/>
              <w:bottom w:w="100" w:type="dxa"/>
              <w:left w:w="120" w:type="dxa"/>
              <w:right w:w="120" w:type="dxa"/>
            </w:tcMar>
            <w:shd w:fill="F2F4F7"/>
          </w:tcPr>
          <w:p>
            <w:pPr>
              <w:spacing w:before="40" w:after="40"/>
            </w:pPr>
            <w:r>
              <w:rPr>
                <w:rFonts w:ascii="Calibri" w:hAnsi="Calibri"/>
                <w:color w:val="282828"/>
                <w:sz w:val="17"/>
              </w:rPr>
              <w:t>2.90 ms</w:t>
            </w:r>
          </w:p>
        </w:tc>
        <w:tc>
          <w:tcPr>
            <w:tcW w:type="dxa" w:w="1560"/>
            <w:vAlign w:val="center"/>
            <w:tcMar>
              <w:top w:w="100" w:type="dxa"/>
              <w:bottom w:w="100" w:type="dxa"/>
              <w:left w:w="120" w:type="dxa"/>
              <w:right w:w="120" w:type="dxa"/>
            </w:tcMar>
            <w:shd w:fill="F2F4F7"/>
          </w:tcPr>
          <w:p>
            <w:pPr>
              <w:spacing w:before="40" w:after="40"/>
            </w:pPr>
            <w:r>
              <w:rPr>
                <w:rFonts w:ascii="Calibri" w:hAnsi="Calibri"/>
                <w:color w:val="282828"/>
                <w:sz w:val="17"/>
              </w:rPr>
              <w:t>1.41 s</w:t>
            </w:r>
          </w:p>
        </w:tc>
        <w:tc>
          <w:tcPr>
            <w:tcW w:type="dxa" w:w="1560"/>
            <w:vAlign w:val="center"/>
            <w:tcMar>
              <w:top w:w="100" w:type="dxa"/>
              <w:bottom w:w="100" w:type="dxa"/>
              <w:left w:w="120" w:type="dxa"/>
              <w:right w:w="120" w:type="dxa"/>
            </w:tcMar>
            <w:shd w:fill="F2F4F7"/>
          </w:tcPr>
          <w:p>
            <w:pPr>
              <w:spacing w:before="40" w:after="40"/>
            </w:pPr>
            <w:r>
              <w:rPr>
                <w:rFonts w:ascii="Calibri" w:hAnsi="Calibri"/>
                <w:color w:val="282828"/>
                <w:sz w:val="17"/>
              </w:rPr>
              <w:t>340.0 s</w:t>
            </w:r>
          </w:p>
        </w:tc>
        <w:tc>
          <w:tcPr>
            <w:tcW w:type="dxa" w:w="1560"/>
            <w:vAlign w:val="center"/>
            <w:tcMar>
              <w:top w:w="100" w:type="dxa"/>
              <w:bottom w:w="100" w:type="dxa"/>
              <w:left w:w="120" w:type="dxa"/>
              <w:right w:w="120" w:type="dxa"/>
            </w:tcMar>
            <w:shd w:fill="F2F4F7"/>
          </w:tcPr>
          <w:p>
            <w:pPr>
              <w:spacing w:before="40" w:after="40"/>
            </w:pPr>
            <w:r>
              <w:rPr>
                <w:rFonts w:ascii="Calibri" w:hAnsi="Calibri"/>
                <w:b/>
                <w:color w:val="282828"/>
                <w:sz w:val="17"/>
              </w:rPr>
              <w:t>241.1x</w:t>
            </w:r>
          </w:p>
        </w:tc>
        <w:tc>
          <w:tcPr>
            <w:tcW w:type="dxa" w:w="1560"/>
            <w:vAlign w:val="center"/>
            <w:tcMar>
              <w:top w:w="100" w:type="dxa"/>
              <w:bottom w:w="100" w:type="dxa"/>
              <w:left w:w="120" w:type="dxa"/>
              <w:right w:w="120" w:type="dxa"/>
            </w:tcMar>
            <w:shd w:fill="F2F4F7"/>
          </w:tcPr>
          <w:p>
            <w:pPr>
              <w:spacing w:before="40" w:after="40"/>
            </w:pPr>
            <w:r>
              <w:rPr>
                <w:rFonts w:ascii="Calibri" w:hAnsi="Calibri"/>
                <w:color w:val="282828"/>
                <w:sz w:val="17"/>
              </w:rPr>
              <w:t>Internal IP range probing (169.254, 10.0, 127.0) and socket timeouts</w:t>
            </w:r>
          </w:p>
        </w:tc>
      </w:tr>
      <w:tr>
        <w:tc>
          <w:tcPr>
            <w:tcW w:type="dxa" w:w="1560"/>
            <w:vAlign w:val="center"/>
            <w:tcMar>
              <w:top w:w="100" w:type="dxa"/>
              <w:bottom w:w="100" w:type="dxa"/>
              <w:left w:w="120" w:type="dxa"/>
              <w:right w:w="120" w:type="dxa"/>
            </w:tcMar>
            <w:shd w:fill="FFFFFF"/>
          </w:tcPr>
          <w:p>
            <w:pPr>
              <w:spacing w:before="40" w:after="40"/>
            </w:pPr>
            <w:r>
              <w:rPr>
                <w:rFonts w:ascii="Calibri" w:hAnsi="Calibri"/>
                <w:b/>
                <w:color w:val="282828"/>
                <w:sz w:val="17"/>
              </w:rPr>
              <w:t>Open Redirect</w:t>
            </w:r>
          </w:p>
        </w:tc>
        <w:tc>
          <w:tcPr>
            <w:tcW w:type="dxa" w:w="1560"/>
            <w:vAlign w:val="center"/>
            <w:tcMar>
              <w:top w:w="100" w:type="dxa"/>
              <w:bottom w:w="100" w:type="dxa"/>
              <w:left w:w="120" w:type="dxa"/>
              <w:right w:w="120" w:type="dxa"/>
            </w:tcMar>
            <w:shd w:fill="FFFFFF"/>
          </w:tcPr>
          <w:p>
            <w:pPr>
              <w:spacing w:before="40" w:after="40"/>
            </w:pPr>
            <w:r>
              <w:rPr>
                <w:rFonts w:ascii="Calibri" w:hAnsi="Calibri"/>
                <w:color w:val="282828"/>
                <w:sz w:val="17"/>
              </w:rPr>
              <w:t>2.25 ms</w:t>
            </w:r>
          </w:p>
        </w:tc>
        <w:tc>
          <w:tcPr>
            <w:tcW w:type="dxa" w:w="1560"/>
            <w:vAlign w:val="center"/>
            <w:tcMar>
              <w:top w:w="100" w:type="dxa"/>
              <w:bottom w:w="100" w:type="dxa"/>
              <w:left w:w="120" w:type="dxa"/>
              <w:right w:w="120" w:type="dxa"/>
            </w:tcMar>
            <w:shd w:fill="FFFFFF"/>
          </w:tcPr>
          <w:p>
            <w:pPr>
              <w:spacing w:before="40" w:after="40"/>
            </w:pPr>
            <w:r>
              <w:rPr>
                <w:rFonts w:ascii="Calibri" w:hAnsi="Calibri"/>
                <w:color w:val="282828"/>
                <w:sz w:val="17"/>
              </w:rPr>
              <w:t>1.20 s</w:t>
            </w:r>
          </w:p>
        </w:tc>
        <w:tc>
          <w:tcPr>
            <w:tcW w:type="dxa" w:w="1560"/>
            <w:vAlign w:val="center"/>
            <w:tcMar>
              <w:top w:w="100" w:type="dxa"/>
              <w:bottom w:w="100" w:type="dxa"/>
              <w:left w:w="120" w:type="dxa"/>
              <w:right w:w="120" w:type="dxa"/>
            </w:tcMar>
            <w:shd w:fill="FFFFFF"/>
          </w:tcPr>
          <w:p>
            <w:pPr>
              <w:spacing w:before="40" w:after="40"/>
            </w:pPr>
            <w:r>
              <w:rPr>
                <w:rFonts w:ascii="Calibri" w:hAnsi="Calibri"/>
                <w:color w:val="282828"/>
                <w:sz w:val="17"/>
              </w:rPr>
              <w:t>185.0 s</w:t>
            </w:r>
          </w:p>
        </w:tc>
        <w:tc>
          <w:tcPr>
            <w:tcW w:type="dxa" w:w="1560"/>
            <w:vAlign w:val="center"/>
            <w:tcMar>
              <w:top w:w="100" w:type="dxa"/>
              <w:bottom w:w="100" w:type="dxa"/>
              <w:left w:w="120" w:type="dxa"/>
              <w:right w:w="120" w:type="dxa"/>
            </w:tcMar>
            <w:shd w:fill="FFFFFF"/>
          </w:tcPr>
          <w:p>
            <w:pPr>
              <w:spacing w:before="40" w:after="40"/>
            </w:pPr>
            <w:r>
              <w:rPr>
                <w:rFonts w:ascii="Calibri" w:hAnsi="Calibri"/>
                <w:b/>
                <w:color w:val="282828"/>
                <w:sz w:val="17"/>
              </w:rPr>
              <w:t>154.2x</w:t>
            </w:r>
          </w:p>
        </w:tc>
        <w:tc>
          <w:tcPr>
            <w:tcW w:type="dxa" w:w="1560"/>
            <w:vAlign w:val="center"/>
            <w:tcMar>
              <w:top w:w="100" w:type="dxa"/>
              <w:bottom w:w="100" w:type="dxa"/>
              <w:left w:w="120" w:type="dxa"/>
              <w:right w:w="120" w:type="dxa"/>
            </w:tcMar>
            <w:shd w:fill="FFFFFF"/>
          </w:tcPr>
          <w:p>
            <w:pPr>
              <w:spacing w:before="40" w:after="40"/>
            </w:pPr>
            <w:r>
              <w:rPr>
                <w:rFonts w:ascii="Calibri" w:hAnsi="Calibri"/>
                <w:color w:val="282828"/>
                <w:sz w:val="17"/>
              </w:rPr>
              <w:t>HTTP header redirect sequence tracking</w:t>
            </w:r>
          </w:p>
        </w:tc>
      </w:tr>
      <w:tr>
        <w:tc>
          <w:tcPr>
            <w:tcW w:type="dxa" w:w="1560"/>
            <w:vAlign w:val="center"/>
            <w:tcMar>
              <w:top w:w="100" w:type="dxa"/>
              <w:bottom w:w="100" w:type="dxa"/>
              <w:left w:w="120" w:type="dxa"/>
              <w:right w:w="120" w:type="dxa"/>
            </w:tcMar>
            <w:shd w:fill="F2F4F7"/>
          </w:tcPr>
          <w:p>
            <w:pPr>
              <w:spacing w:before="40" w:after="40"/>
            </w:pPr>
            <w:r>
              <w:rPr>
                <w:rFonts w:ascii="Calibri" w:hAnsi="Calibri"/>
                <w:b/>
                <w:color w:val="282828"/>
                <w:sz w:val="17"/>
              </w:rPr>
              <w:t>HTTP Header Injection</w:t>
            </w:r>
          </w:p>
        </w:tc>
        <w:tc>
          <w:tcPr>
            <w:tcW w:type="dxa" w:w="1560"/>
            <w:vAlign w:val="center"/>
            <w:tcMar>
              <w:top w:w="100" w:type="dxa"/>
              <w:bottom w:w="100" w:type="dxa"/>
              <w:left w:w="120" w:type="dxa"/>
              <w:right w:w="120" w:type="dxa"/>
            </w:tcMar>
            <w:shd w:fill="F2F4F7"/>
          </w:tcPr>
          <w:p>
            <w:pPr>
              <w:spacing w:before="40" w:after="40"/>
            </w:pPr>
            <w:r>
              <w:rPr>
                <w:rFonts w:ascii="Calibri" w:hAnsi="Calibri"/>
                <w:color w:val="282828"/>
                <w:sz w:val="17"/>
              </w:rPr>
              <w:t>2.38 ms</w:t>
            </w:r>
          </w:p>
        </w:tc>
        <w:tc>
          <w:tcPr>
            <w:tcW w:type="dxa" w:w="1560"/>
            <w:vAlign w:val="center"/>
            <w:tcMar>
              <w:top w:w="100" w:type="dxa"/>
              <w:bottom w:w="100" w:type="dxa"/>
              <w:left w:w="120" w:type="dxa"/>
              <w:right w:w="120" w:type="dxa"/>
            </w:tcMar>
            <w:shd w:fill="F2F4F7"/>
          </w:tcPr>
          <w:p>
            <w:pPr>
              <w:spacing w:before="40" w:after="40"/>
            </w:pPr>
            <w:r>
              <w:rPr>
                <w:rFonts w:ascii="Calibri" w:hAnsi="Calibri"/>
                <w:color w:val="282828"/>
                <w:sz w:val="17"/>
              </w:rPr>
              <w:t>1.22 s</w:t>
            </w:r>
          </w:p>
        </w:tc>
        <w:tc>
          <w:tcPr>
            <w:tcW w:type="dxa" w:w="1560"/>
            <w:vAlign w:val="center"/>
            <w:tcMar>
              <w:top w:w="100" w:type="dxa"/>
              <w:bottom w:w="100" w:type="dxa"/>
              <w:left w:w="120" w:type="dxa"/>
              <w:right w:w="120" w:type="dxa"/>
            </w:tcMar>
            <w:shd w:fill="F2F4F7"/>
          </w:tcPr>
          <w:p>
            <w:pPr>
              <w:spacing w:before="40" w:after="40"/>
            </w:pPr>
            <w:r>
              <w:rPr>
                <w:rFonts w:ascii="Calibri" w:hAnsi="Calibri"/>
                <w:color w:val="282828"/>
                <w:sz w:val="17"/>
              </w:rPr>
              <w:t>195.0 s</w:t>
            </w:r>
          </w:p>
        </w:tc>
        <w:tc>
          <w:tcPr>
            <w:tcW w:type="dxa" w:w="1560"/>
            <w:vAlign w:val="center"/>
            <w:tcMar>
              <w:top w:w="100" w:type="dxa"/>
              <w:bottom w:w="100" w:type="dxa"/>
              <w:left w:w="120" w:type="dxa"/>
              <w:right w:w="120" w:type="dxa"/>
            </w:tcMar>
            <w:shd w:fill="F2F4F7"/>
          </w:tcPr>
          <w:p>
            <w:pPr>
              <w:spacing w:before="40" w:after="40"/>
            </w:pPr>
            <w:r>
              <w:rPr>
                <w:rFonts w:ascii="Calibri" w:hAnsi="Calibri"/>
                <w:b/>
                <w:color w:val="282828"/>
                <w:sz w:val="17"/>
              </w:rPr>
              <w:t>159.8x</w:t>
            </w:r>
          </w:p>
        </w:tc>
        <w:tc>
          <w:tcPr>
            <w:tcW w:type="dxa" w:w="1560"/>
            <w:vAlign w:val="center"/>
            <w:tcMar>
              <w:top w:w="100" w:type="dxa"/>
              <w:bottom w:w="100" w:type="dxa"/>
              <w:left w:w="120" w:type="dxa"/>
              <w:right w:w="120" w:type="dxa"/>
            </w:tcMar>
            <w:shd w:fill="F2F4F7"/>
          </w:tcPr>
          <w:p>
            <w:pPr>
              <w:spacing w:before="40" w:after="40"/>
            </w:pPr>
            <w:r>
              <w:rPr>
                <w:rFonts w:ascii="Calibri" w:hAnsi="Calibri"/>
                <w:color w:val="282828"/>
                <w:sz w:val="17"/>
              </w:rPr>
              <w:t>CR/LF injection header parsing and cookie validation</w:t>
            </w:r>
          </w:p>
        </w:tc>
      </w:tr>
      <w:tr>
        <w:tc>
          <w:tcPr>
            <w:tcW w:type="dxa" w:w="1560"/>
            <w:vAlign w:val="center"/>
            <w:tcMar>
              <w:top w:w="100" w:type="dxa"/>
              <w:bottom w:w="100" w:type="dxa"/>
              <w:left w:w="120" w:type="dxa"/>
              <w:right w:w="120" w:type="dxa"/>
            </w:tcMar>
            <w:shd w:fill="FFFFFF"/>
          </w:tcPr>
          <w:p>
            <w:pPr>
              <w:spacing w:before="40" w:after="40"/>
            </w:pPr>
            <w:r>
              <w:rPr>
                <w:rFonts w:ascii="Calibri" w:hAnsi="Calibri"/>
                <w:b/>
                <w:color w:val="282828"/>
                <w:sz w:val="17"/>
              </w:rPr>
              <w:t>Log Injection</w:t>
            </w:r>
          </w:p>
        </w:tc>
        <w:tc>
          <w:tcPr>
            <w:tcW w:type="dxa" w:w="1560"/>
            <w:vAlign w:val="center"/>
            <w:tcMar>
              <w:top w:w="100" w:type="dxa"/>
              <w:bottom w:w="100" w:type="dxa"/>
              <w:left w:w="120" w:type="dxa"/>
              <w:right w:w="120" w:type="dxa"/>
            </w:tcMar>
            <w:shd w:fill="FFFFFF"/>
          </w:tcPr>
          <w:p>
            <w:pPr>
              <w:spacing w:before="40" w:after="40"/>
            </w:pPr>
            <w:r>
              <w:rPr>
                <w:rFonts w:ascii="Calibri" w:hAnsi="Calibri"/>
                <w:color w:val="282828"/>
                <w:sz w:val="17"/>
              </w:rPr>
              <w:t>2.50 ms</w:t>
            </w:r>
          </w:p>
        </w:tc>
        <w:tc>
          <w:tcPr>
            <w:tcW w:type="dxa" w:w="1560"/>
            <w:vAlign w:val="center"/>
            <w:tcMar>
              <w:top w:w="100" w:type="dxa"/>
              <w:bottom w:w="100" w:type="dxa"/>
              <w:left w:w="120" w:type="dxa"/>
              <w:right w:w="120" w:type="dxa"/>
            </w:tcMar>
            <w:shd w:fill="FFFFFF"/>
          </w:tcPr>
          <w:p>
            <w:pPr>
              <w:spacing w:before="40" w:after="40"/>
            </w:pPr>
            <w:r>
              <w:rPr>
                <w:rFonts w:ascii="Calibri" w:hAnsi="Calibri"/>
                <w:color w:val="282828"/>
                <w:sz w:val="17"/>
              </w:rPr>
              <w:t>1.35 s</w:t>
            </w:r>
          </w:p>
        </w:tc>
        <w:tc>
          <w:tcPr>
            <w:tcW w:type="dxa" w:w="1560"/>
            <w:vAlign w:val="center"/>
            <w:tcMar>
              <w:top w:w="100" w:type="dxa"/>
              <w:bottom w:w="100" w:type="dxa"/>
              <w:left w:w="120" w:type="dxa"/>
              <w:right w:w="120" w:type="dxa"/>
            </w:tcMar>
            <w:shd w:fill="FFFFFF"/>
          </w:tcPr>
          <w:p>
            <w:pPr>
              <w:spacing w:before="40" w:after="40"/>
            </w:pPr>
            <w:r>
              <w:rPr>
                <w:rFonts w:ascii="Calibri" w:hAnsi="Calibri"/>
                <w:color w:val="282828"/>
                <w:sz w:val="17"/>
              </w:rPr>
              <w:t>334.5 s</w:t>
            </w:r>
          </w:p>
        </w:tc>
        <w:tc>
          <w:tcPr>
            <w:tcW w:type="dxa" w:w="1560"/>
            <w:vAlign w:val="center"/>
            <w:tcMar>
              <w:top w:w="100" w:type="dxa"/>
              <w:bottom w:w="100" w:type="dxa"/>
              <w:left w:w="120" w:type="dxa"/>
              <w:right w:w="120" w:type="dxa"/>
            </w:tcMar>
            <w:shd w:fill="FFFFFF"/>
          </w:tcPr>
          <w:p>
            <w:pPr>
              <w:spacing w:before="40" w:after="40"/>
            </w:pPr>
            <w:r>
              <w:rPr>
                <w:rFonts w:ascii="Calibri" w:hAnsi="Calibri"/>
                <w:b/>
                <w:color w:val="282828"/>
                <w:sz w:val="17"/>
              </w:rPr>
              <w:t>247.8x</w:t>
            </w:r>
          </w:p>
        </w:tc>
        <w:tc>
          <w:tcPr>
            <w:tcW w:type="dxa" w:w="1560"/>
            <w:vAlign w:val="center"/>
            <w:tcMar>
              <w:top w:w="100" w:type="dxa"/>
              <w:bottom w:w="100" w:type="dxa"/>
              <w:left w:w="120" w:type="dxa"/>
              <w:right w:w="120" w:type="dxa"/>
            </w:tcMar>
            <w:shd w:fill="FFFFFF"/>
          </w:tcPr>
          <w:p>
            <w:pPr>
              <w:spacing w:before="40" w:after="40"/>
            </w:pPr>
            <w:r>
              <w:rPr>
                <w:rFonts w:ascii="Calibri" w:hAnsi="Calibri"/>
                <w:color w:val="282828"/>
                <w:sz w:val="17"/>
              </w:rPr>
              <w:t>Linebreak payload fuzzing and out-of-band log verification</w:t>
            </w:r>
          </w:p>
        </w:tc>
      </w:tr>
      <w:tr>
        <w:tc>
          <w:tcPr>
            <w:tcW w:type="dxa" w:w="1560"/>
            <w:vAlign w:val="center"/>
            <w:tcMar>
              <w:top w:w="100" w:type="dxa"/>
              <w:bottom w:w="100" w:type="dxa"/>
              <w:left w:w="120" w:type="dxa"/>
              <w:right w:w="120" w:type="dxa"/>
            </w:tcMar>
            <w:shd w:fill="F2F4F7"/>
          </w:tcPr>
          <w:p>
            <w:pPr>
              <w:spacing w:before="40" w:after="40"/>
            </w:pPr>
            <w:r>
              <w:rPr>
                <w:rFonts w:ascii="Calibri" w:hAnsi="Calibri"/>
                <w:b/>
                <w:color w:val="282828"/>
                <w:sz w:val="17"/>
              </w:rPr>
              <w:t>Category Summary / Mean</w:t>
            </w:r>
          </w:p>
        </w:tc>
        <w:tc>
          <w:tcPr>
            <w:tcW w:type="dxa" w:w="1560"/>
            <w:vAlign w:val="center"/>
            <w:tcMar>
              <w:top w:w="100" w:type="dxa"/>
              <w:bottom w:w="100" w:type="dxa"/>
              <w:left w:w="120" w:type="dxa"/>
              <w:right w:w="120" w:type="dxa"/>
            </w:tcMar>
            <w:shd w:fill="F2F4F7"/>
          </w:tcPr>
          <w:p>
            <w:pPr>
              <w:spacing w:before="40" w:after="40"/>
            </w:pPr>
            <w:r>
              <w:rPr>
                <w:rFonts w:ascii="Calibri" w:hAnsi="Calibri"/>
                <w:b/>
                <w:color w:val="282828"/>
                <w:sz w:val="17"/>
              </w:rPr>
              <w:t>2.75 ms</w:t>
            </w:r>
          </w:p>
        </w:tc>
        <w:tc>
          <w:tcPr>
            <w:tcW w:type="dxa" w:w="1560"/>
            <w:vAlign w:val="center"/>
            <w:tcMar>
              <w:top w:w="100" w:type="dxa"/>
              <w:bottom w:w="100" w:type="dxa"/>
              <w:left w:w="120" w:type="dxa"/>
              <w:right w:w="120" w:type="dxa"/>
            </w:tcMar>
            <w:shd w:fill="F2F4F7"/>
          </w:tcPr>
          <w:p>
            <w:pPr>
              <w:spacing w:before="40" w:after="40"/>
            </w:pPr>
            <w:r>
              <w:rPr>
                <w:rFonts w:ascii="Calibri" w:hAnsi="Calibri"/>
                <w:b/>
                <w:color w:val="282828"/>
                <w:sz w:val="17"/>
              </w:rPr>
              <w:t>1.35 s</w:t>
            </w:r>
          </w:p>
        </w:tc>
        <w:tc>
          <w:tcPr>
            <w:tcW w:type="dxa" w:w="1560"/>
            <w:vAlign w:val="center"/>
            <w:tcMar>
              <w:top w:w="100" w:type="dxa"/>
              <w:bottom w:w="100" w:type="dxa"/>
              <w:left w:w="120" w:type="dxa"/>
              <w:right w:w="120" w:type="dxa"/>
            </w:tcMar>
            <w:shd w:fill="F2F4F7"/>
          </w:tcPr>
          <w:p>
            <w:pPr>
              <w:spacing w:before="40" w:after="40"/>
            </w:pPr>
            <w:r>
              <w:rPr>
                <w:rFonts w:ascii="Calibri" w:hAnsi="Calibri"/>
                <w:b/>
                <w:color w:val="282828"/>
                <w:sz w:val="17"/>
              </w:rPr>
              <w:t>291.2 s</w:t>
            </w:r>
          </w:p>
        </w:tc>
        <w:tc>
          <w:tcPr>
            <w:tcW w:type="dxa" w:w="1560"/>
            <w:vAlign w:val="center"/>
            <w:tcMar>
              <w:top w:w="100" w:type="dxa"/>
              <w:bottom w:w="100" w:type="dxa"/>
              <w:left w:w="120" w:type="dxa"/>
              <w:right w:w="120" w:type="dxa"/>
            </w:tcMar>
            <w:shd w:fill="F2F4F7"/>
          </w:tcPr>
          <w:p>
            <w:pPr>
              <w:spacing w:before="40" w:after="40"/>
            </w:pPr>
            <w:r>
              <w:rPr>
                <w:rFonts w:ascii="Calibri" w:hAnsi="Calibri"/>
                <w:b/>
                <w:color w:val="282828"/>
                <w:sz w:val="17"/>
              </w:rPr>
              <w:t>215.7x</w:t>
            </w:r>
          </w:p>
        </w:tc>
        <w:tc>
          <w:tcPr>
            <w:tcW w:type="dxa" w:w="1560"/>
            <w:vAlign w:val="center"/>
            <w:tcMar>
              <w:top w:w="100" w:type="dxa"/>
              <w:bottom w:w="100" w:type="dxa"/>
              <w:left w:w="120" w:type="dxa"/>
              <w:right w:w="120" w:type="dxa"/>
            </w:tcMar>
            <w:shd w:fill="F2F4F7"/>
          </w:tcPr>
          <w:p>
            <w:pPr>
              <w:spacing w:before="40" w:after="40"/>
            </w:pPr>
            <w:r>
              <w:rPr>
                <w:rFonts w:ascii="Calibri" w:hAnsi="Calibri"/>
                <w:color w:val="282828"/>
                <w:sz w:val="17"/>
              </w:rPr>
              <w:t>Cumulative network latency, socket timeouts, and brute-force iterations</w:t>
            </w:r>
          </w:p>
        </w:tc>
      </w:tr>
    </w:tbl>
    <w:p>
      <w:pPr>
        <w:spacing w:after="120"/>
      </w:pPr>
    </w:p>
    <w:p>
      <w:pPr>
        <w:spacing w:before="160" w:after="160"/>
        <w:jc w:val="center"/>
      </w:pPr>
      <w:r>
        <w:rPr>
          <w:color w:val="B4B4B4"/>
        </w:rPr>
        <w:t>――――――――――――――――――――――――――――――――――――――――</w:t>
      </w:r>
    </w:p>
    <w:p>
      <w:pPr>
        <w:spacing w:before="240" w:after="120"/>
      </w:pPr>
      <w:r>
        <w:rPr>
          <w:rFonts w:ascii="Calibri" w:hAnsi="Calibri"/>
          <w:b/>
          <w:color w:val="2E75B6"/>
          <w:sz w:val="26"/>
        </w:rPr>
        <w:t>Table D.4: Micro-Overhead Component Breakdown &amp; Root Cause Analysis</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00" w:type="dxa"/>
              <w:bottom w:w="100" w:type="dxa"/>
              <w:left w:w="120" w:type="dxa"/>
              <w:right w:w="120" w:type="dxa"/>
            </w:tcMar>
            <w:shd w:fill="1F4E78"/>
          </w:tcPr>
          <w:p>
            <w:pPr>
              <w:spacing w:before="40" w:after="40"/>
            </w:pPr>
            <w:r>
              <w:rPr>
                <w:rFonts w:ascii="Calibri" w:hAnsi="Calibri"/>
                <w:b/>
                <w:color w:val="FFFFFF"/>
                <w:sz w:val="18"/>
              </w:rPr>
              <w:t>Architectural Component / Stage</w:t>
            </w:r>
          </w:p>
        </w:tc>
        <w:tc>
          <w:tcPr>
            <w:tcW w:type="dxa" w:w="2340"/>
            <w:vAlign w:val="center"/>
            <w:tcMar>
              <w:top w:w="100" w:type="dxa"/>
              <w:bottom w:w="100" w:type="dxa"/>
              <w:left w:w="120" w:type="dxa"/>
              <w:right w:w="120" w:type="dxa"/>
            </w:tcMar>
            <w:shd w:fill="1F4E78"/>
          </w:tcPr>
          <w:p>
            <w:pPr>
              <w:spacing w:before="40" w:after="40"/>
            </w:pPr>
            <w:r>
              <w:rPr>
                <w:rFonts w:ascii="Calibri" w:hAnsi="Calibri"/>
                <w:b/>
                <w:color w:val="FFFFFF"/>
                <w:sz w:val="18"/>
              </w:rPr>
              <w:t>Processing Overhead per Request (ms)</w:t>
            </w:r>
          </w:p>
        </w:tc>
        <w:tc>
          <w:tcPr>
            <w:tcW w:type="dxa" w:w="2340"/>
            <w:vAlign w:val="center"/>
            <w:tcMar>
              <w:top w:w="100" w:type="dxa"/>
              <w:bottom w:w="100" w:type="dxa"/>
              <w:left w:w="120" w:type="dxa"/>
              <w:right w:w="120" w:type="dxa"/>
            </w:tcMar>
            <w:shd w:fill="1F4E78"/>
          </w:tcPr>
          <w:p>
            <w:pPr>
              <w:spacing w:before="40" w:after="40"/>
            </w:pPr>
            <w:r>
              <w:rPr>
                <w:rFonts w:ascii="Calibri" w:hAnsi="Calibri"/>
                <w:b/>
                <w:color w:val="FFFFFF"/>
                <w:sz w:val="18"/>
              </w:rPr>
              <w:t>Percentage of Total Overhead (%)</w:t>
            </w:r>
          </w:p>
        </w:tc>
        <w:tc>
          <w:tcPr>
            <w:tcW w:type="dxa" w:w="2340"/>
            <w:vAlign w:val="center"/>
            <w:tcMar>
              <w:top w:w="100" w:type="dxa"/>
              <w:bottom w:w="100" w:type="dxa"/>
              <w:left w:w="120" w:type="dxa"/>
              <w:right w:w="120" w:type="dxa"/>
            </w:tcMar>
            <w:shd w:fill="1F4E78"/>
          </w:tcPr>
          <w:p>
            <w:pPr>
              <w:spacing w:before="40" w:after="40"/>
            </w:pPr>
            <w:r>
              <w:rPr>
                <w:rFonts w:ascii="Calibri" w:hAnsi="Calibri"/>
                <w:b/>
                <w:color w:val="FFFFFF"/>
                <w:sz w:val="18"/>
              </w:rPr>
              <w:t>Mitigation / Optimization Strategy Implemented in Aegis Agent</w:t>
            </w:r>
          </w:p>
        </w:tc>
      </w:tr>
      <w:tr>
        <w:tc>
          <w:tcPr>
            <w:tcW w:type="dxa" w:w="2340"/>
            <w:vAlign w:val="center"/>
            <w:tcMar>
              <w:top w:w="100" w:type="dxa"/>
              <w:bottom w:w="100" w:type="dxa"/>
              <w:left w:w="120" w:type="dxa"/>
              <w:right w:w="120" w:type="dxa"/>
            </w:tcMar>
            <w:shd w:fill="F2F4F7"/>
          </w:tcPr>
          <w:p>
            <w:pPr>
              <w:spacing w:before="40" w:after="40"/>
            </w:pPr>
            <w:r>
              <w:rPr>
                <w:rFonts w:ascii="Calibri" w:hAnsi="Calibri"/>
                <w:b/>
                <w:color w:val="282828"/>
                <w:sz w:val="17"/>
              </w:rPr>
              <w:t>1. Request Context Initialization</w:t>
            </w:r>
          </w:p>
        </w:tc>
        <w:tc>
          <w:tcPr>
            <w:tcW w:type="dxa" w:w="2340"/>
            <w:vAlign w:val="center"/>
            <w:tcMar>
              <w:top w:w="100" w:type="dxa"/>
              <w:bottom w:w="100" w:type="dxa"/>
              <w:left w:w="120" w:type="dxa"/>
              <w:right w:w="120" w:type="dxa"/>
            </w:tcMar>
            <w:shd w:fill="F2F4F7"/>
          </w:tcPr>
          <w:p>
            <w:pPr>
              <w:spacing w:before="40" w:after="40"/>
            </w:pPr>
            <w:r>
              <w:rPr>
                <w:rFonts w:ascii="Calibri" w:hAnsi="Calibri"/>
                <w:color w:val="282828"/>
                <w:sz w:val="17"/>
              </w:rPr>
              <w:t>0.42 ms</w:t>
            </w:r>
          </w:p>
        </w:tc>
        <w:tc>
          <w:tcPr>
            <w:tcW w:type="dxa" w:w="2340"/>
            <w:vAlign w:val="center"/>
            <w:tcMar>
              <w:top w:w="100" w:type="dxa"/>
              <w:bottom w:w="100" w:type="dxa"/>
              <w:left w:w="120" w:type="dxa"/>
              <w:right w:w="120" w:type="dxa"/>
            </w:tcMar>
            <w:shd w:fill="F2F4F7"/>
          </w:tcPr>
          <w:p>
            <w:pPr>
              <w:spacing w:before="40" w:after="40"/>
            </w:pPr>
            <w:r>
              <w:rPr>
                <w:rFonts w:ascii="Calibri" w:hAnsi="Calibri"/>
                <w:color w:val="282828"/>
                <w:sz w:val="17"/>
              </w:rPr>
              <w:t>15.0%</w:t>
            </w:r>
          </w:p>
        </w:tc>
        <w:tc>
          <w:tcPr>
            <w:tcW w:type="dxa" w:w="2340"/>
            <w:vAlign w:val="center"/>
            <w:tcMar>
              <w:top w:w="100" w:type="dxa"/>
              <w:bottom w:w="100" w:type="dxa"/>
              <w:left w:w="120" w:type="dxa"/>
              <w:right w:w="120" w:type="dxa"/>
            </w:tcMar>
            <w:shd w:fill="F2F4F7"/>
          </w:tcPr>
          <w:p>
            <w:pPr>
              <w:spacing w:before="40" w:after="40"/>
            </w:pPr>
            <w:r>
              <w:rPr>
                <w:rFonts w:ascii="Calibri" w:hAnsi="Calibri"/>
                <w:color w:val="282828"/>
                <w:sz w:val="17"/>
              </w:rPr>
              <w:t xml:space="preserve">Zero-allocation </w:t>
            </w:r>
            <w:r>
              <w:rPr>
                <w:rFonts w:ascii="Consolas" w:hAnsi="Consolas"/>
                <w:color w:val="282828"/>
                <w:sz w:val="17"/>
              </w:rPr>
              <w:t>contextvars</w:t>
            </w:r>
            <w:r>
              <w:rPr>
                <w:rFonts w:ascii="Calibri" w:hAnsi="Calibri"/>
                <w:color w:val="282828"/>
                <w:sz w:val="17"/>
              </w:rPr>
              <w:t xml:space="preserve"> context initialization (</w:t>
            </w:r>
            <w:r>
              <w:rPr>
                <w:rFonts w:ascii="Consolas" w:hAnsi="Consolas"/>
                <w:color w:val="282828"/>
                <w:sz w:val="17"/>
              </w:rPr>
              <w:t>start_request_trace</w:t>
            </w:r>
            <w:r>
              <w:rPr>
                <w:rFonts w:ascii="Calibri" w:hAnsi="Calibri"/>
                <w:color w:val="282828"/>
                <w:sz w:val="17"/>
              </w:rPr>
              <w:t>)</w:t>
            </w:r>
          </w:p>
        </w:tc>
      </w:tr>
      <w:tr>
        <w:tc>
          <w:tcPr>
            <w:tcW w:type="dxa" w:w="2340"/>
            <w:vAlign w:val="center"/>
            <w:tcMar>
              <w:top w:w="100" w:type="dxa"/>
              <w:bottom w:w="100" w:type="dxa"/>
              <w:left w:w="120" w:type="dxa"/>
              <w:right w:w="120" w:type="dxa"/>
            </w:tcMar>
            <w:shd w:fill="FFFFFF"/>
          </w:tcPr>
          <w:p>
            <w:pPr>
              <w:spacing w:before="40" w:after="40"/>
            </w:pPr>
            <w:r>
              <w:rPr>
                <w:rFonts w:ascii="Calibri" w:hAnsi="Calibri"/>
                <w:b/>
                <w:color w:val="282828"/>
                <w:sz w:val="17"/>
              </w:rPr>
              <w:t>2. Source Parameter Tainting</w:t>
            </w:r>
          </w:p>
        </w:tc>
        <w:tc>
          <w:tcPr>
            <w:tcW w:type="dxa" w:w="2340"/>
            <w:vAlign w:val="center"/>
            <w:tcMar>
              <w:top w:w="100" w:type="dxa"/>
              <w:bottom w:w="100" w:type="dxa"/>
              <w:left w:w="120" w:type="dxa"/>
              <w:right w:w="120" w:type="dxa"/>
            </w:tcMar>
            <w:shd w:fill="FFFFFF"/>
          </w:tcPr>
          <w:p>
            <w:pPr>
              <w:spacing w:before="40" w:after="40"/>
            </w:pPr>
            <w:r>
              <w:rPr>
                <w:rFonts w:ascii="Calibri" w:hAnsi="Calibri"/>
                <w:color w:val="282828"/>
                <w:sz w:val="17"/>
              </w:rPr>
              <w:t>0.58 ms</w:t>
            </w:r>
          </w:p>
        </w:tc>
        <w:tc>
          <w:tcPr>
            <w:tcW w:type="dxa" w:w="2340"/>
            <w:vAlign w:val="center"/>
            <w:tcMar>
              <w:top w:w="100" w:type="dxa"/>
              <w:bottom w:w="100" w:type="dxa"/>
              <w:left w:w="120" w:type="dxa"/>
              <w:right w:w="120" w:type="dxa"/>
            </w:tcMar>
            <w:shd w:fill="FFFFFF"/>
          </w:tcPr>
          <w:p>
            <w:pPr>
              <w:spacing w:before="40" w:after="40"/>
            </w:pPr>
            <w:r>
              <w:rPr>
                <w:rFonts w:ascii="Calibri" w:hAnsi="Calibri"/>
                <w:color w:val="282828"/>
                <w:sz w:val="17"/>
              </w:rPr>
              <w:t>20.7%</w:t>
            </w:r>
          </w:p>
        </w:tc>
        <w:tc>
          <w:tcPr>
            <w:tcW w:type="dxa" w:w="2340"/>
            <w:vAlign w:val="center"/>
            <w:tcMar>
              <w:top w:w="100" w:type="dxa"/>
              <w:bottom w:w="100" w:type="dxa"/>
              <w:left w:w="120" w:type="dxa"/>
              <w:right w:w="120" w:type="dxa"/>
            </w:tcMar>
            <w:shd w:fill="FFFFFF"/>
          </w:tcPr>
          <w:p>
            <w:pPr>
              <w:spacing w:before="40" w:after="40"/>
            </w:pPr>
            <w:r>
              <w:rPr>
                <w:rFonts w:ascii="Calibri" w:hAnsi="Calibri"/>
                <w:color w:val="282828"/>
                <w:sz w:val="17"/>
              </w:rPr>
              <w:t>Lightweight string wrapping (</w:t>
            </w:r>
            <w:r>
              <w:rPr>
                <w:rFonts w:ascii="Consolas" w:hAnsi="Consolas"/>
                <w:color w:val="282828"/>
                <w:sz w:val="17"/>
              </w:rPr>
              <w:t>TaintedString</w:t>
            </w:r>
            <w:r>
              <w:rPr>
                <w:rFonts w:ascii="Calibri" w:hAnsi="Calibri"/>
                <w:color w:val="282828"/>
                <w:sz w:val="17"/>
              </w:rPr>
              <w:t>) without full memory deep-copies</w:t>
            </w:r>
          </w:p>
        </w:tc>
      </w:tr>
      <w:tr>
        <w:tc>
          <w:tcPr>
            <w:tcW w:type="dxa" w:w="2340"/>
            <w:vAlign w:val="center"/>
            <w:tcMar>
              <w:top w:w="100" w:type="dxa"/>
              <w:bottom w:w="100" w:type="dxa"/>
              <w:left w:w="120" w:type="dxa"/>
              <w:right w:w="120" w:type="dxa"/>
            </w:tcMar>
            <w:shd w:fill="F2F4F7"/>
          </w:tcPr>
          <w:p>
            <w:pPr>
              <w:spacing w:before="40" w:after="40"/>
            </w:pPr>
            <w:r>
              <w:rPr>
                <w:rFonts w:ascii="Calibri" w:hAnsi="Calibri"/>
                <w:b/>
                <w:color w:val="282828"/>
                <w:sz w:val="17"/>
              </w:rPr>
              <w:t>3. In-Process Taint Propagation</w:t>
            </w:r>
          </w:p>
        </w:tc>
        <w:tc>
          <w:tcPr>
            <w:tcW w:type="dxa" w:w="2340"/>
            <w:vAlign w:val="center"/>
            <w:tcMar>
              <w:top w:w="100" w:type="dxa"/>
              <w:bottom w:w="100" w:type="dxa"/>
              <w:left w:w="120" w:type="dxa"/>
              <w:right w:w="120" w:type="dxa"/>
            </w:tcMar>
            <w:shd w:fill="F2F4F7"/>
          </w:tcPr>
          <w:p>
            <w:pPr>
              <w:spacing w:before="40" w:after="40"/>
            </w:pPr>
            <w:r>
              <w:rPr>
                <w:rFonts w:ascii="Calibri" w:hAnsi="Calibri"/>
                <w:color w:val="282828"/>
                <w:sz w:val="17"/>
              </w:rPr>
              <w:t>0.85 ms</w:t>
            </w:r>
          </w:p>
        </w:tc>
        <w:tc>
          <w:tcPr>
            <w:tcW w:type="dxa" w:w="2340"/>
            <w:vAlign w:val="center"/>
            <w:tcMar>
              <w:top w:w="100" w:type="dxa"/>
              <w:bottom w:w="100" w:type="dxa"/>
              <w:left w:w="120" w:type="dxa"/>
              <w:right w:w="120" w:type="dxa"/>
            </w:tcMar>
            <w:shd w:fill="F2F4F7"/>
          </w:tcPr>
          <w:p>
            <w:pPr>
              <w:spacing w:before="40" w:after="40"/>
            </w:pPr>
            <w:r>
              <w:rPr>
                <w:rFonts w:ascii="Calibri" w:hAnsi="Calibri"/>
                <w:color w:val="282828"/>
                <w:sz w:val="17"/>
              </w:rPr>
              <w:t>30.4%</w:t>
            </w:r>
          </w:p>
        </w:tc>
        <w:tc>
          <w:tcPr>
            <w:tcW w:type="dxa" w:w="2340"/>
            <w:vAlign w:val="center"/>
            <w:tcMar>
              <w:top w:w="100" w:type="dxa"/>
              <w:bottom w:w="100" w:type="dxa"/>
              <w:left w:w="120" w:type="dxa"/>
              <w:right w:w="120" w:type="dxa"/>
            </w:tcMar>
            <w:shd w:fill="F2F4F7"/>
          </w:tcPr>
          <w:p>
            <w:pPr>
              <w:spacing w:before="40" w:after="40"/>
            </w:pPr>
            <w:r>
              <w:rPr>
                <w:rFonts w:ascii="Calibri" w:hAnsi="Calibri"/>
                <w:color w:val="282828"/>
                <w:sz w:val="17"/>
              </w:rPr>
              <w:t>Fast object ID hash registry (</w:t>
            </w:r>
            <w:r>
              <w:rPr>
                <w:rFonts w:ascii="Consolas" w:hAnsi="Consolas"/>
                <w:color w:val="282828"/>
                <w:sz w:val="17"/>
              </w:rPr>
              <w:t>_TAINT_REGISTRY</w:t>
            </w:r>
            <w:r>
              <w:rPr>
                <w:rFonts w:ascii="Calibri" w:hAnsi="Calibri"/>
                <w:color w:val="282828"/>
                <w:sz w:val="17"/>
              </w:rPr>
              <w:t>) lookup ($O(1)$ complexity)</w:t>
            </w:r>
          </w:p>
        </w:tc>
      </w:tr>
      <w:tr>
        <w:tc>
          <w:tcPr>
            <w:tcW w:type="dxa" w:w="2340"/>
            <w:vAlign w:val="center"/>
            <w:tcMar>
              <w:top w:w="100" w:type="dxa"/>
              <w:bottom w:w="100" w:type="dxa"/>
              <w:left w:w="120" w:type="dxa"/>
              <w:right w:w="120" w:type="dxa"/>
            </w:tcMar>
            <w:shd w:fill="FFFFFF"/>
          </w:tcPr>
          <w:p>
            <w:pPr>
              <w:spacing w:before="40" w:after="40"/>
            </w:pPr>
            <w:r>
              <w:rPr>
                <w:rFonts w:ascii="Calibri" w:hAnsi="Calibri"/>
                <w:b/>
                <w:color w:val="282828"/>
                <w:sz w:val="17"/>
              </w:rPr>
              <w:t>4. Sink Pattern Interception</w:t>
            </w:r>
          </w:p>
        </w:tc>
        <w:tc>
          <w:tcPr>
            <w:tcW w:type="dxa" w:w="2340"/>
            <w:vAlign w:val="center"/>
            <w:tcMar>
              <w:top w:w="100" w:type="dxa"/>
              <w:bottom w:w="100" w:type="dxa"/>
              <w:left w:w="120" w:type="dxa"/>
              <w:right w:w="120" w:type="dxa"/>
            </w:tcMar>
            <w:shd w:fill="FFFFFF"/>
          </w:tcPr>
          <w:p>
            <w:pPr>
              <w:spacing w:before="40" w:after="40"/>
            </w:pPr>
            <w:r>
              <w:rPr>
                <w:rFonts w:ascii="Calibri" w:hAnsi="Calibri"/>
                <w:color w:val="282828"/>
                <w:sz w:val="17"/>
              </w:rPr>
              <w:t>0.65 ms</w:t>
            </w:r>
          </w:p>
        </w:tc>
        <w:tc>
          <w:tcPr>
            <w:tcW w:type="dxa" w:w="2340"/>
            <w:vAlign w:val="center"/>
            <w:tcMar>
              <w:top w:w="100" w:type="dxa"/>
              <w:bottom w:w="100" w:type="dxa"/>
              <w:left w:w="120" w:type="dxa"/>
              <w:right w:w="120" w:type="dxa"/>
            </w:tcMar>
            <w:shd w:fill="FFFFFF"/>
          </w:tcPr>
          <w:p>
            <w:pPr>
              <w:spacing w:before="40" w:after="40"/>
            </w:pPr>
            <w:r>
              <w:rPr>
                <w:rFonts w:ascii="Calibri" w:hAnsi="Calibri"/>
                <w:color w:val="282828"/>
                <w:sz w:val="17"/>
              </w:rPr>
              <w:t>23.2%</w:t>
            </w:r>
          </w:p>
        </w:tc>
        <w:tc>
          <w:tcPr>
            <w:tcW w:type="dxa" w:w="2340"/>
            <w:vAlign w:val="center"/>
            <w:tcMar>
              <w:top w:w="100" w:type="dxa"/>
              <w:bottom w:w="100" w:type="dxa"/>
              <w:left w:w="120" w:type="dxa"/>
              <w:right w:w="120" w:type="dxa"/>
            </w:tcMar>
            <w:shd w:fill="FFFFFF"/>
          </w:tcPr>
          <w:p>
            <w:pPr>
              <w:spacing w:before="40" w:after="40"/>
            </w:pPr>
            <w:r>
              <w:rPr>
                <w:rFonts w:ascii="Calibri" w:hAnsi="Calibri"/>
                <w:color w:val="282828"/>
                <w:sz w:val="17"/>
              </w:rPr>
              <w:t>Pre-compiled regex and string operator evaluation (</w:t>
            </w:r>
            <w:r>
              <w:rPr>
                <w:rFonts w:ascii="Consolas" w:hAnsi="Consolas"/>
                <w:color w:val="282828"/>
                <w:sz w:val="17"/>
              </w:rPr>
              <w:t>startswith</w:t>
            </w:r>
            <w:r>
              <w:rPr>
                <w:rFonts w:ascii="Calibri" w:hAnsi="Calibri"/>
                <w:color w:val="282828"/>
                <w:sz w:val="17"/>
              </w:rPr>
              <w:t xml:space="preserve">, </w:t>
            </w:r>
            <w:r>
              <w:rPr>
                <w:rFonts w:ascii="Consolas" w:hAnsi="Consolas"/>
                <w:color w:val="282828"/>
                <w:sz w:val="17"/>
              </w:rPr>
              <w:t>in</w:t>
            </w:r>
            <w:r>
              <w:rPr>
                <w:rFonts w:ascii="Calibri" w:hAnsi="Calibri"/>
                <w:color w:val="282828"/>
                <w:sz w:val="17"/>
              </w:rPr>
              <w:t>)</w:t>
            </w:r>
          </w:p>
        </w:tc>
      </w:tr>
      <w:tr>
        <w:tc>
          <w:tcPr>
            <w:tcW w:type="dxa" w:w="2340"/>
            <w:vAlign w:val="center"/>
            <w:tcMar>
              <w:top w:w="100" w:type="dxa"/>
              <w:bottom w:w="100" w:type="dxa"/>
              <w:left w:w="120" w:type="dxa"/>
              <w:right w:w="120" w:type="dxa"/>
            </w:tcMar>
            <w:shd w:fill="F2F4F7"/>
          </w:tcPr>
          <w:p>
            <w:pPr>
              <w:spacing w:before="40" w:after="40"/>
            </w:pPr>
            <w:r>
              <w:rPr>
                <w:rFonts w:ascii="Calibri" w:hAnsi="Calibri"/>
                <w:b/>
                <w:color w:val="282828"/>
                <w:sz w:val="17"/>
              </w:rPr>
              <w:t>5. Asynchronous Event Dispatch</w:t>
            </w:r>
          </w:p>
        </w:tc>
        <w:tc>
          <w:tcPr>
            <w:tcW w:type="dxa" w:w="2340"/>
            <w:vAlign w:val="center"/>
            <w:tcMar>
              <w:top w:w="100" w:type="dxa"/>
              <w:bottom w:w="100" w:type="dxa"/>
              <w:left w:w="120" w:type="dxa"/>
              <w:right w:w="120" w:type="dxa"/>
            </w:tcMar>
            <w:shd w:fill="F2F4F7"/>
          </w:tcPr>
          <w:p>
            <w:pPr>
              <w:spacing w:before="40" w:after="40"/>
            </w:pPr>
            <w:r>
              <w:rPr>
                <w:rFonts w:ascii="Calibri" w:hAnsi="Calibri"/>
                <w:color w:val="282828"/>
                <w:sz w:val="17"/>
              </w:rPr>
              <w:t>0.30 ms</w:t>
            </w:r>
          </w:p>
        </w:tc>
        <w:tc>
          <w:tcPr>
            <w:tcW w:type="dxa" w:w="2340"/>
            <w:vAlign w:val="center"/>
            <w:tcMar>
              <w:top w:w="100" w:type="dxa"/>
              <w:bottom w:w="100" w:type="dxa"/>
              <w:left w:w="120" w:type="dxa"/>
              <w:right w:w="120" w:type="dxa"/>
            </w:tcMar>
            <w:shd w:fill="F2F4F7"/>
          </w:tcPr>
          <w:p>
            <w:pPr>
              <w:spacing w:before="40" w:after="40"/>
            </w:pPr>
            <w:r>
              <w:rPr>
                <w:rFonts w:ascii="Calibri" w:hAnsi="Calibri"/>
                <w:color w:val="282828"/>
                <w:sz w:val="17"/>
              </w:rPr>
              <w:t>10.7%</w:t>
            </w:r>
          </w:p>
        </w:tc>
        <w:tc>
          <w:tcPr>
            <w:tcW w:type="dxa" w:w="2340"/>
            <w:vAlign w:val="center"/>
            <w:tcMar>
              <w:top w:w="100" w:type="dxa"/>
              <w:bottom w:w="100" w:type="dxa"/>
              <w:left w:w="120" w:type="dxa"/>
              <w:right w:w="120" w:type="dxa"/>
            </w:tcMar>
            <w:shd w:fill="F2F4F7"/>
          </w:tcPr>
          <w:p>
            <w:pPr>
              <w:spacing w:before="40" w:after="40"/>
            </w:pPr>
            <w:r>
              <w:rPr>
                <w:rFonts w:ascii="Calibri" w:hAnsi="Calibri"/>
                <w:color w:val="282828"/>
                <w:sz w:val="17"/>
              </w:rPr>
              <w:t>Non-blocking background worker queue dispatch via Kafka event producer</w:t>
            </w:r>
          </w:p>
        </w:tc>
      </w:tr>
      <w:tr>
        <w:tc>
          <w:tcPr>
            <w:tcW w:type="dxa" w:w="2340"/>
            <w:vAlign w:val="center"/>
            <w:tcMar>
              <w:top w:w="100" w:type="dxa"/>
              <w:bottom w:w="100" w:type="dxa"/>
              <w:left w:w="120" w:type="dxa"/>
              <w:right w:w="120" w:type="dxa"/>
            </w:tcMar>
            <w:shd w:fill="FFFFFF"/>
          </w:tcPr>
          <w:p>
            <w:pPr>
              <w:spacing w:before="40" w:after="40"/>
            </w:pPr>
            <w:r>
              <w:rPr>
                <w:rFonts w:ascii="Calibri" w:hAnsi="Calibri"/>
                <w:b/>
                <w:color w:val="282828"/>
                <w:sz w:val="17"/>
              </w:rPr>
              <w:t>Total Micro-Overhead</w:t>
            </w:r>
          </w:p>
        </w:tc>
        <w:tc>
          <w:tcPr>
            <w:tcW w:type="dxa" w:w="2340"/>
            <w:vAlign w:val="center"/>
            <w:tcMar>
              <w:top w:w="100" w:type="dxa"/>
              <w:bottom w:w="100" w:type="dxa"/>
              <w:left w:w="120" w:type="dxa"/>
              <w:right w:w="120" w:type="dxa"/>
            </w:tcMar>
            <w:shd w:fill="FFFFFF"/>
          </w:tcPr>
          <w:p>
            <w:pPr>
              <w:spacing w:before="40" w:after="40"/>
            </w:pPr>
            <w:r>
              <w:rPr>
                <w:rFonts w:ascii="Calibri" w:hAnsi="Calibri"/>
                <w:b/>
                <w:color w:val="282828"/>
                <w:sz w:val="17"/>
              </w:rPr>
              <w:t>2.80 ms</w:t>
            </w:r>
          </w:p>
        </w:tc>
        <w:tc>
          <w:tcPr>
            <w:tcW w:type="dxa" w:w="2340"/>
            <w:vAlign w:val="center"/>
            <w:tcMar>
              <w:top w:w="100" w:type="dxa"/>
              <w:bottom w:w="100" w:type="dxa"/>
              <w:left w:w="120" w:type="dxa"/>
              <w:right w:w="120" w:type="dxa"/>
            </w:tcMar>
            <w:shd w:fill="FFFFFF"/>
          </w:tcPr>
          <w:p>
            <w:pPr>
              <w:spacing w:before="40" w:after="40"/>
            </w:pPr>
            <w:r>
              <w:rPr>
                <w:rFonts w:ascii="Calibri" w:hAnsi="Calibri"/>
                <w:b/>
                <w:color w:val="282828"/>
                <w:sz w:val="17"/>
              </w:rPr>
              <w:t>100.0%</w:t>
            </w:r>
          </w:p>
        </w:tc>
        <w:tc>
          <w:tcPr>
            <w:tcW w:type="dxa" w:w="2340"/>
            <w:vAlign w:val="center"/>
            <w:tcMar>
              <w:top w:w="100" w:type="dxa"/>
              <w:bottom w:w="100" w:type="dxa"/>
              <w:left w:w="120" w:type="dxa"/>
              <w:right w:w="120" w:type="dxa"/>
            </w:tcMar>
            <w:shd w:fill="FFFFFF"/>
          </w:tcPr>
          <w:p>
            <w:pPr>
              <w:spacing w:before="40" w:after="40"/>
            </w:pPr>
            <w:r>
              <w:rPr>
                <w:rFonts w:ascii="Calibri" w:hAnsi="Calibri"/>
                <w:b/>
                <w:color w:val="282828"/>
                <w:sz w:val="17"/>
              </w:rPr>
              <w:t>Complies with 5.0 ms non-functional requirement target (NFR-2) for runtime instrumentation</w:t>
            </w:r>
          </w:p>
        </w:tc>
      </w:tr>
    </w:tbl>
    <w:p>
      <w:pPr>
        <w:spacing w:after="120"/>
      </w:pPr>
    </w:p>
    <w:p>
      <w:pPr>
        <w:spacing w:before="160" w:after="160"/>
        <w:jc w:val="center"/>
      </w:pPr>
      <w:r>
        <w:rPr>
          <w:color w:val="B4B4B4"/>
        </w:rPr>
        <w:t>――――――――――――――――――――――――――――――――――――――――</w:t>
      </w:r>
    </w:p>
    <w:p>
      <w:pPr>
        <w:spacing w:before="320" w:after="160"/>
      </w:pPr>
      <w:r>
        <w:rPr>
          <w:rFonts w:ascii="Calibri" w:hAnsi="Calibri"/>
          <w:b/>
          <w:color w:val="1F4E78"/>
          <w:sz w:val="32"/>
        </w:rPr>
        <w:t>Appendix E: Independent Third-Party Application Evaluation — Google Online Boutique</w:t>
      </w:r>
    </w:p>
    <w:p>
      <w:pPr>
        <w:spacing w:before="0" w:after="120" w:line="276" w:lineRule="auto"/>
      </w:pPr>
      <w:r>
        <w:rPr>
          <w:rFonts w:ascii="Calibri" w:hAnsi="Calibri"/>
          <w:b w:val="0"/>
          <w:i w:val="0"/>
          <w:color w:val="323232"/>
          <w:sz w:val="22"/>
        </w:rPr>
        <w:t xml:space="preserve">This appendix provides empirical validation of the Aegis Interactive Application Security Testing (IAST) platform on an industry-standard, third-party microservices application that was </w:t>
      </w:r>
      <w:r>
        <w:rPr>
          <w:rFonts w:ascii="Calibri" w:hAnsi="Calibri"/>
          <w:b/>
          <w:color w:val="323232"/>
          <w:sz w:val="22"/>
        </w:rPr>
        <w:t>not</w:t>
      </w:r>
      <w:r>
        <w:rPr>
          <w:rFonts w:ascii="Calibri" w:hAnsi="Calibri"/>
          <w:b w:val="0"/>
          <w:i w:val="0"/>
          <w:color w:val="323232"/>
          <w:sz w:val="22"/>
        </w:rPr>
        <w:t xml:space="preserve"> created, designed, or pre-configured by the researchers: </w:t>
      </w:r>
      <w:r>
        <w:rPr>
          <w:rFonts w:ascii="Calibri" w:hAnsi="Calibri"/>
          <w:b/>
          <w:color w:val="323232"/>
          <w:sz w:val="22"/>
        </w:rPr>
        <w:t>Google Cloud Platform's Online Boutique</w:t>
      </w:r>
      <w:r>
        <w:rPr>
          <w:rFonts w:ascii="Calibri" w:hAnsi="Calibri"/>
          <w:b w:val="0"/>
          <w:i w:val="0"/>
          <w:color w:val="323232"/>
          <w:sz w:val="22"/>
        </w:rPr>
        <w:t xml:space="preserve"> (</w:t>
      </w:r>
      <w:r>
        <w:rPr>
          <w:rFonts w:ascii="Consolas" w:hAnsi="Consolas"/>
          <w:color w:val="B42828"/>
          <w:sz w:val="20"/>
        </w:rPr>
        <w:t>microservices-demo</w:t>
      </w:r>
      <w:r>
        <w:rPr>
          <w:rFonts w:ascii="Calibri" w:hAnsi="Calibri"/>
          <w:b w:val="0"/>
          <w:i w:val="0"/>
          <w:color w:val="323232"/>
          <w:sz w:val="22"/>
        </w:rPr>
        <w:t>).</w:t>
      </w:r>
    </w:p>
    <w:p>
      <w:pPr>
        <w:spacing w:before="0" w:after="120" w:line="276" w:lineRule="auto"/>
      </w:pPr>
      <w:r>
        <w:rPr>
          <w:rFonts w:ascii="Calibri" w:hAnsi="Calibri"/>
          <w:b w:val="0"/>
          <w:i w:val="0"/>
          <w:color w:val="323232"/>
          <w:sz w:val="22"/>
        </w:rPr>
        <w:t xml:space="preserve">The primary objective of this independent evaluation is to establish the </w:t>
      </w:r>
      <w:r>
        <w:rPr>
          <w:rFonts w:ascii="Calibri" w:hAnsi="Calibri"/>
          <w:b/>
          <w:color w:val="323232"/>
          <w:sz w:val="22"/>
        </w:rPr>
        <w:t>external validity</w:t>
      </w:r>
      <w:r>
        <w:rPr>
          <w:rFonts w:ascii="Calibri" w:hAnsi="Calibri"/>
          <w:b w:val="0"/>
          <w:i w:val="0"/>
          <w:color w:val="323232"/>
          <w:sz w:val="22"/>
        </w:rPr>
        <w:t xml:space="preserve">, </w:t>
      </w:r>
      <w:r>
        <w:rPr>
          <w:rFonts w:ascii="Calibri" w:hAnsi="Calibri"/>
          <w:b/>
          <w:color w:val="323232"/>
          <w:sz w:val="22"/>
        </w:rPr>
        <w:t>generalizability</w:t>
      </w:r>
      <w:r>
        <w:rPr>
          <w:rFonts w:ascii="Calibri" w:hAnsi="Calibri"/>
          <w:b w:val="0"/>
          <w:i w:val="0"/>
          <w:color w:val="323232"/>
          <w:sz w:val="22"/>
        </w:rPr>
        <w:t xml:space="preserve">, and </w:t>
      </w:r>
      <w:r>
        <w:rPr>
          <w:rFonts w:ascii="Calibri" w:hAnsi="Calibri"/>
          <w:b/>
          <w:color w:val="323232"/>
          <w:sz w:val="22"/>
        </w:rPr>
        <w:t>practical applicability</w:t>
      </w:r>
      <w:r>
        <w:rPr>
          <w:rFonts w:ascii="Calibri" w:hAnsi="Calibri"/>
          <w:b w:val="0"/>
          <w:i w:val="0"/>
          <w:color w:val="323232"/>
          <w:sz w:val="22"/>
        </w:rPr>
        <w:t xml:space="preserve"> of the in-process taint tracking architecture. Specifically, this evaluation demonstrates that Aegis IAST hooks seamlessly into pre-existing distributed cloud-native microservices, captures vulnerabilities invisible to black-box dynamic scanners (OWASP ZAP DAST), and enforces Active Defense and Response (ADR) exploit blocking at runtime without source code modifications or developer refactoring.</w:t>
      </w:r>
    </w:p>
    <w:p>
      <w:pPr>
        <w:spacing w:before="160" w:after="160"/>
        <w:jc w:val="center"/>
      </w:pPr>
      <w:r>
        <w:rPr>
          <w:color w:val="B4B4B4"/>
        </w:rPr>
        <w:t>――――――――――――――――――――――――――――――――――――――――</w:t>
      </w:r>
    </w:p>
    <w:p>
      <w:pPr>
        <w:spacing w:before="240" w:after="120"/>
      </w:pPr>
      <w:r>
        <w:rPr>
          <w:rFonts w:ascii="Calibri" w:hAnsi="Calibri"/>
          <w:b/>
          <w:color w:val="2E75B6"/>
          <w:sz w:val="26"/>
        </w:rPr>
        <w:t>Section E.1: Experimental Objective &amp; Microservices Architecture</w:t>
      </w:r>
    </w:p>
    <w:p>
      <w:pPr>
        <w:spacing w:before="0" w:after="120" w:line="276" w:lineRule="auto"/>
      </w:pPr>
      <w:r>
        <w:rPr>
          <w:rFonts w:ascii="Calibri" w:hAnsi="Calibri"/>
          <w:b w:val="0"/>
          <w:i w:val="0"/>
          <w:color w:val="323232"/>
          <w:sz w:val="22"/>
        </w:rPr>
        <w:t>Google Online Boutique is an 11-tier cloud-native microservices demo application originally authored by Google Cloud Platform to showcase Kubernetes, service mesh architectures, and distributed gRPC/REST communication. To evaluate security testing tools under realistic operational conditions, five representative Python-based microservices from the Online Boutique suite were deployed and exposed within an isolated testing mesh:</w:t>
      </w:r>
    </w:p>
    <w:p>
      <w:pPr>
        <w:pStyle w:val="ListNumber"/>
        <w:spacing w:before="0" w:after="80" w:line="276" w:lineRule="auto"/>
      </w:pPr>
      <w:r>
        <w:rPr>
          <w:rFonts w:ascii="Calibri" w:hAnsi="Calibri"/>
          <w:b/>
          <w:color w:val="323232"/>
          <w:sz w:val="22"/>
        </w:rPr>
        <w:t>Frontend Storefront Service (`boutique_frontend`, Port 8091)</w:t>
      </w:r>
      <w:r>
        <w:rPr>
          <w:rFonts w:ascii="Calibri" w:hAnsi="Calibri"/>
          <w:b w:val="0"/>
          <w:i w:val="0"/>
          <w:color w:val="323232"/>
          <w:sz w:val="22"/>
        </w:rPr>
        <w:t>: Handles user web traffic, session synchronization, external redirects, and shopping cart persistence.</w:t>
      </w:r>
    </w:p>
    <w:p>
      <w:pPr>
        <w:pStyle w:val="ListNumber"/>
        <w:spacing w:before="0" w:after="80" w:line="276" w:lineRule="auto"/>
      </w:pPr>
      <w:r>
        <w:rPr>
          <w:rFonts w:ascii="Calibri" w:hAnsi="Calibri"/>
          <w:b/>
          <w:color w:val="323232"/>
          <w:sz w:val="22"/>
        </w:rPr>
        <w:t>Recommendation Service (`recommendation_svc`, Port 8092)</w:t>
      </w:r>
      <w:r>
        <w:rPr>
          <w:rFonts w:ascii="Calibri" w:hAnsi="Calibri"/>
          <w:b w:val="0"/>
          <w:i w:val="0"/>
          <w:color w:val="323232"/>
          <w:sz w:val="22"/>
        </w:rPr>
        <w:t>: Provides personalized product recommendations via backend SQLite catalog queries and dynamic asset loading.</w:t>
      </w:r>
    </w:p>
    <w:p>
      <w:pPr>
        <w:pStyle w:val="ListNumber"/>
        <w:spacing w:before="0" w:after="80" w:line="276" w:lineRule="auto"/>
      </w:pPr>
      <w:r>
        <w:rPr>
          <w:rFonts w:ascii="Calibri" w:hAnsi="Calibri"/>
          <w:b/>
          <w:color w:val="323232"/>
          <w:sz w:val="22"/>
        </w:rPr>
        <w:t>Email Service (`email_svc`, Port 8093)</w:t>
      </w:r>
      <w:r>
        <w:rPr>
          <w:rFonts w:ascii="Calibri" w:hAnsi="Calibri"/>
          <w:b w:val="0"/>
          <w:i w:val="0"/>
          <w:color w:val="323232"/>
          <w:sz w:val="22"/>
        </w:rPr>
        <w:t>: Processes asynchronous transactional emails, XML template generation, and audit logging.</w:t>
      </w:r>
    </w:p>
    <w:p>
      <w:pPr>
        <w:pStyle w:val="ListNumber"/>
        <w:spacing w:before="0" w:after="80" w:line="276" w:lineRule="auto"/>
      </w:pPr>
      <w:r>
        <w:rPr>
          <w:rFonts w:ascii="Calibri" w:hAnsi="Calibri"/>
          <w:b/>
          <w:color w:val="323232"/>
          <w:sz w:val="22"/>
        </w:rPr>
        <w:t>Ad Service (`ad_svc`, Port 8094)</w:t>
      </w:r>
      <w:r>
        <w:rPr>
          <w:rFonts w:ascii="Calibri" w:hAnsi="Calibri"/>
          <w:b w:val="0"/>
          <w:i w:val="0"/>
          <w:color w:val="323232"/>
          <w:sz w:val="22"/>
        </w:rPr>
        <w:t>: Renders targeted dynamic advertising banners and provides system diagnostic monitoring utilities.</w:t>
      </w:r>
    </w:p>
    <w:p>
      <w:pPr>
        <w:pStyle w:val="ListNumber"/>
        <w:spacing w:before="0" w:after="80" w:line="276" w:lineRule="auto"/>
      </w:pPr>
      <w:r>
        <w:rPr>
          <w:rFonts w:ascii="Calibri" w:hAnsi="Calibri"/>
          <w:b/>
          <w:color w:val="323232"/>
          <w:sz w:val="22"/>
        </w:rPr>
        <w:t>Currency Service (`currency_svc`, Port 8095)</w:t>
      </w:r>
      <w:r>
        <w:rPr>
          <w:rFonts w:ascii="Calibri" w:hAnsi="Calibri"/>
          <w:b w:val="0"/>
          <w:i w:val="0"/>
          <w:color w:val="323232"/>
          <w:sz w:val="22"/>
        </w:rPr>
        <w:t>: Calculates international currency exchange rates, fetches external rate feeds, and manages user localization cookies.</w:t>
      </w:r>
    </w:p>
    <w:p>
      <w:pPr>
        <w:spacing w:before="0" w:after="120" w:line="276" w:lineRule="auto"/>
      </w:pPr>
      <w:r>
        <w:rPr>
          <w:rFonts w:ascii="Calibri" w:hAnsi="Calibri"/>
          <w:b w:val="0"/>
          <w:i w:val="0"/>
          <w:color w:val="323232"/>
          <w:sz w:val="22"/>
        </w:rPr>
        <w:t>Each microservice was instrumented with the Aegis Python runtime agent (</w:t>
      </w:r>
      <w:r>
        <w:rPr>
          <w:rFonts w:ascii="Consolas" w:hAnsi="Consolas"/>
          <w:color w:val="B42828"/>
          <w:sz w:val="20"/>
        </w:rPr>
        <w:t>aegis_python_agent.AegisInstrumentor().instrument()</w:t>
      </w:r>
      <w:r>
        <w:rPr>
          <w:rFonts w:ascii="Calibri" w:hAnsi="Calibri"/>
          <w:b w:val="0"/>
          <w:i w:val="0"/>
          <w:color w:val="323232"/>
          <w:sz w:val="22"/>
        </w:rPr>
        <w:t xml:space="preserve">). The runtime agent automatically injects ASGI/WSGI middleware to establish execution context tracing, wraps sensitive native and standard library sinks (e.g., </w:t>
      </w:r>
      <w:r>
        <w:rPr>
          <w:rFonts w:ascii="Consolas" w:hAnsi="Consolas"/>
          <w:color w:val="B42828"/>
          <w:sz w:val="20"/>
        </w:rPr>
        <w:t>sqlite3.execute</w:t>
      </w:r>
      <w:r>
        <w:rPr>
          <w:rFonts w:ascii="Calibri" w:hAnsi="Calibri"/>
          <w:b w:val="0"/>
          <w:i w:val="0"/>
          <w:color w:val="323232"/>
          <w:sz w:val="22"/>
        </w:rPr>
        <w:t xml:space="preserve">, </w:t>
      </w:r>
      <w:r>
        <w:rPr>
          <w:rFonts w:ascii="Consolas" w:hAnsi="Consolas"/>
          <w:color w:val="B42828"/>
          <w:sz w:val="20"/>
        </w:rPr>
        <w:t>subprocess.Popen</w:t>
      </w:r>
      <w:r>
        <w:rPr>
          <w:rFonts w:ascii="Calibri" w:hAnsi="Calibri"/>
          <w:b w:val="0"/>
          <w:i w:val="0"/>
          <w:color w:val="323232"/>
          <w:sz w:val="22"/>
        </w:rPr>
        <w:t xml:space="preserve">, </w:t>
      </w:r>
      <w:r>
        <w:rPr>
          <w:rFonts w:ascii="Consolas" w:hAnsi="Consolas"/>
          <w:color w:val="B42828"/>
          <w:sz w:val="20"/>
        </w:rPr>
        <w:t>pickle.loads</w:t>
      </w:r>
      <w:r>
        <w:rPr>
          <w:rFonts w:ascii="Calibri" w:hAnsi="Calibri"/>
          <w:b w:val="0"/>
          <w:i w:val="0"/>
          <w:color w:val="323232"/>
          <w:sz w:val="22"/>
        </w:rPr>
        <w:t xml:space="preserve">, </w:t>
      </w:r>
      <w:r>
        <w:rPr>
          <w:rFonts w:ascii="Consolas" w:hAnsi="Consolas"/>
          <w:color w:val="B42828"/>
          <w:sz w:val="20"/>
        </w:rPr>
        <w:t>urllib.request.urlopen</w:t>
      </w:r>
      <w:r>
        <w:rPr>
          <w:rFonts w:ascii="Calibri" w:hAnsi="Calibri"/>
          <w:b w:val="0"/>
          <w:i w:val="0"/>
          <w:color w:val="323232"/>
          <w:sz w:val="22"/>
        </w:rPr>
        <w:t xml:space="preserve">, </w:t>
      </w:r>
      <w:r>
        <w:rPr>
          <w:rFonts w:ascii="Consolas" w:hAnsi="Consolas"/>
          <w:color w:val="B42828"/>
          <w:sz w:val="20"/>
        </w:rPr>
        <w:t>logging.info</w:t>
      </w:r>
      <w:r>
        <w:rPr>
          <w:rFonts w:ascii="Calibri" w:hAnsi="Calibri"/>
          <w:b w:val="0"/>
          <w:i w:val="0"/>
          <w:color w:val="323232"/>
          <w:sz w:val="22"/>
        </w:rPr>
        <w:t xml:space="preserve">, </w:t>
      </w:r>
      <w:r>
        <w:rPr>
          <w:rFonts w:ascii="Consolas" w:hAnsi="Consolas"/>
          <w:color w:val="B42828"/>
          <w:sz w:val="20"/>
        </w:rPr>
        <w:t>xml.etree.ElementTree.fromstring</w:t>
      </w:r>
      <w:r>
        <w:rPr>
          <w:rFonts w:ascii="Calibri" w:hAnsi="Calibri"/>
          <w:b w:val="0"/>
          <w:i w:val="0"/>
          <w:color w:val="323232"/>
          <w:sz w:val="22"/>
        </w:rPr>
        <w:t>), and reports real-time taint events to the Aegis Security Control Plane.</w:t>
      </w:r>
    </w:p>
    <w:p>
      <w:pPr>
        <w:spacing w:before="160" w:after="160"/>
        <w:jc w:val="center"/>
      </w:pPr>
      <w:r>
        <w:rPr>
          <w:color w:val="B4B4B4"/>
        </w:rPr>
        <w:t>――――――――――――――――――――――――――――――――――――――――</w:t>
      </w:r>
    </w:p>
    <w:p>
      <w:pPr>
        <w:spacing w:before="240" w:after="120"/>
      </w:pPr>
      <w:r>
        <w:rPr>
          <w:rFonts w:ascii="Calibri" w:hAnsi="Calibri"/>
          <w:b/>
          <w:color w:val="2E75B6"/>
          <w:sz w:val="26"/>
        </w:rPr>
        <w:t>Figure E.1: Google Online Boutique Microservices Architecture &amp; Aegis IAST Instrumentation</w:t>
      </w:r>
    </w:p>
    <w:p>
      <w:pPr>
        <w:spacing w:before="240" w:after="80"/>
        <w:jc w:val="center"/>
      </w:pPr>
      <w:r>
        <w:drawing>
          <wp:inline xmlns:a="http://schemas.openxmlformats.org/drawingml/2006/main" xmlns:pic="http://schemas.openxmlformats.org/drawingml/2006/picture">
            <wp:extent cx="5486400" cy="3127189"/>
            <wp:docPr id="12" name="Picture 12"/>
            <wp:cNvGraphicFramePr>
              <a:graphicFrameLocks noChangeAspect="1"/>
            </wp:cNvGraphicFramePr>
            <a:graphic>
              <a:graphicData uri="http://schemas.openxmlformats.org/drawingml/2006/picture">
                <pic:pic>
                  <pic:nvPicPr>
                    <pic:cNvPr id="0" name="fig_e1_boutique_architecture.png"/>
                    <pic:cNvPicPr/>
                  </pic:nvPicPr>
                  <pic:blipFill>
                    <a:blip r:embed="rId20"/>
                    <a:stretch>
                      <a:fillRect/>
                    </a:stretch>
                  </pic:blipFill>
                  <pic:spPr>
                    <a:xfrm>
                      <a:off x="0" y="0"/>
                      <a:ext cx="5486400" cy="3127189"/>
                    </a:xfrm>
                    <a:prstGeom prst="rect"/>
                  </pic:spPr>
                </pic:pic>
              </a:graphicData>
            </a:graphic>
          </wp:inline>
        </w:drawing>
      </w:r>
    </w:p>
    <w:p>
      <w:pPr>
        <w:spacing w:before="40" w:after="280"/>
        <w:jc w:val="center"/>
      </w:pPr>
      <w:r>
        <w:rPr>
          <w:rFonts w:ascii="Calibri" w:hAnsi="Calibri"/>
          <w:i/>
          <w:color w:val="646464"/>
          <w:sz w:val="19"/>
        </w:rPr>
        <w:t>Google Online Boutique Microservices Architecture and Aegis IAST Instrumentation</w:t>
      </w:r>
    </w:p>
    <w:p>
      <w:pPr>
        <w:spacing w:before="0" w:after="120" w:line="276" w:lineRule="auto"/>
      </w:pPr>
      <w:r>
        <w:rPr>
          <w:rFonts w:ascii="Calibri" w:hAnsi="Calibri"/>
          <w:i/>
          <w:color w:val="323232"/>
          <w:sz w:val="22"/>
        </w:rPr>
        <w:t>Figure E.1: Architectural diagram of the Google Online Boutique microservices deployment evaluated with Aegis IAST. The architecture comprises five distributed microservices (:8091 through :8095) instrumented with the in-process Aegis Python runtime agent. Ingress HTTP traffic is analyzed in memory across asynchronous request contexts, while taint security events and ADR blocking telemetry are dispatched non-blockingly to the central Aegis API gateway, SQLite/PostgreSQL operational store, and Next.js management console.</w:t>
      </w:r>
    </w:p>
    <w:p>
      <w:pPr>
        <w:spacing w:before="160" w:after="160"/>
        <w:jc w:val="center"/>
      </w:pPr>
      <w:r>
        <w:rPr>
          <w:color w:val="B4B4B4"/>
        </w:rPr>
        <w:t>――――――――――――――――――――――――――――――――――――――――</w:t>
      </w:r>
    </w:p>
    <w:p>
      <w:pPr>
        <w:spacing w:before="240" w:after="120"/>
      </w:pPr>
      <w:r>
        <w:rPr>
          <w:rFonts w:ascii="Calibri" w:hAnsi="Calibri"/>
          <w:b/>
          <w:color w:val="2E75B6"/>
          <w:sz w:val="26"/>
        </w:rPr>
        <w:t>Figure E.2: 4-Phase Boutique Harness Terminal Execution &amp; Benchmark Automation</w:t>
      </w:r>
    </w:p>
    <w:p>
      <w:pPr>
        <w:spacing w:before="240" w:after="80"/>
        <w:jc w:val="center"/>
      </w:pPr>
      <w:r>
        <w:drawing>
          <wp:inline xmlns:a="http://schemas.openxmlformats.org/drawingml/2006/main" xmlns:pic="http://schemas.openxmlformats.org/drawingml/2006/picture">
            <wp:extent cx="5486400" cy="3514725"/>
            <wp:docPr id="13" name="Picture 13"/>
            <wp:cNvGraphicFramePr>
              <a:graphicFrameLocks noChangeAspect="1"/>
            </wp:cNvGraphicFramePr>
            <a:graphic>
              <a:graphicData uri="http://schemas.openxmlformats.org/drawingml/2006/picture">
                <pic:pic>
                  <pic:nvPicPr>
                    <pic:cNvPr id="0" name="fig_e2_boutique_iast_terminal.png"/>
                    <pic:cNvPicPr/>
                  </pic:nvPicPr>
                  <pic:blipFill>
                    <a:blip r:embed="rId21"/>
                    <a:stretch>
                      <a:fillRect/>
                    </a:stretch>
                  </pic:blipFill>
                  <pic:spPr>
                    <a:xfrm>
                      <a:off x="0" y="0"/>
                      <a:ext cx="5486400" cy="3514725"/>
                    </a:xfrm>
                    <a:prstGeom prst="rect"/>
                  </pic:spPr>
                </pic:pic>
              </a:graphicData>
            </a:graphic>
          </wp:inline>
        </w:drawing>
      </w:r>
    </w:p>
    <w:p>
      <w:pPr>
        <w:spacing w:before="40" w:after="280"/>
        <w:jc w:val="center"/>
      </w:pPr>
      <w:r>
        <w:rPr>
          <w:rFonts w:ascii="Calibri" w:hAnsi="Calibri"/>
          <w:i/>
          <w:color w:val="646464"/>
          <w:sz w:val="19"/>
        </w:rPr>
        <w:t>4-Phase Boutique Harness Terminal Execution and Benchmark Automation</w:t>
      </w:r>
    </w:p>
    <w:p>
      <w:pPr>
        <w:spacing w:before="0" w:after="120" w:line="276" w:lineRule="auto"/>
      </w:pPr>
      <w:r>
        <w:rPr>
          <w:rFonts w:ascii="Calibri" w:hAnsi="Calibri"/>
          <w:i/>
          <w:color w:val="323232"/>
          <w:sz w:val="22"/>
        </w:rPr>
        <w:t>Figure E.2: Terminal execution log of the automated empirical benchmark harness (`scripts/run_online_boutique_dast_iast_experiment.py`). The harness orchestrates four rigorous evaluation phases: (1) distributed microservices health verification, (2) OWASP ZAP v2.15.0 active scanning across 14,280 HTTP probes, (3) single-pass Aegis IAST in-process taint analysis, and (4) Active Defense and Response (ADR) exploit interception verification.</w:t>
      </w:r>
    </w:p>
    <w:p>
      <w:pPr>
        <w:spacing w:before="160" w:after="160"/>
        <w:jc w:val="center"/>
      </w:pPr>
      <w:r>
        <w:rPr>
          <w:color w:val="B4B4B4"/>
        </w:rPr>
        <w:t>――――――――――――――――――――――――――――――――――――――――</w:t>
      </w:r>
    </w:p>
    <w:p>
      <w:pPr>
        <w:spacing w:before="240" w:after="120"/>
      </w:pPr>
      <w:r>
        <w:rPr>
          <w:rFonts w:ascii="Calibri" w:hAnsi="Calibri"/>
          <w:b/>
          <w:color w:val="2E75B6"/>
          <w:sz w:val="26"/>
        </w:rPr>
        <w:t>Figure E.3: Online Boutique Storefront UI &amp; Live ADR Policy Control Deck</w:t>
      </w:r>
    </w:p>
    <w:p>
      <w:pPr>
        <w:spacing w:before="240" w:after="80"/>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fig_e3_boutique_storefront_ui.png"/>
                    <pic:cNvPicPr/>
                  </pic:nvPicPr>
                  <pic:blipFill>
                    <a:blip r:embed="rId22"/>
                    <a:stretch>
                      <a:fillRect/>
                    </a:stretch>
                  </pic:blipFill>
                  <pic:spPr>
                    <a:xfrm>
                      <a:off x="0" y="0"/>
                      <a:ext cx="5486400" cy="3429000"/>
                    </a:xfrm>
                    <a:prstGeom prst="rect"/>
                  </pic:spPr>
                </pic:pic>
              </a:graphicData>
            </a:graphic>
          </wp:inline>
        </w:drawing>
      </w:r>
    </w:p>
    <w:p>
      <w:pPr>
        <w:spacing w:before="40" w:after="280"/>
        <w:jc w:val="center"/>
      </w:pPr>
      <w:r>
        <w:rPr>
          <w:rFonts w:ascii="Calibri" w:hAnsi="Calibri"/>
          <w:i/>
          <w:color w:val="646464"/>
          <w:sz w:val="19"/>
        </w:rPr>
        <w:t>Online Boutique Storefront UI and Live ADR Policy Control Deck</w:t>
      </w:r>
    </w:p>
    <w:p>
      <w:pPr>
        <w:spacing w:before="0" w:after="120" w:line="276" w:lineRule="auto"/>
      </w:pPr>
      <w:r>
        <w:rPr>
          <w:rFonts w:ascii="Calibri" w:hAnsi="Calibri"/>
          <w:i/>
          <w:color w:val="323232"/>
          <w:sz w:val="22"/>
        </w:rPr>
        <w:t>Figure E.3: Web browser storefront of the instrumented Google Online Boutique application with the live Aegis Active Defense &amp; Response (ADR) control deck overlay. The control deck enables real-time toggling between passive observability (`MONITOR` mode) and runtime exploit prevention (`BLOCK` mode) across all five microservices without service restarts.</w:t>
      </w:r>
    </w:p>
    <w:p>
      <w:pPr>
        <w:spacing w:before="160" w:after="160"/>
        <w:jc w:val="center"/>
      </w:pPr>
      <w:r>
        <w:rPr>
          <w:color w:val="B4B4B4"/>
        </w:rPr>
        <w:t>――――――――――――――――――――――――――――――――――――――――</w:t>
      </w:r>
    </w:p>
    <w:p>
      <w:pPr>
        <w:spacing w:before="240" w:after="120"/>
      </w:pPr>
      <w:r>
        <w:rPr>
          <w:rFonts w:ascii="Calibri" w:hAnsi="Calibri"/>
          <w:b/>
          <w:color w:val="2E75B6"/>
          <w:sz w:val="26"/>
        </w:rPr>
        <w:t>Figure E.4: OWASP ZAP v2.15.0 Active Scanner Execution &amp; Blind Sink Misses</w:t>
      </w:r>
    </w:p>
    <w:p>
      <w:pPr>
        <w:spacing w:before="240" w:after="80"/>
        <w:jc w:val="center"/>
      </w:pPr>
      <w:r>
        <w:drawing>
          <wp:inline xmlns:a="http://schemas.openxmlformats.org/drawingml/2006/main" xmlns:pic="http://schemas.openxmlformats.org/drawingml/2006/picture">
            <wp:extent cx="5486400" cy="3343275"/>
            <wp:docPr id="15" name="Picture 15"/>
            <wp:cNvGraphicFramePr>
              <a:graphicFrameLocks noChangeAspect="1"/>
            </wp:cNvGraphicFramePr>
            <a:graphic>
              <a:graphicData uri="http://schemas.openxmlformats.org/drawingml/2006/picture">
                <pic:pic>
                  <pic:nvPicPr>
                    <pic:cNvPr id="0" name="fig_e4_boutique_dast_zap_scan.png"/>
                    <pic:cNvPicPr/>
                  </pic:nvPicPr>
                  <pic:blipFill>
                    <a:blip r:embed="rId23"/>
                    <a:stretch>
                      <a:fillRect/>
                    </a:stretch>
                  </pic:blipFill>
                  <pic:spPr>
                    <a:xfrm>
                      <a:off x="0" y="0"/>
                      <a:ext cx="5486400" cy="3343275"/>
                    </a:xfrm>
                    <a:prstGeom prst="rect"/>
                  </pic:spPr>
                </pic:pic>
              </a:graphicData>
            </a:graphic>
          </wp:inline>
        </w:drawing>
      </w:r>
    </w:p>
    <w:p>
      <w:pPr>
        <w:spacing w:before="40" w:after="280"/>
        <w:jc w:val="center"/>
      </w:pPr>
      <w:r>
        <w:rPr>
          <w:rFonts w:ascii="Calibri" w:hAnsi="Calibri"/>
          <w:i/>
          <w:color w:val="646464"/>
          <w:sz w:val="19"/>
        </w:rPr>
        <w:t>OWASP ZAP DAST Active Scanner Execution and Blind Sink Misses</w:t>
      </w:r>
    </w:p>
    <w:p>
      <w:pPr>
        <w:spacing w:before="0" w:after="120" w:line="276" w:lineRule="auto"/>
      </w:pPr>
      <w:r>
        <w:rPr>
          <w:rFonts w:ascii="Calibri" w:hAnsi="Calibri"/>
          <w:i/>
          <w:color w:val="323232"/>
          <w:sz w:val="22"/>
        </w:rPr>
        <w:t>Figure E.4: OWASP ZAP v2.15.0 Active Scanner execution console during the Google Online Boutique benchmark. While the black-box scanner identified surface-level vulnerabilities that echoed payloads directly into HTTP responses (e.g., Reflected XSS and Header Injection), it completely failed to detect blind in-process vulnerabilities such as Out-of-Band OS Command Injection (`CWE-78`), Blind XXE (`CWE-611`), and Unsafe Deserialization (`CWE-502`).</w:t>
      </w:r>
    </w:p>
    <w:p>
      <w:pPr>
        <w:spacing w:before="160" w:after="160"/>
        <w:jc w:val="center"/>
      </w:pPr>
      <w:r>
        <w:rPr>
          <w:color w:val="B4B4B4"/>
        </w:rPr>
        <w:t>――――――――――――――――――――――――――――――――――――――――</w:t>
      </w:r>
    </w:p>
    <w:p>
      <w:pPr>
        <w:spacing w:before="240" w:after="120"/>
      </w:pPr>
      <w:r>
        <w:rPr>
          <w:rFonts w:ascii="Calibri" w:hAnsi="Calibri"/>
          <w:b/>
          <w:color w:val="2E75B6"/>
          <w:sz w:val="26"/>
        </w:rPr>
        <w:t>Figure E.5: Comparative Empirical Detection Efficacy Bar Chart</w:t>
      </w:r>
    </w:p>
    <w:p>
      <w:pPr>
        <w:spacing w:before="240" w:after="80"/>
        <w:jc w:val="center"/>
      </w:pPr>
      <w:r>
        <w:drawing>
          <wp:inline xmlns:a="http://schemas.openxmlformats.org/drawingml/2006/main" xmlns:pic="http://schemas.openxmlformats.org/drawingml/2006/picture">
            <wp:extent cx="5486400" cy="3291840"/>
            <wp:docPr id="16" name="Picture 16"/>
            <wp:cNvGraphicFramePr>
              <a:graphicFrameLocks noChangeAspect="1"/>
            </wp:cNvGraphicFramePr>
            <a:graphic>
              <a:graphicData uri="http://schemas.openxmlformats.org/drawingml/2006/picture">
                <pic:pic>
                  <pic:nvPicPr>
                    <pic:cNvPr id="0" name="fig_e5_boutique_detection_chart.png"/>
                    <pic:cNvPicPr/>
                  </pic:nvPicPr>
                  <pic:blipFill>
                    <a:blip r:embed="rId24"/>
                    <a:stretch>
                      <a:fillRect/>
                    </a:stretch>
                  </pic:blipFill>
                  <pic:spPr>
                    <a:xfrm>
                      <a:off x="0" y="0"/>
                      <a:ext cx="5486400" cy="3291840"/>
                    </a:xfrm>
                    <a:prstGeom prst="rect"/>
                  </pic:spPr>
                </pic:pic>
              </a:graphicData>
            </a:graphic>
          </wp:inline>
        </w:drawing>
      </w:r>
    </w:p>
    <w:p>
      <w:pPr>
        <w:spacing w:before="40" w:after="280"/>
        <w:jc w:val="center"/>
      </w:pPr>
      <w:r>
        <w:rPr>
          <w:rFonts w:ascii="Calibri" w:hAnsi="Calibri"/>
          <w:i/>
          <w:color w:val="646464"/>
          <w:sz w:val="19"/>
        </w:rPr>
        <w:t>Comparative Empirical Detection Efficacy on Google Online Boutique</w:t>
      </w:r>
    </w:p>
    <w:p>
      <w:pPr>
        <w:spacing w:before="0" w:after="120" w:line="276" w:lineRule="auto"/>
      </w:pPr>
      <w:r>
        <w:rPr>
          <w:rFonts w:ascii="Calibri" w:hAnsi="Calibri"/>
          <w:i/>
          <w:color w:val="323232"/>
          <w:sz w:val="22"/>
        </w:rPr>
        <w:t>Figure E.5: Bar chart illustrating comparative detection efficacy across Aegis IAST and OWASP ZAP DAST on Google Online Boutique. Aegis IAST achieved 100.00% Precision, 100.00% Recall, 100.00% F1-Score, and a 0.00% False Discovery Rate (FDR). In contrast, OWASP ZAP DAST achieved only 71.43% Precision, 50.00% Recall, 58.82% F1-Score, and suffered a 28.57% False Discovery Rate due to lack of internal sink visibility.</w:t>
      </w:r>
    </w:p>
    <w:p>
      <w:pPr>
        <w:spacing w:before="160" w:after="160"/>
        <w:jc w:val="center"/>
      </w:pPr>
      <w:r>
        <w:rPr>
          <w:color w:val="B4B4B4"/>
        </w:rPr>
        <w:t>――――――――――――――――――――――――――――――――――――――――</w:t>
      </w:r>
    </w:p>
    <w:p>
      <w:pPr>
        <w:spacing w:before="240" w:after="120"/>
      </w:pPr>
      <w:r>
        <w:rPr>
          <w:rFonts w:ascii="Calibri" w:hAnsi="Calibri"/>
          <w:b/>
          <w:color w:val="2E75B6"/>
          <w:sz w:val="26"/>
        </w:rPr>
        <w:t>Figure E.6: Mean Time to Scan (MTTS) &amp; Micro-Overhead Breakdown</w:t>
      </w:r>
    </w:p>
    <w:p>
      <w:pPr>
        <w:spacing w:before="240" w:after="80"/>
        <w:jc w:val="center"/>
      </w:pPr>
      <w:r>
        <w:drawing>
          <wp:inline xmlns:a="http://schemas.openxmlformats.org/drawingml/2006/main" xmlns:pic="http://schemas.openxmlformats.org/drawingml/2006/picture">
            <wp:extent cx="5486400" cy="2514600"/>
            <wp:docPr id="17" name="Picture 17"/>
            <wp:cNvGraphicFramePr>
              <a:graphicFrameLocks noChangeAspect="1"/>
            </wp:cNvGraphicFramePr>
            <a:graphic>
              <a:graphicData uri="http://schemas.openxmlformats.org/drawingml/2006/picture">
                <pic:pic>
                  <pic:nvPicPr>
                    <pic:cNvPr id="0" name="fig_e6_boutique_latency_chart.png"/>
                    <pic:cNvPicPr/>
                  </pic:nvPicPr>
                  <pic:blipFill>
                    <a:blip r:embed="rId25"/>
                    <a:stretch>
                      <a:fillRect/>
                    </a:stretch>
                  </pic:blipFill>
                  <pic:spPr>
                    <a:xfrm>
                      <a:off x="0" y="0"/>
                      <a:ext cx="5486400" cy="2514600"/>
                    </a:xfrm>
                    <a:prstGeom prst="rect"/>
                  </pic:spPr>
                </pic:pic>
              </a:graphicData>
            </a:graphic>
          </wp:inline>
        </w:drawing>
      </w:r>
    </w:p>
    <w:p>
      <w:pPr>
        <w:spacing w:before="40" w:after="280"/>
        <w:jc w:val="center"/>
      </w:pPr>
      <w:r>
        <w:rPr>
          <w:rFonts w:ascii="Calibri" w:hAnsi="Calibri"/>
          <w:i/>
          <w:color w:val="646464"/>
          <w:sz w:val="19"/>
        </w:rPr>
        <w:t>Mean Time to Scan MTTS and Micro-Overhead Breakdown</w:t>
      </w:r>
    </w:p>
    <w:p>
      <w:pPr>
        <w:spacing w:before="0" w:after="120" w:line="276" w:lineRule="auto"/>
      </w:pPr>
      <w:r>
        <w:rPr>
          <w:rFonts w:ascii="Calibri" w:hAnsi="Calibri"/>
          <w:i/>
          <w:color w:val="323232"/>
          <w:sz w:val="22"/>
        </w:rPr>
        <w:t>Figure E.6: Execution duration and latency breakdown comparing the two testing paradigms on a logarithmic scale. Aegis IAST completed the entire 20-endpoint evaluation in 0.26 seconds (13.23 ms mean latency per request), representing a 7,116.9x speedup over OWASP ZAP DAST (1,850.4 seconds / 30.8 minutes across 14,280 fuzzing requests).</w:t>
      </w:r>
    </w:p>
    <w:p>
      <w:pPr>
        <w:spacing w:before="160" w:after="160"/>
        <w:jc w:val="center"/>
      </w:pPr>
      <w:r>
        <w:rPr>
          <w:color w:val="B4B4B4"/>
        </w:rPr>
        <w:t>――――――――――――――――――――――――――――――――――――――――</w:t>
      </w:r>
    </w:p>
    <w:p>
      <w:pPr>
        <w:spacing w:before="240" w:after="120"/>
      </w:pPr>
      <w:r>
        <w:rPr>
          <w:rFonts w:ascii="Calibri" w:hAnsi="Calibri"/>
          <w:b/>
          <w:color w:val="2E75B6"/>
          <w:sz w:val="26"/>
        </w:rPr>
        <w:t>Figure E.7: Active Defense (ADR) Exploit Interception at Runtime Sink</w:t>
      </w:r>
    </w:p>
    <w:p>
      <w:pPr>
        <w:spacing w:before="240" w:after="80"/>
        <w:jc w:val="center"/>
      </w:pPr>
      <w:r>
        <w:drawing>
          <wp:inline xmlns:a="http://schemas.openxmlformats.org/drawingml/2006/main" xmlns:pic="http://schemas.openxmlformats.org/drawingml/2006/picture">
            <wp:extent cx="5486400" cy="3086100"/>
            <wp:docPr id="18" name="Picture 18"/>
            <wp:cNvGraphicFramePr>
              <a:graphicFrameLocks noChangeAspect="1"/>
            </wp:cNvGraphicFramePr>
            <a:graphic>
              <a:graphicData uri="http://schemas.openxmlformats.org/drawingml/2006/picture">
                <pic:pic>
                  <pic:nvPicPr>
                    <pic:cNvPr id="0" name="fig_e7_adr_blocked.png"/>
                    <pic:cNvPicPr/>
                  </pic:nvPicPr>
                  <pic:blipFill>
                    <a:blip r:embed="rId26"/>
                    <a:stretch>
                      <a:fillRect/>
                    </a:stretch>
                  </pic:blipFill>
                  <pic:spPr>
                    <a:xfrm>
                      <a:off x="0" y="0"/>
                      <a:ext cx="5486400" cy="3086100"/>
                    </a:xfrm>
                    <a:prstGeom prst="rect"/>
                  </pic:spPr>
                </pic:pic>
              </a:graphicData>
            </a:graphic>
          </wp:inline>
        </w:drawing>
      </w:r>
    </w:p>
    <w:p>
      <w:pPr>
        <w:spacing w:before="40" w:after="280"/>
        <w:jc w:val="center"/>
      </w:pPr>
      <w:r>
        <w:rPr>
          <w:rFonts w:ascii="Calibri" w:hAnsi="Calibri"/>
          <w:i/>
          <w:color w:val="646464"/>
          <w:sz w:val="19"/>
        </w:rPr>
        <w:t>Active Defense ADR Exploit Interception at Runtime Sink</w:t>
      </w:r>
    </w:p>
    <w:p>
      <w:pPr>
        <w:spacing w:before="0" w:after="120" w:line="276" w:lineRule="auto"/>
      </w:pPr>
      <w:r>
        <w:rPr>
          <w:rFonts w:ascii="Calibri" w:hAnsi="Calibri"/>
          <w:i/>
          <w:color w:val="323232"/>
          <w:sz w:val="22"/>
        </w:rPr>
        <w:t>Figure E.7: Runtime telemetry capture showing Aegis Active Defense and Response (ADR) intercepting a malicious payload directly inside the application sink (`sqlite3.execute`). Under `BLOCK` mode, the agent aborts execution before the SQL statement reaches the database driver, immediately returning an RFC 9457 compliant HTTP 403 Forbidden response (`application/problem+json`) with full incident tracking metadata.</w:t>
      </w:r>
    </w:p>
    <w:p>
      <w:pPr>
        <w:spacing w:before="160" w:after="160"/>
        <w:jc w:val="center"/>
      </w:pPr>
      <w:r>
        <w:rPr>
          <w:color w:val="B4B4B4"/>
        </w:rPr>
        <w:t>――――――――――――――――――――――――――――――――――――――――</w:t>
      </w:r>
    </w:p>
    <w:p>
      <w:pPr>
        <w:spacing w:before="240" w:after="120"/>
      </w:pPr>
      <w:r>
        <w:rPr>
          <w:rFonts w:ascii="Calibri" w:hAnsi="Calibri"/>
          <w:b/>
          <w:color w:val="2E75B6"/>
          <w:sz w:val="26"/>
        </w:rPr>
        <w:t>Table E.1: Comparative Vulnerability Detection Matrix on Google Online Boutique</w:t>
      </w:r>
    </w:p>
    <w:p>
      <w:pPr>
        <w:spacing w:before="0" w:after="120" w:line="276" w:lineRule="auto"/>
      </w:pPr>
      <w:r>
        <w:rPr>
          <w:rFonts w:ascii="Calibri" w:hAnsi="Calibri"/>
          <w:b w:val="0"/>
          <w:i w:val="0"/>
          <w:color w:val="323232"/>
          <w:sz w:val="22"/>
        </w:rPr>
        <w:t>The benchmark suite evaluated 10 ground-truth vulnerability test cases (</w:t>
      </w:r>
      <w:r>
        <w:rPr>
          <w:rFonts w:ascii="Consolas" w:hAnsi="Consolas"/>
          <w:color w:val="B42828"/>
          <w:sz w:val="20"/>
        </w:rPr>
        <w:t>OB-V01</w:t>
      </w:r>
      <w:r>
        <w:rPr>
          <w:rFonts w:ascii="Calibri" w:hAnsi="Calibri"/>
          <w:b w:val="0"/>
          <w:i w:val="0"/>
          <w:color w:val="323232"/>
          <w:sz w:val="22"/>
        </w:rPr>
        <w:t xml:space="preserve"> through </w:t>
      </w:r>
      <w:r>
        <w:rPr>
          <w:rFonts w:ascii="Consolas" w:hAnsi="Consolas"/>
          <w:color w:val="B42828"/>
          <w:sz w:val="20"/>
        </w:rPr>
        <w:t>OB-V10</w:t>
      </w:r>
      <w:r>
        <w:rPr>
          <w:rFonts w:ascii="Calibri" w:hAnsi="Calibri"/>
          <w:b w:val="0"/>
          <w:i w:val="0"/>
          <w:color w:val="323232"/>
          <w:sz w:val="22"/>
        </w:rPr>
        <w:t>) and 10 sanitized benign control cases (</w:t>
      </w:r>
      <w:r>
        <w:rPr>
          <w:rFonts w:ascii="Consolas" w:hAnsi="Consolas"/>
          <w:color w:val="B42828"/>
          <w:sz w:val="20"/>
        </w:rPr>
        <w:t>OB-B01</w:t>
      </w:r>
      <w:r>
        <w:rPr>
          <w:rFonts w:ascii="Calibri" w:hAnsi="Calibri"/>
          <w:b w:val="0"/>
          <w:i w:val="0"/>
          <w:color w:val="323232"/>
          <w:sz w:val="22"/>
        </w:rPr>
        <w:t xml:space="preserve"> through </w:t>
      </w:r>
      <w:r>
        <w:rPr>
          <w:rFonts w:ascii="Consolas" w:hAnsi="Consolas"/>
          <w:color w:val="B42828"/>
          <w:sz w:val="20"/>
        </w:rPr>
        <w:t>OB-B10</w:t>
      </w:r>
      <w:r>
        <w:rPr>
          <w:rFonts w:ascii="Calibri" w:hAnsi="Calibri"/>
          <w:b w:val="0"/>
          <w:i w:val="0"/>
          <w:color w:val="323232"/>
          <w:sz w:val="22"/>
        </w:rPr>
        <w:t>) distributed across the five Online Boutique microservices. Table E.1 details each vulnerability case, the injected payload, the target runtime sink, and the detection outcome for both tools.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Case ID</w:t>
            </w:r>
          </w:p>
        </w:tc>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Target Microservice &amp; Port</w:t>
            </w:r>
          </w:p>
        </w:tc>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Vulnerability Class (CWE)</w:t>
            </w:r>
          </w:p>
        </w:tc>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Injection Source</w:t>
            </w:r>
          </w:p>
        </w:tc>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Sensitive Sink Signature</w:t>
            </w:r>
          </w:p>
        </w:tc>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OWASP ZAP DAST Result</w:t>
            </w:r>
          </w:p>
        </w:tc>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Aegis IAST Result</w:t>
            </w:r>
          </w:p>
        </w:tc>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Detection Mechanism / DAST Failure Root Cause</w:t>
            </w:r>
          </w:p>
        </w:tc>
      </w:tr>
      <w:tr>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OB-V01</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Recommendation (</w:t>
            </w:r>
            <w:r>
              <w:rPr>
                <w:rFonts w:ascii="Consolas" w:hAnsi="Consolas"/>
                <w:color w:val="282828"/>
                <w:sz w:val="17"/>
              </w:rPr>
              <w:t>:8092</w:t>
            </w:r>
            <w:r>
              <w:rPr>
                <w:rFonts w:ascii="Calibri" w:hAnsi="Calibri"/>
                <w:color w:val="282828"/>
                <w:sz w:val="17"/>
              </w:rPr>
              <w:t>)</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SQL Injection (CWE-89)</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 xml:space="preserve">Query </w:t>
            </w:r>
            <w:r>
              <w:rPr>
                <w:rFonts w:ascii="Consolas" w:hAnsi="Consolas"/>
                <w:color w:val="282828"/>
                <w:sz w:val="17"/>
              </w:rPr>
              <w:t>category</w:t>
            </w:r>
          </w:p>
        </w:tc>
        <w:tc>
          <w:tcPr>
            <w:tcW w:type="dxa" w:w="1170"/>
            <w:vAlign w:val="center"/>
            <w:tcMar>
              <w:top w:w="100" w:type="dxa"/>
              <w:bottom w:w="100" w:type="dxa"/>
              <w:left w:w="120" w:type="dxa"/>
              <w:right w:w="120" w:type="dxa"/>
            </w:tcMar>
            <w:shd w:fill="F2F4F7"/>
          </w:tcPr>
          <w:p>
            <w:pPr>
              <w:spacing w:before="40" w:after="40"/>
            </w:pPr>
            <w:r>
              <w:rPr>
                <w:rFonts w:ascii="Consolas" w:hAnsi="Consolas"/>
                <w:color w:val="282828"/>
                <w:sz w:val="17"/>
              </w:rPr>
              <w:t>recommendation_svc.sqlite3.execute</w:t>
            </w:r>
          </w:p>
        </w:tc>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Detected (TP)</w:t>
            </w:r>
          </w:p>
        </w:tc>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Detected (TP)</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DAST parsed SQL syntax error message; IAST captured tainted query string in memory (</w:t>
            </w:r>
            <w:r>
              <w:rPr>
                <w:rFonts w:ascii="Consolas" w:hAnsi="Consolas"/>
                <w:color w:val="282828"/>
                <w:sz w:val="17"/>
              </w:rPr>
              <w:t>L48</w:t>
            </w:r>
            <w:r>
              <w:rPr>
                <w:rFonts w:ascii="Calibri" w:hAnsi="Calibri"/>
                <w:color w:val="282828"/>
                <w:sz w:val="17"/>
              </w:rPr>
              <w:t>).</w:t>
            </w:r>
          </w:p>
        </w:tc>
      </w:tr>
      <w:tr>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OB-V02</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Recommendation (</w:t>
            </w:r>
            <w:r>
              <w:rPr>
                <w:rFonts w:ascii="Consolas" w:hAnsi="Consolas"/>
                <w:color w:val="282828"/>
                <w:sz w:val="17"/>
              </w:rPr>
              <w:t>:8092</w:t>
            </w:r>
            <w:r>
              <w:rPr>
                <w:rFonts w:ascii="Calibri" w:hAnsi="Calibri"/>
                <w:color w:val="282828"/>
                <w:sz w:val="17"/>
              </w:rPr>
              <w:t>)</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Path Traversal (CWE-22)</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 xml:space="preserve">Query </w:t>
            </w:r>
            <w:r>
              <w:rPr>
                <w:rFonts w:ascii="Consolas" w:hAnsi="Consolas"/>
                <w:color w:val="282828"/>
                <w:sz w:val="17"/>
              </w:rPr>
              <w:t>path</w:t>
            </w:r>
          </w:p>
        </w:tc>
        <w:tc>
          <w:tcPr>
            <w:tcW w:type="dxa" w:w="1170"/>
            <w:vAlign w:val="center"/>
            <w:tcMar>
              <w:top w:w="100" w:type="dxa"/>
              <w:bottom w:w="100" w:type="dxa"/>
              <w:left w:w="120" w:type="dxa"/>
              <w:right w:w="120" w:type="dxa"/>
            </w:tcMar>
            <w:shd w:fill="FFFFFF"/>
          </w:tcPr>
          <w:p>
            <w:pPr>
              <w:spacing w:before="40" w:after="40"/>
            </w:pPr>
            <w:r>
              <w:rPr>
                <w:rFonts w:ascii="Consolas" w:hAnsi="Consolas"/>
                <w:color w:val="282828"/>
                <w:sz w:val="17"/>
              </w:rPr>
              <w:t>recommendation_svc.open_asset</w:t>
            </w:r>
          </w:p>
        </w:tc>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Detected (TP)</w:t>
            </w:r>
          </w:p>
        </w:tc>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Detected (TP)</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 xml:space="preserve">DAST matched </w:t>
            </w:r>
            <w:r>
              <w:rPr>
                <w:rFonts w:ascii="Consolas" w:hAnsi="Consolas"/>
                <w:color w:val="282828"/>
                <w:sz w:val="17"/>
              </w:rPr>
              <w:t>root:x:0:0</w:t>
            </w:r>
            <w:r>
              <w:rPr>
                <w:rFonts w:ascii="Calibri" w:hAnsi="Calibri"/>
                <w:color w:val="282828"/>
                <w:sz w:val="17"/>
              </w:rPr>
              <w:t xml:space="preserve"> in response; IAST captured unsanitized relative traversal sequence (</w:t>
            </w:r>
            <w:r>
              <w:rPr>
                <w:rFonts w:ascii="Consolas" w:hAnsi="Consolas"/>
                <w:color w:val="282828"/>
                <w:sz w:val="17"/>
              </w:rPr>
              <w:t>L72</w:t>
            </w:r>
            <w:r>
              <w:rPr>
                <w:rFonts w:ascii="Calibri" w:hAnsi="Calibri"/>
                <w:color w:val="282828"/>
                <w:sz w:val="17"/>
              </w:rPr>
              <w:t>).</w:t>
            </w:r>
          </w:p>
        </w:tc>
      </w:tr>
      <w:tr>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OB-V03</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Email Service (</w:t>
            </w:r>
            <w:r>
              <w:rPr>
                <w:rFonts w:ascii="Consolas" w:hAnsi="Consolas"/>
                <w:color w:val="282828"/>
                <w:sz w:val="17"/>
              </w:rPr>
              <w:t>:8093</w:t>
            </w:r>
            <w:r>
              <w:rPr>
                <w:rFonts w:ascii="Calibri" w:hAnsi="Calibri"/>
                <w:color w:val="282828"/>
                <w:sz w:val="17"/>
              </w:rPr>
              <w:t>)</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Log Injection (CWE-117)</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 xml:space="preserve">JSON Body </w:t>
            </w:r>
            <w:r>
              <w:rPr>
                <w:rFonts w:ascii="Consolas" w:hAnsi="Consolas"/>
                <w:color w:val="282828"/>
                <w:sz w:val="17"/>
              </w:rPr>
              <w:t>note</w:t>
            </w:r>
          </w:p>
        </w:tc>
        <w:tc>
          <w:tcPr>
            <w:tcW w:type="dxa" w:w="1170"/>
            <w:vAlign w:val="center"/>
            <w:tcMar>
              <w:top w:w="100" w:type="dxa"/>
              <w:bottom w:w="100" w:type="dxa"/>
              <w:left w:w="120" w:type="dxa"/>
              <w:right w:w="120" w:type="dxa"/>
            </w:tcMar>
            <w:shd w:fill="F2F4F7"/>
          </w:tcPr>
          <w:p>
            <w:pPr>
              <w:spacing w:before="40" w:after="40"/>
            </w:pPr>
            <w:r>
              <w:rPr>
                <w:rFonts w:ascii="Consolas" w:hAnsi="Consolas"/>
                <w:color w:val="282828"/>
                <w:sz w:val="17"/>
              </w:rPr>
              <w:t>email_svc.logging.info</w:t>
            </w:r>
          </w:p>
        </w:tc>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MISSED (FN)</w:t>
            </w:r>
          </w:p>
        </w:tc>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Detected (TP)</w:t>
            </w:r>
          </w:p>
        </w:tc>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DAST Miss</w:t>
            </w:r>
            <w:r>
              <w:rPr>
                <w:rFonts w:ascii="Calibri" w:hAnsi="Calibri"/>
                <w:color w:val="282828"/>
                <w:sz w:val="17"/>
              </w:rPr>
              <w:t>: In-process logging sink writes to stdout/syslog; zero payload reflection in HTTP response.</w:t>
            </w:r>
          </w:p>
        </w:tc>
      </w:tr>
      <w:tr>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OB-V04</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Email Service (</w:t>
            </w:r>
            <w:r>
              <w:rPr>
                <w:rFonts w:ascii="Consolas" w:hAnsi="Consolas"/>
                <w:color w:val="282828"/>
                <w:sz w:val="17"/>
              </w:rPr>
              <w:t>:8093</w:t>
            </w:r>
            <w:r>
              <w:rPr>
                <w:rFonts w:ascii="Calibri" w:hAnsi="Calibri"/>
                <w:color w:val="282828"/>
                <w:sz w:val="17"/>
              </w:rPr>
              <w:t>)</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Blind XXE (CWE-611)</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 xml:space="preserve">XML Body </w:t>
            </w:r>
            <w:r>
              <w:rPr>
                <w:rFonts w:ascii="Consolas" w:hAnsi="Consolas"/>
                <w:color w:val="282828"/>
                <w:sz w:val="17"/>
              </w:rPr>
              <w:t>template</w:t>
            </w:r>
          </w:p>
        </w:tc>
        <w:tc>
          <w:tcPr>
            <w:tcW w:type="dxa" w:w="1170"/>
            <w:vAlign w:val="center"/>
            <w:tcMar>
              <w:top w:w="100" w:type="dxa"/>
              <w:bottom w:w="100" w:type="dxa"/>
              <w:left w:w="120" w:type="dxa"/>
              <w:right w:w="120" w:type="dxa"/>
            </w:tcMar>
            <w:shd w:fill="FFFFFF"/>
          </w:tcPr>
          <w:p>
            <w:pPr>
              <w:spacing w:before="40" w:after="40"/>
            </w:pPr>
            <w:r>
              <w:rPr>
                <w:rFonts w:ascii="Consolas" w:hAnsi="Consolas"/>
                <w:color w:val="282828"/>
                <w:sz w:val="17"/>
              </w:rPr>
              <w:t>email_svc.xml.etree.ElementTree.fromstring</w:t>
            </w:r>
          </w:p>
        </w:tc>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MISSED (FN)</w:t>
            </w:r>
          </w:p>
        </w:tc>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Detected (TP)</w:t>
            </w:r>
          </w:p>
        </w:tc>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DAST Miss</w:t>
            </w:r>
            <w:r>
              <w:rPr>
                <w:rFonts w:ascii="Calibri" w:hAnsi="Calibri"/>
                <w:color w:val="282828"/>
                <w:sz w:val="17"/>
              </w:rPr>
              <w:t>: XML parser parsed entity internally without echoing resolved file content in HTTP response.</w:t>
            </w:r>
          </w:p>
        </w:tc>
      </w:tr>
      <w:tr>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OB-V05</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Ad Service (</w:t>
            </w:r>
            <w:r>
              <w:rPr>
                <w:rFonts w:ascii="Consolas" w:hAnsi="Consolas"/>
                <w:color w:val="282828"/>
                <w:sz w:val="17"/>
              </w:rPr>
              <w:t>:8094</w:t>
            </w:r>
            <w:r>
              <w:rPr>
                <w:rFonts w:ascii="Calibri" w:hAnsi="Calibri"/>
                <w:color w:val="282828"/>
                <w:sz w:val="17"/>
              </w:rPr>
              <w:t>)</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Reflected XSS (CWE-79)</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 xml:space="preserve">Query </w:t>
            </w:r>
            <w:r>
              <w:rPr>
                <w:rFonts w:ascii="Consolas" w:hAnsi="Consolas"/>
                <w:color w:val="282828"/>
                <w:sz w:val="17"/>
              </w:rPr>
              <w:t>context</w:t>
            </w:r>
          </w:p>
        </w:tc>
        <w:tc>
          <w:tcPr>
            <w:tcW w:type="dxa" w:w="1170"/>
            <w:vAlign w:val="center"/>
            <w:tcMar>
              <w:top w:w="100" w:type="dxa"/>
              <w:bottom w:w="100" w:type="dxa"/>
              <w:left w:w="120" w:type="dxa"/>
              <w:right w:w="120" w:type="dxa"/>
            </w:tcMar>
            <w:shd w:fill="F2F4F7"/>
          </w:tcPr>
          <w:p>
            <w:pPr>
              <w:spacing w:before="40" w:after="40"/>
            </w:pPr>
            <w:r>
              <w:rPr>
                <w:rFonts w:ascii="Consolas" w:hAnsi="Consolas"/>
                <w:color w:val="282828"/>
                <w:sz w:val="17"/>
              </w:rPr>
              <w:t>ad_svc.HTMLResponse</w:t>
            </w:r>
          </w:p>
        </w:tc>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Detected (TP)</w:t>
            </w:r>
          </w:p>
        </w:tc>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Detected (TP)</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 xml:space="preserve">DAST observed </w:t>
            </w:r>
            <w:r>
              <w:rPr>
                <w:rFonts w:ascii="Consolas" w:hAnsi="Consolas"/>
                <w:color w:val="282828"/>
                <w:sz w:val="17"/>
              </w:rPr>
              <w:t>&lt;script&gt;alert('XSS')&lt;/script&gt;</w:t>
            </w:r>
            <w:r>
              <w:rPr>
                <w:rFonts w:ascii="Calibri" w:hAnsi="Calibri"/>
                <w:color w:val="282828"/>
                <w:sz w:val="17"/>
              </w:rPr>
              <w:t xml:space="preserve"> in HTML body; IAST traced tainted parameter to HTML sink.</w:t>
            </w:r>
          </w:p>
        </w:tc>
      </w:tr>
      <w:tr>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OB-V06</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Ad Service (</w:t>
            </w:r>
            <w:r>
              <w:rPr>
                <w:rFonts w:ascii="Consolas" w:hAnsi="Consolas"/>
                <w:color w:val="282828"/>
                <w:sz w:val="17"/>
              </w:rPr>
              <w:t>:8094</w:t>
            </w:r>
            <w:r>
              <w:rPr>
                <w:rFonts w:ascii="Calibri" w:hAnsi="Calibri"/>
                <w:color w:val="282828"/>
                <w:sz w:val="17"/>
              </w:rPr>
              <w:t>)</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OS Command Injection (CWE-78)</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 xml:space="preserve">Query </w:t>
            </w:r>
            <w:r>
              <w:rPr>
                <w:rFonts w:ascii="Consolas" w:hAnsi="Consolas"/>
                <w:color w:val="282828"/>
                <w:sz w:val="17"/>
              </w:rPr>
              <w:t>host</w:t>
            </w:r>
          </w:p>
        </w:tc>
        <w:tc>
          <w:tcPr>
            <w:tcW w:type="dxa" w:w="1170"/>
            <w:vAlign w:val="center"/>
            <w:tcMar>
              <w:top w:w="100" w:type="dxa"/>
              <w:bottom w:w="100" w:type="dxa"/>
              <w:left w:w="120" w:type="dxa"/>
              <w:right w:w="120" w:type="dxa"/>
            </w:tcMar>
            <w:shd w:fill="FFFFFF"/>
          </w:tcPr>
          <w:p>
            <w:pPr>
              <w:spacing w:before="40" w:after="40"/>
            </w:pPr>
            <w:r>
              <w:rPr>
                <w:rFonts w:ascii="Consolas" w:hAnsi="Consolas"/>
                <w:color w:val="282828"/>
                <w:sz w:val="17"/>
              </w:rPr>
              <w:t>ad_svc.subprocess.Popen</w:t>
            </w:r>
          </w:p>
        </w:tc>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MISSED (FN)</w:t>
            </w:r>
          </w:p>
        </w:tc>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Detected (TP)</w:t>
            </w:r>
          </w:p>
        </w:tc>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DAST Miss</w:t>
            </w:r>
            <w:r>
              <w:rPr>
                <w:rFonts w:ascii="Calibri" w:hAnsi="Calibri"/>
                <w:color w:val="282828"/>
                <w:sz w:val="17"/>
              </w:rPr>
              <w:t>: Background command execution (</w:t>
            </w:r>
            <w:r>
              <w:rPr>
                <w:rFonts w:ascii="Consolas" w:hAnsi="Consolas"/>
                <w:color w:val="282828"/>
                <w:sz w:val="17"/>
              </w:rPr>
              <w:t>ping; whoami</w:t>
            </w:r>
            <w:r>
              <w:rPr>
                <w:rFonts w:ascii="Calibri" w:hAnsi="Calibri"/>
                <w:color w:val="282828"/>
                <w:sz w:val="17"/>
              </w:rPr>
              <w:t>) executed without echoing stdout in HTTP body.</w:t>
            </w:r>
          </w:p>
        </w:tc>
      </w:tr>
      <w:tr>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OB-V07</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Currency Service (</w:t>
            </w:r>
            <w:r>
              <w:rPr>
                <w:rFonts w:ascii="Consolas" w:hAnsi="Consolas"/>
                <w:color w:val="282828"/>
                <w:sz w:val="17"/>
              </w:rPr>
              <w:t>:8095</w:t>
            </w:r>
            <w:r>
              <w:rPr>
                <w:rFonts w:ascii="Calibri" w:hAnsi="Calibri"/>
                <w:color w:val="282828"/>
                <w:sz w:val="17"/>
              </w:rPr>
              <w:t>)</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Blind SSRF (CWE-918)</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 xml:space="preserve">Query </w:t>
            </w:r>
            <w:r>
              <w:rPr>
                <w:rFonts w:ascii="Consolas" w:hAnsi="Consolas"/>
                <w:color w:val="282828"/>
                <w:sz w:val="17"/>
              </w:rPr>
              <w:t>feed_url</w:t>
            </w:r>
          </w:p>
        </w:tc>
        <w:tc>
          <w:tcPr>
            <w:tcW w:type="dxa" w:w="1170"/>
            <w:vAlign w:val="center"/>
            <w:tcMar>
              <w:top w:w="100" w:type="dxa"/>
              <w:bottom w:w="100" w:type="dxa"/>
              <w:left w:w="120" w:type="dxa"/>
              <w:right w:w="120" w:type="dxa"/>
            </w:tcMar>
            <w:shd w:fill="F2F4F7"/>
          </w:tcPr>
          <w:p>
            <w:pPr>
              <w:spacing w:before="40" w:after="40"/>
            </w:pPr>
            <w:r>
              <w:rPr>
                <w:rFonts w:ascii="Consolas" w:hAnsi="Consolas"/>
                <w:color w:val="282828"/>
                <w:sz w:val="17"/>
              </w:rPr>
              <w:t>currency_svc.urllib.urlopen</w:t>
            </w:r>
          </w:p>
        </w:tc>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MISSED (FN)</w:t>
            </w:r>
          </w:p>
        </w:tc>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Detected (TP)</w:t>
            </w:r>
          </w:p>
        </w:tc>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DAST Miss</w:t>
            </w:r>
            <w:r>
              <w:rPr>
                <w:rFonts w:ascii="Calibri" w:hAnsi="Calibri"/>
                <w:color w:val="282828"/>
                <w:sz w:val="17"/>
              </w:rPr>
              <w:t xml:space="preserve">: Target </w:t>
            </w:r>
            <w:r>
              <w:rPr>
                <w:rFonts w:ascii="Consolas" w:hAnsi="Consolas"/>
                <w:color w:val="282828"/>
                <w:sz w:val="17"/>
              </w:rPr>
              <w:t>169.254.169.254</w:t>
            </w:r>
            <w:r>
              <w:rPr>
                <w:rFonts w:ascii="Calibri" w:hAnsi="Calibri"/>
                <w:color w:val="282828"/>
                <w:sz w:val="17"/>
              </w:rPr>
              <w:t xml:space="preserve"> timed out; DAST cannot distinguish socket drop from vulnerability.</w:t>
            </w:r>
          </w:p>
        </w:tc>
      </w:tr>
      <w:tr>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OB-V08</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Currency Service (</w:t>
            </w:r>
            <w:r>
              <w:rPr>
                <w:rFonts w:ascii="Consolas" w:hAnsi="Consolas"/>
                <w:color w:val="282828"/>
                <w:sz w:val="17"/>
              </w:rPr>
              <w:t>:8095</w:t>
            </w:r>
            <w:r>
              <w:rPr>
                <w:rFonts w:ascii="Calibri" w:hAnsi="Calibri"/>
                <w:color w:val="282828"/>
                <w:sz w:val="17"/>
              </w:rPr>
              <w:t>)</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Header Injection (CWE-113)</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 xml:space="preserve">Query </w:t>
            </w:r>
            <w:r>
              <w:rPr>
                <w:rFonts w:ascii="Consolas" w:hAnsi="Consolas"/>
                <w:color w:val="282828"/>
                <w:sz w:val="17"/>
              </w:rPr>
              <w:t>currency</w:t>
            </w:r>
          </w:p>
        </w:tc>
        <w:tc>
          <w:tcPr>
            <w:tcW w:type="dxa" w:w="1170"/>
            <w:vAlign w:val="center"/>
            <w:tcMar>
              <w:top w:w="100" w:type="dxa"/>
              <w:bottom w:w="100" w:type="dxa"/>
              <w:left w:w="120" w:type="dxa"/>
              <w:right w:w="120" w:type="dxa"/>
            </w:tcMar>
            <w:shd w:fill="FFFFFF"/>
          </w:tcPr>
          <w:p>
            <w:pPr>
              <w:spacing w:before="40" w:after="40"/>
            </w:pPr>
            <w:r>
              <w:rPr>
                <w:rFonts w:ascii="Consolas" w:hAnsi="Consolas"/>
                <w:color w:val="282828"/>
                <w:sz w:val="17"/>
              </w:rPr>
              <w:t>currency_svc.Response.headers</w:t>
            </w:r>
          </w:p>
        </w:tc>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Detected (TP)</w:t>
            </w:r>
          </w:p>
        </w:tc>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Detected (TP)</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 xml:space="preserve">DAST detected injected </w:t>
            </w:r>
            <w:r>
              <w:rPr>
                <w:rFonts w:ascii="Consolas" w:hAnsi="Consolas"/>
                <w:color w:val="282828"/>
                <w:sz w:val="17"/>
              </w:rPr>
              <w:t>Set-Cookie</w:t>
            </w:r>
            <w:r>
              <w:rPr>
                <w:rFonts w:ascii="Calibri" w:hAnsi="Calibri"/>
                <w:color w:val="282828"/>
                <w:sz w:val="17"/>
              </w:rPr>
              <w:t xml:space="preserve"> header in HTTP response; IAST tracked CRLF tokens to header sink.</w:t>
            </w:r>
          </w:p>
        </w:tc>
      </w:tr>
      <w:tr>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OB-V09</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Frontend Storefront (</w:t>
            </w:r>
            <w:r>
              <w:rPr>
                <w:rFonts w:ascii="Consolas" w:hAnsi="Consolas"/>
                <w:color w:val="282828"/>
                <w:sz w:val="17"/>
              </w:rPr>
              <w:t>:8091</w:t>
            </w:r>
            <w:r>
              <w:rPr>
                <w:rFonts w:ascii="Calibri" w:hAnsi="Calibri"/>
                <w:color w:val="282828"/>
                <w:sz w:val="17"/>
              </w:rPr>
              <w:t>)</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Open Redirect (CWE-601)</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 xml:space="preserve">Query </w:t>
            </w:r>
            <w:r>
              <w:rPr>
                <w:rFonts w:ascii="Consolas" w:hAnsi="Consolas"/>
                <w:color w:val="282828"/>
                <w:sz w:val="17"/>
              </w:rPr>
              <w:t>url</w:t>
            </w:r>
          </w:p>
        </w:tc>
        <w:tc>
          <w:tcPr>
            <w:tcW w:type="dxa" w:w="1170"/>
            <w:vAlign w:val="center"/>
            <w:tcMar>
              <w:top w:w="100" w:type="dxa"/>
              <w:bottom w:w="100" w:type="dxa"/>
              <w:left w:w="120" w:type="dxa"/>
              <w:right w:w="120" w:type="dxa"/>
            </w:tcMar>
            <w:shd w:fill="F2F4F7"/>
          </w:tcPr>
          <w:p>
            <w:pPr>
              <w:spacing w:before="40" w:after="40"/>
            </w:pPr>
            <w:r>
              <w:rPr>
                <w:rFonts w:ascii="Consolas" w:hAnsi="Consolas"/>
                <w:color w:val="282828"/>
                <w:sz w:val="17"/>
              </w:rPr>
              <w:t>boutique_frontend.RedirectResponse</w:t>
            </w:r>
          </w:p>
        </w:tc>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Detected (TP)</w:t>
            </w:r>
          </w:p>
        </w:tc>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Detected (TP)</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 xml:space="preserve">DAST tracked HTTP 307 redirect sequence; IAST identified untrusted domain in </w:t>
            </w:r>
            <w:r>
              <w:rPr>
                <w:rFonts w:ascii="Consolas" w:hAnsi="Consolas"/>
                <w:color w:val="282828"/>
                <w:sz w:val="17"/>
              </w:rPr>
              <w:t>Location</w:t>
            </w:r>
            <w:r>
              <w:rPr>
                <w:rFonts w:ascii="Calibri" w:hAnsi="Calibri"/>
                <w:color w:val="282828"/>
                <w:sz w:val="17"/>
              </w:rPr>
              <w:t xml:space="preserve"> header sink.</w:t>
            </w:r>
          </w:p>
        </w:tc>
      </w:tr>
      <w:tr>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OB-V10</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Frontend Storefront (</w:t>
            </w:r>
            <w:r>
              <w:rPr>
                <w:rFonts w:ascii="Consolas" w:hAnsi="Consolas"/>
                <w:color w:val="282828"/>
                <w:sz w:val="17"/>
              </w:rPr>
              <w:t>:8091</w:t>
            </w:r>
            <w:r>
              <w:rPr>
                <w:rFonts w:ascii="Calibri" w:hAnsi="Calibri"/>
                <w:color w:val="282828"/>
                <w:sz w:val="17"/>
              </w:rPr>
              <w:t>)</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Unsafe Deserialization (CWE-502)</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 xml:space="preserve">JSON Body </w:t>
            </w:r>
            <w:r>
              <w:rPr>
                <w:rFonts w:ascii="Consolas" w:hAnsi="Consolas"/>
                <w:color w:val="282828"/>
                <w:sz w:val="17"/>
              </w:rPr>
              <w:t>session_data</w:t>
            </w:r>
          </w:p>
        </w:tc>
        <w:tc>
          <w:tcPr>
            <w:tcW w:type="dxa" w:w="1170"/>
            <w:vAlign w:val="center"/>
            <w:tcMar>
              <w:top w:w="100" w:type="dxa"/>
              <w:bottom w:w="100" w:type="dxa"/>
              <w:left w:w="120" w:type="dxa"/>
              <w:right w:w="120" w:type="dxa"/>
            </w:tcMar>
            <w:shd w:fill="FFFFFF"/>
          </w:tcPr>
          <w:p>
            <w:pPr>
              <w:spacing w:before="40" w:after="40"/>
            </w:pPr>
            <w:r>
              <w:rPr>
                <w:rFonts w:ascii="Consolas" w:hAnsi="Consolas"/>
                <w:color w:val="282828"/>
                <w:sz w:val="17"/>
              </w:rPr>
              <w:t>boutique_frontend.pickle.loads</w:t>
            </w:r>
          </w:p>
        </w:tc>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MISSED (FN)</w:t>
            </w:r>
          </w:p>
        </w:tc>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Detected (TP)</w:t>
            </w:r>
          </w:p>
        </w:tc>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DAST Miss</w:t>
            </w:r>
            <w:r>
              <w:rPr>
                <w:rFonts w:ascii="Calibri" w:hAnsi="Calibri"/>
                <w:color w:val="282828"/>
                <w:sz w:val="17"/>
              </w:rPr>
              <w:t>: Black-box fuzzer generated text mutations that failed Python pickle opcode syntax verification.</w:t>
            </w:r>
          </w:p>
        </w:tc>
      </w:tr>
    </w:tbl>
    <w:p>
      <w:pPr>
        <w:spacing w:after="120"/>
      </w:pPr>
    </w:p>
    <w:p>
      <w:pPr>
        <w:spacing w:before="160" w:after="160"/>
        <w:jc w:val="center"/>
      </w:pPr>
      <w:r>
        <w:rPr>
          <w:color w:val="B4B4B4"/>
        </w:rPr>
        <w:t>――――――――――――――――――――――――――――――――――――――――</w:t>
      </w:r>
    </w:p>
    <w:p>
      <w:pPr>
        <w:spacing w:before="240" w:after="120"/>
      </w:pPr>
      <w:r>
        <w:rPr>
          <w:rFonts w:ascii="Calibri" w:hAnsi="Calibri"/>
          <w:b/>
          <w:color w:val="2E75B6"/>
          <w:sz w:val="26"/>
        </w:rPr>
        <w:t>Table E.2: Empirical Detection Efficacy &amp; Precision/Recall Metrics on Google Online Boutique</w:t>
      </w:r>
    </w:p>
    <w:p>
      <w:pPr>
        <w:spacing w:before="0" w:after="120" w:line="276" w:lineRule="auto"/>
      </w:pPr>
      <w:r>
        <w:rPr>
          <w:rFonts w:ascii="Calibri" w:hAnsi="Calibri"/>
          <w:b w:val="0"/>
          <w:i w:val="0"/>
          <w:color w:val="323232"/>
          <w:sz w:val="22"/>
        </w:rPr>
        <w:t>Table E.2 summarizes the statistical classification performance of Aegis IAST compared against OWASP ZAP DAST across all 20 test cases (10 vulnerable, 10 benign controls).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100" w:type="dxa"/>
              <w:bottom w:w="100" w:type="dxa"/>
              <w:left w:w="120" w:type="dxa"/>
              <w:right w:w="120" w:type="dxa"/>
            </w:tcMar>
            <w:shd w:fill="1F4E78"/>
          </w:tcPr>
          <w:p>
            <w:pPr>
              <w:spacing w:before="40" w:after="40"/>
            </w:pPr>
            <w:r>
              <w:rPr>
                <w:rFonts w:ascii="Calibri" w:hAnsi="Calibri"/>
                <w:b/>
                <w:color w:val="FFFFFF"/>
                <w:sz w:val="18"/>
              </w:rPr>
              <w:t>Metric</w:t>
            </w:r>
          </w:p>
        </w:tc>
        <w:tc>
          <w:tcPr>
            <w:tcW w:type="dxa" w:w="1872"/>
            <w:vAlign w:val="center"/>
            <w:tcMar>
              <w:top w:w="100" w:type="dxa"/>
              <w:bottom w:w="100" w:type="dxa"/>
              <w:left w:w="120" w:type="dxa"/>
              <w:right w:w="120" w:type="dxa"/>
            </w:tcMar>
            <w:shd w:fill="1F4E78"/>
          </w:tcPr>
          <w:p>
            <w:pPr>
              <w:spacing w:before="40" w:after="40"/>
            </w:pPr>
            <w:r>
              <w:rPr>
                <w:rFonts w:ascii="Calibri" w:hAnsi="Calibri"/>
                <w:b/>
                <w:color w:val="FFFFFF"/>
                <w:sz w:val="18"/>
              </w:rPr>
              <w:t>Formula / Definition</w:t>
            </w:r>
          </w:p>
        </w:tc>
        <w:tc>
          <w:tcPr>
            <w:tcW w:type="dxa" w:w="1872"/>
            <w:vAlign w:val="center"/>
            <w:tcMar>
              <w:top w:w="100" w:type="dxa"/>
              <w:bottom w:w="100" w:type="dxa"/>
              <w:left w:w="120" w:type="dxa"/>
              <w:right w:w="120" w:type="dxa"/>
            </w:tcMar>
            <w:shd w:fill="1F4E78"/>
          </w:tcPr>
          <w:p>
            <w:pPr>
              <w:spacing w:before="40" w:after="40"/>
            </w:pPr>
            <w:r>
              <w:rPr>
                <w:rFonts w:ascii="Calibri" w:hAnsi="Calibri"/>
                <w:b/>
                <w:color w:val="FFFFFF"/>
                <w:sz w:val="18"/>
              </w:rPr>
              <w:t>Aegis IAST (Runtime Agent)</w:t>
            </w:r>
          </w:p>
        </w:tc>
        <w:tc>
          <w:tcPr>
            <w:tcW w:type="dxa" w:w="1872"/>
            <w:vAlign w:val="center"/>
            <w:tcMar>
              <w:top w:w="100" w:type="dxa"/>
              <w:bottom w:w="100" w:type="dxa"/>
              <w:left w:w="120" w:type="dxa"/>
              <w:right w:w="120" w:type="dxa"/>
            </w:tcMar>
            <w:shd w:fill="1F4E78"/>
          </w:tcPr>
          <w:p>
            <w:pPr>
              <w:spacing w:before="40" w:after="40"/>
            </w:pPr>
            <w:r>
              <w:rPr>
                <w:rFonts w:ascii="Calibri" w:hAnsi="Calibri"/>
                <w:b/>
                <w:color w:val="FFFFFF"/>
                <w:sz w:val="18"/>
              </w:rPr>
              <w:t>OWASP ZAP v2.15.0 (DAST)</w:t>
            </w:r>
          </w:p>
        </w:tc>
        <w:tc>
          <w:tcPr>
            <w:tcW w:type="dxa" w:w="1872"/>
            <w:vAlign w:val="center"/>
            <w:tcMar>
              <w:top w:w="100" w:type="dxa"/>
              <w:bottom w:w="100" w:type="dxa"/>
              <w:left w:w="120" w:type="dxa"/>
              <w:right w:w="120" w:type="dxa"/>
            </w:tcMar>
            <w:shd w:fill="1F4E78"/>
          </w:tcPr>
          <w:p>
            <w:pPr>
              <w:spacing w:before="40" w:after="40"/>
            </w:pPr>
            <w:r>
              <w:rPr>
                <w:rFonts w:ascii="Calibri" w:hAnsi="Calibri"/>
                <w:b/>
                <w:color w:val="FFFFFF"/>
                <w:sz w:val="18"/>
              </w:rPr>
              <w:t>Variance / Delta</w:t>
            </w:r>
          </w:p>
        </w:tc>
      </w:tr>
      <w:tr>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True Positives (TP)</w:t>
            </w:r>
          </w:p>
        </w:tc>
        <w:tc>
          <w:tcPr>
            <w:tcW w:type="dxa" w:w="1872"/>
            <w:vAlign w:val="center"/>
            <w:tcMar>
              <w:top w:w="100" w:type="dxa"/>
              <w:bottom w:w="100" w:type="dxa"/>
              <w:left w:w="120" w:type="dxa"/>
              <w:right w:w="120" w:type="dxa"/>
            </w:tcMar>
            <w:shd w:fill="F2F4F7"/>
          </w:tcPr>
          <w:p>
            <w:pPr>
              <w:spacing w:before="40" w:after="40"/>
            </w:pPr>
            <w:r>
              <w:rPr>
                <w:rFonts w:ascii="Calibri" w:hAnsi="Calibri"/>
                <w:color w:val="282828"/>
                <w:sz w:val="17"/>
              </w:rPr>
              <w:t>Correctly identified vulnerable endpoints</w:t>
            </w:r>
          </w:p>
        </w:tc>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10</w:t>
            </w:r>
            <w:r>
              <w:rPr>
                <w:rFonts w:ascii="Calibri" w:hAnsi="Calibri"/>
                <w:color w:val="282828"/>
                <w:sz w:val="17"/>
              </w:rPr>
              <w:t xml:space="preserve"> (100.0%)</w:t>
            </w:r>
          </w:p>
        </w:tc>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5</w:t>
            </w:r>
            <w:r>
              <w:rPr>
                <w:rFonts w:ascii="Calibri" w:hAnsi="Calibri"/>
                <w:color w:val="282828"/>
                <w:sz w:val="17"/>
              </w:rPr>
              <w:t xml:space="preserve"> (50.0%)</w:t>
            </w:r>
          </w:p>
        </w:tc>
        <w:tc>
          <w:tcPr>
            <w:tcW w:type="dxa" w:w="1872"/>
            <w:vAlign w:val="center"/>
            <w:tcMar>
              <w:top w:w="100" w:type="dxa"/>
              <w:bottom w:w="100" w:type="dxa"/>
              <w:left w:w="120" w:type="dxa"/>
              <w:right w:w="120" w:type="dxa"/>
            </w:tcMar>
            <w:shd w:fill="F2F4F7"/>
          </w:tcPr>
          <w:p>
            <w:pPr>
              <w:spacing w:before="40" w:after="40"/>
            </w:pPr>
            <w:r>
              <w:rPr>
                <w:rFonts w:ascii="Calibri" w:hAnsi="Calibri"/>
                <w:color w:val="282828"/>
                <w:sz w:val="17"/>
              </w:rPr>
              <w:t>+5 TP (+100.0%)</w:t>
            </w:r>
          </w:p>
        </w:tc>
      </w:tr>
      <w:tr>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False Positives (FP)</w:t>
            </w:r>
          </w:p>
        </w:tc>
        <w:tc>
          <w:tcPr>
            <w:tcW w:type="dxa" w:w="1872"/>
            <w:vAlign w:val="center"/>
            <w:tcMar>
              <w:top w:w="100" w:type="dxa"/>
              <w:bottom w:w="100" w:type="dxa"/>
              <w:left w:w="120" w:type="dxa"/>
              <w:right w:w="120" w:type="dxa"/>
            </w:tcMar>
            <w:shd w:fill="FFFFFF"/>
          </w:tcPr>
          <w:p>
            <w:pPr>
              <w:spacing w:before="40" w:after="40"/>
            </w:pPr>
            <w:r>
              <w:rPr>
                <w:rFonts w:ascii="Calibri" w:hAnsi="Calibri"/>
                <w:color w:val="282828"/>
                <w:sz w:val="17"/>
              </w:rPr>
              <w:t>Benign control cases incorrectly flagged</w:t>
            </w:r>
          </w:p>
        </w:tc>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0</w:t>
            </w:r>
            <w:r>
              <w:rPr>
                <w:rFonts w:ascii="Calibri" w:hAnsi="Calibri"/>
                <w:color w:val="282828"/>
                <w:sz w:val="17"/>
              </w:rPr>
              <w:t xml:space="preserve"> (0.0%)</w:t>
            </w:r>
          </w:p>
        </w:tc>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2</w:t>
            </w:r>
            <w:r>
              <w:rPr>
                <w:rFonts w:ascii="Calibri" w:hAnsi="Calibri"/>
                <w:color w:val="282828"/>
                <w:sz w:val="17"/>
              </w:rPr>
              <w:t xml:space="preserve"> (20.0%)</w:t>
            </w:r>
          </w:p>
        </w:tc>
        <w:tc>
          <w:tcPr>
            <w:tcW w:type="dxa" w:w="1872"/>
            <w:vAlign w:val="center"/>
            <w:tcMar>
              <w:top w:w="100" w:type="dxa"/>
              <w:bottom w:w="100" w:type="dxa"/>
              <w:left w:w="120" w:type="dxa"/>
              <w:right w:w="120" w:type="dxa"/>
            </w:tcMar>
            <w:shd w:fill="FFFFFF"/>
          </w:tcPr>
          <w:p>
            <w:pPr>
              <w:spacing w:before="40" w:after="40"/>
            </w:pPr>
            <w:r>
              <w:rPr>
                <w:rFonts w:ascii="Calibri" w:hAnsi="Calibri"/>
                <w:color w:val="282828"/>
                <w:sz w:val="17"/>
              </w:rPr>
              <w:t>-2 FP (-100.0%)</w:t>
            </w:r>
          </w:p>
        </w:tc>
      </w:tr>
      <w:tr>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False Negatives (FN)</w:t>
            </w:r>
          </w:p>
        </w:tc>
        <w:tc>
          <w:tcPr>
            <w:tcW w:type="dxa" w:w="1872"/>
            <w:vAlign w:val="center"/>
            <w:tcMar>
              <w:top w:w="100" w:type="dxa"/>
              <w:bottom w:w="100" w:type="dxa"/>
              <w:left w:w="120" w:type="dxa"/>
              <w:right w:w="120" w:type="dxa"/>
            </w:tcMar>
            <w:shd w:fill="F2F4F7"/>
          </w:tcPr>
          <w:p>
            <w:pPr>
              <w:spacing w:before="40" w:after="40"/>
            </w:pPr>
            <w:r>
              <w:rPr>
                <w:rFonts w:ascii="Calibri" w:hAnsi="Calibri"/>
                <w:color w:val="282828"/>
                <w:sz w:val="17"/>
              </w:rPr>
              <w:t>True vulnerabilities completely missed</w:t>
            </w:r>
          </w:p>
        </w:tc>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0</w:t>
            </w:r>
            <w:r>
              <w:rPr>
                <w:rFonts w:ascii="Calibri" w:hAnsi="Calibri"/>
                <w:color w:val="282828"/>
                <w:sz w:val="17"/>
              </w:rPr>
              <w:t xml:space="preserve"> (0.0%)</w:t>
            </w:r>
          </w:p>
        </w:tc>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5</w:t>
            </w:r>
            <w:r>
              <w:rPr>
                <w:rFonts w:ascii="Calibri" w:hAnsi="Calibri"/>
                <w:color w:val="282828"/>
                <w:sz w:val="17"/>
              </w:rPr>
              <w:t xml:space="preserve"> (50.0%)</w:t>
            </w:r>
          </w:p>
        </w:tc>
        <w:tc>
          <w:tcPr>
            <w:tcW w:type="dxa" w:w="1872"/>
            <w:vAlign w:val="center"/>
            <w:tcMar>
              <w:top w:w="100" w:type="dxa"/>
              <w:bottom w:w="100" w:type="dxa"/>
              <w:left w:w="120" w:type="dxa"/>
              <w:right w:w="120" w:type="dxa"/>
            </w:tcMar>
            <w:shd w:fill="F2F4F7"/>
          </w:tcPr>
          <w:p>
            <w:pPr>
              <w:spacing w:before="40" w:after="40"/>
            </w:pPr>
            <w:r>
              <w:rPr>
                <w:rFonts w:ascii="Calibri" w:hAnsi="Calibri"/>
                <w:color w:val="282828"/>
                <w:sz w:val="17"/>
              </w:rPr>
              <w:t>-5 FN (-100.0%)</w:t>
            </w:r>
          </w:p>
        </w:tc>
      </w:tr>
      <w:tr>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True Negatives (TN)</w:t>
            </w:r>
          </w:p>
        </w:tc>
        <w:tc>
          <w:tcPr>
            <w:tcW w:type="dxa" w:w="1872"/>
            <w:vAlign w:val="center"/>
            <w:tcMar>
              <w:top w:w="100" w:type="dxa"/>
              <w:bottom w:w="100" w:type="dxa"/>
              <w:left w:w="120" w:type="dxa"/>
              <w:right w:w="120" w:type="dxa"/>
            </w:tcMar>
            <w:shd w:fill="FFFFFF"/>
          </w:tcPr>
          <w:p>
            <w:pPr>
              <w:spacing w:before="40" w:after="40"/>
            </w:pPr>
            <w:r>
              <w:rPr>
                <w:rFonts w:ascii="Calibri" w:hAnsi="Calibri"/>
                <w:color w:val="282828"/>
                <w:sz w:val="17"/>
              </w:rPr>
              <w:t>Correctly ignored sanitized control endpoints</w:t>
            </w:r>
          </w:p>
        </w:tc>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10</w:t>
            </w:r>
            <w:r>
              <w:rPr>
                <w:rFonts w:ascii="Calibri" w:hAnsi="Calibri"/>
                <w:color w:val="282828"/>
                <w:sz w:val="17"/>
              </w:rPr>
              <w:t xml:space="preserve"> (100.0%)</w:t>
            </w:r>
          </w:p>
        </w:tc>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8</w:t>
            </w:r>
            <w:r>
              <w:rPr>
                <w:rFonts w:ascii="Calibri" w:hAnsi="Calibri"/>
                <w:color w:val="282828"/>
                <w:sz w:val="17"/>
              </w:rPr>
              <w:t xml:space="preserve"> (80.0%)</w:t>
            </w:r>
          </w:p>
        </w:tc>
        <w:tc>
          <w:tcPr>
            <w:tcW w:type="dxa" w:w="1872"/>
            <w:vAlign w:val="center"/>
            <w:tcMar>
              <w:top w:w="100" w:type="dxa"/>
              <w:bottom w:w="100" w:type="dxa"/>
              <w:left w:w="120" w:type="dxa"/>
              <w:right w:w="120" w:type="dxa"/>
            </w:tcMar>
            <w:shd w:fill="FFFFFF"/>
          </w:tcPr>
          <w:p>
            <w:pPr>
              <w:spacing w:before="40" w:after="40"/>
            </w:pPr>
            <w:r>
              <w:rPr>
                <w:rFonts w:ascii="Calibri" w:hAnsi="Calibri"/>
                <w:color w:val="282828"/>
                <w:sz w:val="17"/>
              </w:rPr>
              <w:t>+2 TN (+25.0%)</w:t>
            </w:r>
          </w:p>
        </w:tc>
      </w:tr>
      <w:tr>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Precision (PPV)</w:t>
            </w:r>
          </w:p>
        </w:tc>
        <w:tc>
          <w:tcPr>
            <w:tcW w:type="dxa" w:w="1872"/>
            <w:vAlign w:val="center"/>
            <w:tcMar>
              <w:top w:w="100" w:type="dxa"/>
              <w:bottom w:w="100" w:type="dxa"/>
              <w:left w:w="120" w:type="dxa"/>
              <w:right w:w="120" w:type="dxa"/>
            </w:tcMar>
            <w:shd w:fill="F2F4F7"/>
          </w:tcPr>
          <w:p>
            <w:pPr>
              <w:spacing w:before="40" w:after="40"/>
            </w:pPr>
            <w:r>
              <w:rPr>
                <w:rFonts w:ascii="Calibri" w:hAnsi="Calibri"/>
                <w:color w:val="282828"/>
                <w:sz w:val="17"/>
              </w:rPr>
              <w:t>$\frac{TP}{TP + FP}$</w:t>
            </w:r>
          </w:p>
        </w:tc>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100.00%</w:t>
            </w:r>
            <w:r>
              <w:rPr>
                <w:rFonts w:ascii="Calibri" w:hAnsi="Calibri"/>
                <w:color w:val="282828"/>
                <w:sz w:val="17"/>
              </w:rPr>
              <w:t xml:space="preserve"> (10/10)</w:t>
            </w:r>
          </w:p>
        </w:tc>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71.43%</w:t>
            </w:r>
            <w:r>
              <w:rPr>
                <w:rFonts w:ascii="Calibri" w:hAnsi="Calibri"/>
                <w:color w:val="282828"/>
                <w:sz w:val="17"/>
              </w:rPr>
              <w:t xml:space="preserve"> (5/7)</w:t>
            </w:r>
          </w:p>
        </w:tc>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+28.57%</w:t>
            </w:r>
          </w:p>
        </w:tc>
      </w:tr>
      <w:tr>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Recall / Sensitivity (TPR)</w:t>
            </w:r>
          </w:p>
        </w:tc>
        <w:tc>
          <w:tcPr>
            <w:tcW w:type="dxa" w:w="1872"/>
            <w:vAlign w:val="center"/>
            <w:tcMar>
              <w:top w:w="100" w:type="dxa"/>
              <w:bottom w:w="100" w:type="dxa"/>
              <w:left w:w="120" w:type="dxa"/>
              <w:right w:w="120" w:type="dxa"/>
            </w:tcMar>
            <w:shd w:fill="FFFFFF"/>
          </w:tcPr>
          <w:p>
            <w:pPr>
              <w:spacing w:before="40" w:after="40"/>
            </w:pPr>
            <w:r>
              <w:rPr>
                <w:rFonts w:ascii="Calibri" w:hAnsi="Calibri"/>
                <w:color w:val="282828"/>
                <w:sz w:val="17"/>
              </w:rPr>
              <w:t>$\frac{TP}{TP + FN}$</w:t>
            </w:r>
          </w:p>
        </w:tc>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100.00%</w:t>
            </w:r>
            <w:r>
              <w:rPr>
                <w:rFonts w:ascii="Calibri" w:hAnsi="Calibri"/>
                <w:color w:val="282828"/>
                <w:sz w:val="17"/>
              </w:rPr>
              <w:t xml:space="preserve"> (10/10)</w:t>
            </w:r>
          </w:p>
        </w:tc>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50.00%</w:t>
            </w:r>
            <w:r>
              <w:rPr>
                <w:rFonts w:ascii="Calibri" w:hAnsi="Calibri"/>
                <w:color w:val="282828"/>
                <w:sz w:val="17"/>
              </w:rPr>
              <w:t xml:space="preserve"> (5/10)</w:t>
            </w:r>
          </w:p>
        </w:tc>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+50.00%</w:t>
            </w:r>
          </w:p>
        </w:tc>
      </w:tr>
      <w:tr>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F1-Score</w:t>
            </w:r>
          </w:p>
        </w:tc>
        <w:tc>
          <w:tcPr>
            <w:tcW w:type="dxa" w:w="1872"/>
            <w:vAlign w:val="center"/>
            <w:tcMar>
              <w:top w:w="100" w:type="dxa"/>
              <w:bottom w:w="100" w:type="dxa"/>
              <w:left w:w="120" w:type="dxa"/>
              <w:right w:w="120" w:type="dxa"/>
            </w:tcMar>
            <w:shd w:fill="F2F4F7"/>
          </w:tcPr>
          <w:p>
            <w:pPr>
              <w:spacing w:before="40" w:after="40"/>
            </w:pPr>
            <w:r>
              <w:rPr>
                <w:rFonts w:ascii="Calibri" w:hAnsi="Calibri"/>
                <w:color w:val="282828"/>
                <w:sz w:val="17"/>
              </w:rPr>
              <w:t>$2 \times \frac{\text{Precision} \times \text{Recall}}{\text{Precision} + \text{Recall}}$</w:t>
            </w:r>
          </w:p>
        </w:tc>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100.00%</w:t>
            </w:r>
          </w:p>
        </w:tc>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58.82%</w:t>
            </w:r>
          </w:p>
        </w:tc>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+41.18%</w:t>
            </w:r>
          </w:p>
        </w:tc>
      </w:tr>
      <w:tr>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False Discovery Rate (FDR)</w:t>
            </w:r>
          </w:p>
        </w:tc>
        <w:tc>
          <w:tcPr>
            <w:tcW w:type="dxa" w:w="1872"/>
            <w:vAlign w:val="center"/>
            <w:tcMar>
              <w:top w:w="100" w:type="dxa"/>
              <w:bottom w:w="100" w:type="dxa"/>
              <w:left w:w="120" w:type="dxa"/>
              <w:right w:w="120" w:type="dxa"/>
            </w:tcMar>
            <w:shd w:fill="FFFFFF"/>
          </w:tcPr>
          <w:p>
            <w:pPr>
              <w:spacing w:before="40" w:after="40"/>
            </w:pPr>
            <w:r>
              <w:rPr>
                <w:rFonts w:ascii="Calibri" w:hAnsi="Calibri"/>
                <w:color w:val="282828"/>
                <w:sz w:val="17"/>
              </w:rPr>
              <w:t>$\frac{FP}{TP + FP}$</w:t>
            </w:r>
          </w:p>
        </w:tc>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0.00%</w:t>
            </w:r>
          </w:p>
        </w:tc>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28.57%</w:t>
            </w:r>
          </w:p>
        </w:tc>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-28.57%</w:t>
            </w:r>
          </w:p>
        </w:tc>
      </w:tr>
      <w:tr>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Total Test Execution Time</w:t>
            </w:r>
          </w:p>
        </w:tc>
        <w:tc>
          <w:tcPr>
            <w:tcW w:type="dxa" w:w="1872"/>
            <w:vAlign w:val="center"/>
            <w:tcMar>
              <w:top w:w="100" w:type="dxa"/>
              <w:bottom w:w="100" w:type="dxa"/>
              <w:left w:w="120" w:type="dxa"/>
              <w:right w:w="120" w:type="dxa"/>
            </w:tcMar>
            <w:shd w:fill="F2F4F7"/>
          </w:tcPr>
          <w:p>
            <w:pPr>
              <w:spacing w:before="40" w:after="40"/>
            </w:pPr>
            <w:r>
              <w:rPr>
                <w:rFonts w:ascii="Calibri" w:hAnsi="Calibri"/>
                <w:color w:val="282828"/>
                <w:sz w:val="17"/>
              </w:rPr>
              <w:t>Wall-clock benchmark duration</w:t>
            </w:r>
          </w:p>
        </w:tc>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0.26 seconds</w:t>
            </w:r>
          </w:p>
        </w:tc>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1,850.40 seconds</w:t>
            </w:r>
          </w:p>
        </w:tc>
        <w:tc>
          <w:tcPr>
            <w:tcW w:type="dxa" w:w="1872"/>
            <w:vAlign w:val="center"/>
            <w:tcMar>
              <w:top w:w="100" w:type="dxa"/>
              <w:bottom w:w="100" w:type="dxa"/>
              <w:left w:w="120" w:type="dxa"/>
              <w:right w:w="120" w:type="dxa"/>
            </w:tcMar>
            <w:shd w:fill="F2F4F7"/>
          </w:tcPr>
          <w:p>
            <w:pPr>
              <w:spacing w:before="40" w:after="40"/>
            </w:pPr>
            <w:r>
              <w:rPr>
                <w:rFonts w:ascii="Calibri" w:hAnsi="Calibri"/>
                <w:b/>
                <w:color w:val="282828"/>
                <w:sz w:val="17"/>
              </w:rPr>
              <w:t>7,116.9x speedup</w:t>
            </w:r>
          </w:p>
        </w:tc>
      </w:tr>
      <w:tr>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Total HTTP Requests Sent</w:t>
            </w:r>
          </w:p>
        </w:tc>
        <w:tc>
          <w:tcPr>
            <w:tcW w:type="dxa" w:w="1872"/>
            <w:vAlign w:val="center"/>
            <w:tcMar>
              <w:top w:w="100" w:type="dxa"/>
              <w:bottom w:w="100" w:type="dxa"/>
              <w:left w:w="120" w:type="dxa"/>
              <w:right w:w="120" w:type="dxa"/>
            </w:tcMar>
            <w:shd w:fill="FFFFFF"/>
          </w:tcPr>
          <w:p>
            <w:pPr>
              <w:spacing w:before="40" w:after="40"/>
            </w:pPr>
            <w:r>
              <w:rPr>
                <w:rFonts w:ascii="Calibri" w:hAnsi="Calibri"/>
                <w:color w:val="282828"/>
                <w:sz w:val="17"/>
              </w:rPr>
              <w:t>Total network traffic generated</w:t>
            </w:r>
          </w:p>
        </w:tc>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20 requests</w:t>
            </w:r>
          </w:p>
        </w:tc>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14,280 requests</w:t>
            </w:r>
          </w:p>
        </w:tc>
        <w:tc>
          <w:tcPr>
            <w:tcW w:type="dxa" w:w="1872"/>
            <w:vAlign w:val="center"/>
            <w:tcMar>
              <w:top w:w="100" w:type="dxa"/>
              <w:bottom w:w="100" w:type="dxa"/>
              <w:left w:w="120" w:type="dxa"/>
              <w:right w:w="120" w:type="dxa"/>
            </w:tcMar>
            <w:shd w:fill="FFFFFF"/>
          </w:tcPr>
          <w:p>
            <w:pPr>
              <w:spacing w:before="40" w:after="40"/>
            </w:pPr>
            <w:r>
              <w:rPr>
                <w:rFonts w:ascii="Calibri" w:hAnsi="Calibri"/>
                <w:b/>
                <w:color w:val="282828"/>
                <w:sz w:val="17"/>
              </w:rPr>
              <w:t>714.0x traffic reduction</w:t>
            </w:r>
          </w:p>
        </w:tc>
      </w:tr>
    </w:tbl>
    <w:p>
      <w:pPr>
        <w:spacing w:after="120"/>
      </w:pPr>
    </w:p>
    <w:p>
      <w:pPr>
        <w:spacing w:before="160" w:after="160"/>
        <w:jc w:val="center"/>
      </w:pPr>
      <w:r>
        <w:rPr>
          <w:color w:val="B4B4B4"/>
        </w:rPr>
        <w:t>――――――――――――――――――――――――――――――――――――――――</w:t>
      </w:r>
    </w:p>
    <w:p>
      <w:pPr>
        <w:spacing w:before="240" w:after="120"/>
      </w:pPr>
      <w:r>
        <w:rPr>
          <w:rFonts w:ascii="Calibri" w:hAnsi="Calibri"/>
          <w:b/>
          <w:color w:val="2E75B6"/>
          <w:sz w:val="26"/>
        </w:rPr>
        <w:t>Table E.3: Mean Time to Scan (MTTS) &amp; Request Latency Comparison by Microservice</w:t>
      </w:r>
    </w:p>
    <w:p>
      <w:pPr>
        <w:spacing w:before="0" w:after="120" w:line="276" w:lineRule="auto"/>
      </w:pPr>
      <w:r>
        <w:rPr>
          <w:rFonts w:ascii="Calibri" w:hAnsi="Calibri"/>
          <w:b w:val="0"/>
          <w:i w:val="0"/>
          <w:color w:val="323232"/>
          <w:sz w:val="22"/>
        </w:rPr>
        <w:t>Table E.3 breaks down the execution performance and overhead of Aegis IAST across each individual Online Boutique microservice, demonstrating consistent sub-30 ms response times across distributed architectures.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Microservice Identifier</w:t>
            </w:r>
          </w:p>
        </w:tc>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Evaluated Ports</w:t>
            </w:r>
          </w:p>
        </w:tc>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Evaluated Cases</w:t>
            </w:r>
          </w:p>
        </w:tc>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Aegis IAST Mean Latency per Request (ms)</w:t>
            </w:r>
          </w:p>
        </w:tc>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Aegis IAST Total Service MTTS (s)</w:t>
            </w:r>
          </w:p>
        </w:tc>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OWASP ZAP DAST Service MTTS (s)</w:t>
            </w:r>
          </w:p>
        </w:tc>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Empirical Speedup Factor</w:t>
            </w:r>
          </w:p>
        </w:tc>
        <w:tc>
          <w:tcPr>
            <w:tcW w:type="dxa" w:w="1170"/>
            <w:vAlign w:val="center"/>
            <w:tcMar>
              <w:top w:w="100" w:type="dxa"/>
              <w:bottom w:w="100" w:type="dxa"/>
              <w:left w:w="120" w:type="dxa"/>
              <w:right w:w="120" w:type="dxa"/>
            </w:tcMar>
            <w:shd w:fill="1F4E78"/>
          </w:tcPr>
          <w:p>
            <w:pPr>
              <w:spacing w:before="40" w:after="40"/>
            </w:pPr>
            <w:r>
              <w:rPr>
                <w:rFonts w:ascii="Calibri" w:hAnsi="Calibri"/>
                <w:b/>
                <w:color w:val="FFFFFF"/>
                <w:sz w:val="18"/>
              </w:rPr>
              <w:t>Primary Black-Box DAST Scanning Bottleneck</w:t>
            </w:r>
          </w:p>
        </w:tc>
      </w:tr>
      <w:tr>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Recommendation Service</w:t>
            </w:r>
          </w:p>
        </w:tc>
        <w:tc>
          <w:tcPr>
            <w:tcW w:type="dxa" w:w="1170"/>
            <w:vAlign w:val="center"/>
            <w:tcMar>
              <w:top w:w="100" w:type="dxa"/>
              <w:bottom w:w="100" w:type="dxa"/>
              <w:left w:w="120" w:type="dxa"/>
              <w:right w:w="120" w:type="dxa"/>
            </w:tcMar>
            <w:shd w:fill="F2F4F7"/>
          </w:tcPr>
          <w:p>
            <w:pPr>
              <w:spacing w:before="40" w:after="40"/>
            </w:pPr>
            <w:r>
              <w:rPr>
                <w:rFonts w:ascii="Consolas" w:hAnsi="Consolas"/>
                <w:color w:val="282828"/>
                <w:sz w:val="17"/>
              </w:rPr>
              <w:t>:8092</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4 (2 vuln, 2 benign)</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29.24 ms</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0.058 s</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382.4 s</w:t>
            </w:r>
          </w:p>
        </w:tc>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6,593.1x</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Multi-vector SQL fuzzing and path traversal dictionary scanning</w:t>
            </w:r>
          </w:p>
        </w:tc>
      </w:tr>
      <w:tr>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Email Service</w:t>
            </w:r>
          </w:p>
        </w:tc>
        <w:tc>
          <w:tcPr>
            <w:tcW w:type="dxa" w:w="1170"/>
            <w:vAlign w:val="center"/>
            <w:tcMar>
              <w:top w:w="100" w:type="dxa"/>
              <w:bottom w:w="100" w:type="dxa"/>
              <w:left w:w="120" w:type="dxa"/>
              <w:right w:w="120" w:type="dxa"/>
            </w:tcMar>
            <w:shd w:fill="FFFFFF"/>
          </w:tcPr>
          <w:p>
            <w:pPr>
              <w:spacing w:before="40" w:after="40"/>
            </w:pPr>
            <w:r>
              <w:rPr>
                <w:rFonts w:ascii="Consolas" w:hAnsi="Consolas"/>
                <w:color w:val="282828"/>
                <w:sz w:val="17"/>
              </w:rPr>
              <w:t>:8093</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4 (2 vuln, 2 benign)</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13.66 ms</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0.055 s</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365.1 s</w:t>
            </w:r>
          </w:p>
        </w:tc>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6,638.2x</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XML parser mutation payloads and out-of-band listener polling</w:t>
            </w:r>
          </w:p>
        </w:tc>
      </w:tr>
      <w:tr>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Ad Service</w:t>
            </w:r>
          </w:p>
        </w:tc>
        <w:tc>
          <w:tcPr>
            <w:tcW w:type="dxa" w:w="1170"/>
            <w:vAlign w:val="center"/>
            <w:tcMar>
              <w:top w:w="100" w:type="dxa"/>
              <w:bottom w:w="100" w:type="dxa"/>
              <w:left w:w="120" w:type="dxa"/>
              <w:right w:w="120" w:type="dxa"/>
            </w:tcMar>
            <w:shd w:fill="F2F4F7"/>
          </w:tcPr>
          <w:p>
            <w:pPr>
              <w:spacing w:before="40" w:after="40"/>
            </w:pPr>
            <w:r>
              <w:rPr>
                <w:rFonts w:ascii="Consolas" w:hAnsi="Consolas"/>
                <w:color w:val="282828"/>
                <w:sz w:val="17"/>
              </w:rPr>
              <w:t>:8094</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4 (2 vuln, 2 benign)</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12.88 ms</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0.052 s</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354.8 s</w:t>
            </w:r>
          </w:p>
        </w:tc>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6,823.1x</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Command injection sleep payload delays (</w:t>
            </w:r>
            <w:r>
              <w:rPr>
                <w:rFonts w:ascii="Consolas" w:hAnsi="Consolas"/>
                <w:color w:val="282828"/>
                <w:sz w:val="17"/>
              </w:rPr>
              <w:t>sleep 5</w:t>
            </w:r>
            <w:r>
              <w:rPr>
                <w:rFonts w:ascii="Calibri" w:hAnsi="Calibri"/>
                <w:color w:val="282828"/>
                <w:sz w:val="17"/>
              </w:rPr>
              <w:t>) and DOM analysis</w:t>
            </w:r>
          </w:p>
        </w:tc>
      </w:tr>
      <w:tr>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Currency Service</w:t>
            </w:r>
          </w:p>
        </w:tc>
        <w:tc>
          <w:tcPr>
            <w:tcW w:type="dxa" w:w="1170"/>
            <w:vAlign w:val="center"/>
            <w:tcMar>
              <w:top w:w="100" w:type="dxa"/>
              <w:bottom w:w="100" w:type="dxa"/>
              <w:left w:w="120" w:type="dxa"/>
              <w:right w:w="120" w:type="dxa"/>
            </w:tcMar>
            <w:shd w:fill="FFFFFF"/>
          </w:tcPr>
          <w:p>
            <w:pPr>
              <w:spacing w:before="40" w:after="40"/>
            </w:pPr>
            <w:r>
              <w:rPr>
                <w:rFonts w:ascii="Consolas" w:hAnsi="Consolas"/>
                <w:color w:val="282828"/>
                <w:sz w:val="17"/>
              </w:rPr>
              <w:t>:8095</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4 (2 vuln, 2 benign)</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14.51 ms</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0.048 s</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368.5 s</w:t>
            </w:r>
          </w:p>
        </w:tc>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7,677.1x</w:t>
            </w:r>
          </w:p>
        </w:tc>
        <w:tc>
          <w:tcPr>
            <w:tcW w:type="dxa" w:w="1170"/>
            <w:vAlign w:val="center"/>
            <w:tcMar>
              <w:top w:w="100" w:type="dxa"/>
              <w:bottom w:w="100" w:type="dxa"/>
              <w:left w:w="120" w:type="dxa"/>
              <w:right w:w="120" w:type="dxa"/>
            </w:tcMar>
            <w:shd w:fill="FFFFFF"/>
          </w:tcPr>
          <w:p>
            <w:pPr>
              <w:spacing w:before="40" w:after="40"/>
            </w:pPr>
            <w:r>
              <w:rPr>
                <w:rFonts w:ascii="Calibri" w:hAnsi="Calibri"/>
                <w:color w:val="282828"/>
                <w:sz w:val="17"/>
              </w:rPr>
              <w:t>Network socket timeouts on internal cloud metadata ranges (169.254.x)</w:t>
            </w:r>
          </w:p>
        </w:tc>
      </w:tr>
      <w:tr>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Frontend Storefront</w:t>
            </w:r>
          </w:p>
        </w:tc>
        <w:tc>
          <w:tcPr>
            <w:tcW w:type="dxa" w:w="1170"/>
            <w:vAlign w:val="center"/>
            <w:tcMar>
              <w:top w:w="100" w:type="dxa"/>
              <w:bottom w:w="100" w:type="dxa"/>
              <w:left w:w="120" w:type="dxa"/>
              <w:right w:w="120" w:type="dxa"/>
            </w:tcMar>
            <w:shd w:fill="F2F4F7"/>
          </w:tcPr>
          <w:p>
            <w:pPr>
              <w:spacing w:before="40" w:after="40"/>
            </w:pPr>
            <w:r>
              <w:rPr>
                <w:rFonts w:ascii="Consolas" w:hAnsi="Consolas"/>
                <w:color w:val="282828"/>
                <w:sz w:val="17"/>
              </w:rPr>
              <w:t>:8091</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4 (2 vuln, 2 benign)</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23.97 ms</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0.047 s</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379.6 s</w:t>
            </w:r>
          </w:p>
        </w:tc>
        <w:tc>
          <w:tcPr>
            <w:tcW w:type="dxa" w:w="1170"/>
            <w:vAlign w:val="center"/>
            <w:tcMar>
              <w:top w:w="100" w:type="dxa"/>
              <w:bottom w:w="100" w:type="dxa"/>
              <w:left w:w="120" w:type="dxa"/>
              <w:right w:w="120" w:type="dxa"/>
            </w:tcMar>
            <w:shd w:fill="F2F4F7"/>
          </w:tcPr>
          <w:p>
            <w:pPr>
              <w:spacing w:before="40" w:after="40"/>
            </w:pPr>
            <w:r>
              <w:rPr>
                <w:rFonts w:ascii="Calibri" w:hAnsi="Calibri"/>
                <w:b/>
                <w:color w:val="282828"/>
                <w:sz w:val="17"/>
              </w:rPr>
              <w:t>8,076.6x</w:t>
            </w:r>
          </w:p>
        </w:tc>
        <w:tc>
          <w:tcPr>
            <w:tcW w:type="dxa" w:w="1170"/>
            <w:vAlign w:val="center"/>
            <w:tcMar>
              <w:top w:w="100" w:type="dxa"/>
              <w:bottom w:w="100" w:type="dxa"/>
              <w:left w:w="120" w:type="dxa"/>
              <w:right w:w="120" w:type="dxa"/>
            </w:tcMar>
            <w:shd w:fill="F2F4F7"/>
          </w:tcPr>
          <w:p>
            <w:pPr>
              <w:spacing w:before="40" w:after="40"/>
            </w:pPr>
            <w:r>
              <w:rPr>
                <w:rFonts w:ascii="Calibri" w:hAnsi="Calibri"/>
                <w:color w:val="282828"/>
                <w:sz w:val="17"/>
              </w:rPr>
              <w:t>Binary payload serialization fuzzing and redirect chain tracking</w:t>
            </w:r>
          </w:p>
        </w:tc>
      </w:tr>
      <w:tr>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Microservices Suite Total / Mean</w:t>
            </w:r>
          </w:p>
        </w:tc>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5 Services</w:t>
            </w:r>
          </w:p>
        </w:tc>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20 Cases</w:t>
            </w:r>
          </w:p>
        </w:tc>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13.23 ms</w:t>
            </w:r>
          </w:p>
        </w:tc>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0.260 s</w:t>
            </w:r>
          </w:p>
        </w:tc>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1,850.4 s</w:t>
            </w:r>
          </w:p>
        </w:tc>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7,116.9x</w:t>
            </w:r>
          </w:p>
        </w:tc>
        <w:tc>
          <w:tcPr>
            <w:tcW w:type="dxa" w:w="1170"/>
            <w:vAlign w:val="center"/>
            <w:tcMar>
              <w:top w:w="100" w:type="dxa"/>
              <w:bottom w:w="100" w:type="dxa"/>
              <w:left w:w="120" w:type="dxa"/>
              <w:right w:w="120" w:type="dxa"/>
            </w:tcMar>
            <w:shd w:fill="FFFFFF"/>
          </w:tcPr>
          <w:p>
            <w:pPr>
              <w:spacing w:before="40" w:after="40"/>
            </w:pPr>
            <w:r>
              <w:rPr>
                <w:rFonts w:ascii="Calibri" w:hAnsi="Calibri"/>
                <w:b/>
                <w:color w:val="282828"/>
                <w:sz w:val="17"/>
              </w:rPr>
              <w:t>14,280 brute-force HTTP requests, socket timeouts, and sleep delays</w:t>
            </w:r>
          </w:p>
        </w:tc>
      </w:tr>
    </w:tbl>
    <w:p>
      <w:pPr>
        <w:spacing w:after="120"/>
      </w:pPr>
    </w:p>
    <w:p>
      <w:pPr>
        <w:spacing w:before="160" w:after="160"/>
        <w:jc w:val="center"/>
      </w:pPr>
      <w:r>
        <w:rPr>
          <w:color w:val="B4B4B4"/>
        </w:rPr>
        <w:t>――――――――――――――――――――――――――――――――――――――――</w:t>
      </w:r>
    </w:p>
    <w:p>
      <w:pPr>
        <w:spacing w:before="240" w:after="120"/>
      </w:pPr>
      <w:r>
        <w:rPr>
          <w:rFonts w:ascii="Calibri" w:hAnsi="Calibri"/>
          <w:b/>
          <w:color w:val="2E75B6"/>
          <w:sz w:val="26"/>
        </w:rPr>
        <w:t>Table E.4: Active Defense &amp; Response (ADR) Exploit Prevention Telemetry</w:t>
      </w:r>
    </w:p>
    <w:p>
      <w:pPr>
        <w:spacing w:before="0" w:after="120" w:line="276" w:lineRule="auto"/>
      </w:pPr>
      <w:r>
        <w:rPr>
          <w:rFonts w:ascii="Calibri" w:hAnsi="Calibri"/>
          <w:b w:val="0"/>
          <w:i w:val="0"/>
          <w:color w:val="323232"/>
          <w:sz w:val="22"/>
        </w:rPr>
        <w:t xml:space="preserve">When configured in </w:t>
      </w:r>
      <w:r>
        <w:rPr>
          <w:rFonts w:ascii="Consolas" w:hAnsi="Consolas"/>
          <w:color w:val="B42828"/>
          <w:sz w:val="20"/>
        </w:rPr>
        <w:t>BLOCK</w:t>
      </w:r>
      <w:r>
        <w:rPr>
          <w:rFonts w:ascii="Calibri" w:hAnsi="Calibri"/>
          <w:b w:val="0"/>
          <w:i w:val="0"/>
          <w:color w:val="323232"/>
          <w:sz w:val="22"/>
        </w:rPr>
        <w:t xml:space="preserve"> mode, Aegis IAST evaluates incoming tainted data at the boundary of sensitive sinks. If an unsanitized exploit payload reaches a sensitive sink, execution is halted immediately before the native runtime function is invoked. Table E.4 documents the prevention telemetry recorded across all 10 vulnerability exploits in Google Online Boutique.</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Mar>
              <w:top w:w="100" w:type="dxa"/>
              <w:bottom w:w="100" w:type="dxa"/>
              <w:left w:w="120" w:type="dxa"/>
              <w:right w:w="120" w:type="dxa"/>
            </w:tcMar>
            <w:shd w:fill="1F4E78"/>
          </w:tcPr>
          <w:p>
            <w:pPr>
              <w:spacing w:before="40" w:after="40"/>
            </w:pPr>
            <w:r>
              <w:rPr>
                <w:rFonts w:ascii="Calibri" w:hAnsi="Calibri"/>
                <w:b/>
                <w:color w:val="FFFFFF"/>
                <w:sz w:val="18"/>
              </w:rPr>
              <w:t>Incident ID</w:t>
            </w:r>
          </w:p>
        </w:tc>
        <w:tc>
          <w:tcPr>
            <w:tcW w:type="dxa" w:w="1040"/>
            <w:vAlign w:val="center"/>
            <w:tcMar>
              <w:top w:w="100" w:type="dxa"/>
              <w:bottom w:w="100" w:type="dxa"/>
              <w:left w:w="120" w:type="dxa"/>
              <w:right w:w="120" w:type="dxa"/>
            </w:tcMar>
            <w:shd w:fill="1F4E78"/>
          </w:tcPr>
          <w:p>
            <w:pPr>
              <w:spacing w:before="40" w:after="40"/>
            </w:pPr>
            <w:r>
              <w:rPr>
                <w:rFonts w:ascii="Calibri" w:hAnsi="Calibri"/>
                <w:b/>
                <w:color w:val="FFFFFF"/>
                <w:sz w:val="18"/>
              </w:rPr>
              <w:t>Target Microservice</w:t>
            </w:r>
          </w:p>
        </w:tc>
        <w:tc>
          <w:tcPr>
            <w:tcW w:type="dxa" w:w="1040"/>
            <w:vAlign w:val="center"/>
            <w:tcMar>
              <w:top w:w="100" w:type="dxa"/>
              <w:bottom w:w="100" w:type="dxa"/>
              <w:left w:w="120" w:type="dxa"/>
              <w:right w:w="120" w:type="dxa"/>
            </w:tcMar>
            <w:shd w:fill="1F4E78"/>
          </w:tcPr>
          <w:p>
            <w:pPr>
              <w:spacing w:before="40" w:after="40"/>
            </w:pPr>
            <w:r>
              <w:rPr>
                <w:rFonts w:ascii="Calibri" w:hAnsi="Calibri"/>
                <w:b/>
                <w:color w:val="FFFFFF"/>
                <w:sz w:val="18"/>
              </w:rPr>
              <w:t>Intercepted Sensitive Sink</w:t>
            </w:r>
          </w:p>
        </w:tc>
        <w:tc>
          <w:tcPr>
            <w:tcW w:type="dxa" w:w="1040"/>
            <w:vAlign w:val="center"/>
            <w:tcMar>
              <w:top w:w="100" w:type="dxa"/>
              <w:bottom w:w="100" w:type="dxa"/>
              <w:left w:w="120" w:type="dxa"/>
              <w:right w:w="120" w:type="dxa"/>
            </w:tcMar>
            <w:shd w:fill="1F4E78"/>
          </w:tcPr>
          <w:p>
            <w:pPr>
              <w:spacing w:before="40" w:after="40"/>
            </w:pPr>
            <w:r>
              <w:rPr>
                <w:rFonts w:ascii="Calibri" w:hAnsi="Calibri"/>
                <w:b/>
                <w:color w:val="FFFFFF"/>
                <w:sz w:val="18"/>
              </w:rPr>
              <w:t>Injected Exploit Vector</w:t>
            </w:r>
          </w:p>
        </w:tc>
        <w:tc>
          <w:tcPr>
            <w:tcW w:type="dxa" w:w="1040"/>
            <w:vAlign w:val="center"/>
            <w:tcMar>
              <w:top w:w="100" w:type="dxa"/>
              <w:bottom w:w="100" w:type="dxa"/>
              <w:left w:w="120" w:type="dxa"/>
              <w:right w:w="120" w:type="dxa"/>
            </w:tcMar>
            <w:shd w:fill="1F4E78"/>
          </w:tcPr>
          <w:p>
            <w:pPr>
              <w:spacing w:before="40" w:after="40"/>
            </w:pPr>
            <w:r>
              <w:rPr>
                <w:rFonts w:ascii="Calibri" w:hAnsi="Calibri"/>
                <w:b/>
                <w:color w:val="FFFFFF"/>
                <w:sz w:val="18"/>
              </w:rPr>
              <w:t>ADR Action</w:t>
            </w:r>
          </w:p>
        </w:tc>
        <w:tc>
          <w:tcPr>
            <w:tcW w:type="dxa" w:w="1040"/>
            <w:vAlign w:val="center"/>
            <w:tcMar>
              <w:top w:w="100" w:type="dxa"/>
              <w:bottom w:w="100" w:type="dxa"/>
              <w:left w:w="120" w:type="dxa"/>
              <w:right w:w="120" w:type="dxa"/>
            </w:tcMar>
            <w:shd w:fill="1F4E78"/>
          </w:tcPr>
          <w:p>
            <w:pPr>
              <w:spacing w:before="40" w:after="40"/>
            </w:pPr>
            <w:r>
              <w:rPr>
                <w:rFonts w:ascii="Calibri" w:hAnsi="Calibri"/>
                <w:b/>
                <w:color w:val="FFFFFF"/>
                <w:sz w:val="18"/>
              </w:rPr>
              <w:t>Interception Latency</w:t>
            </w:r>
          </w:p>
        </w:tc>
        <w:tc>
          <w:tcPr>
            <w:tcW w:type="dxa" w:w="1040"/>
            <w:vAlign w:val="center"/>
            <w:tcMar>
              <w:top w:w="100" w:type="dxa"/>
              <w:bottom w:w="100" w:type="dxa"/>
              <w:left w:w="120" w:type="dxa"/>
              <w:right w:w="120" w:type="dxa"/>
            </w:tcMar>
            <w:shd w:fill="1F4E78"/>
          </w:tcPr>
          <w:p>
            <w:pPr>
              <w:spacing w:before="40" w:after="40"/>
            </w:pPr>
            <w:r>
              <w:rPr>
                <w:rFonts w:ascii="Calibri" w:hAnsi="Calibri"/>
                <w:b/>
                <w:color w:val="FFFFFF"/>
                <w:sz w:val="18"/>
              </w:rPr>
              <w:t>Returned HTTP Status</w:t>
            </w:r>
          </w:p>
        </w:tc>
        <w:tc>
          <w:tcPr>
            <w:tcW w:type="dxa" w:w="1040"/>
            <w:vAlign w:val="center"/>
            <w:tcMar>
              <w:top w:w="100" w:type="dxa"/>
              <w:bottom w:w="100" w:type="dxa"/>
              <w:left w:w="120" w:type="dxa"/>
              <w:right w:w="120" w:type="dxa"/>
            </w:tcMar>
            <w:shd w:fill="1F4E78"/>
          </w:tcPr>
          <w:p>
            <w:pPr>
              <w:spacing w:before="40" w:after="40"/>
            </w:pPr>
            <w:r>
              <w:rPr>
                <w:rFonts w:ascii="Calibri" w:hAnsi="Calibri"/>
                <w:b/>
                <w:color w:val="FFFFFF"/>
                <w:sz w:val="18"/>
              </w:rPr>
              <w:t>RFC 9457 Problem Detail Summary</w:t>
            </w:r>
          </w:p>
        </w:tc>
        <w:tc>
          <w:tcPr>
            <w:tcW w:type="dxa" w:w="1040"/>
            <w:vAlign w:val="center"/>
            <w:tcMar>
              <w:top w:w="100" w:type="dxa"/>
              <w:bottom w:w="100" w:type="dxa"/>
              <w:left w:w="120" w:type="dxa"/>
              <w:right w:w="120" w:type="dxa"/>
            </w:tcMar>
            <w:shd w:fill="1F4E78"/>
          </w:tcPr>
          <w:p>
            <w:pPr>
              <w:spacing w:before="40" w:after="40"/>
            </w:pPr>
            <w:r>
              <w:rPr>
                <w:rFonts w:ascii="Calibri" w:hAnsi="Calibri"/>
                <w:b/>
                <w:color w:val="FFFFFF"/>
                <w:sz w:val="18"/>
              </w:rPr>
              <w:t>Target Sink State</w:t>
            </w:r>
          </w:p>
        </w:tc>
      </w:tr>
      <w:tr>
        <w:tc>
          <w:tcPr>
            <w:tcW w:type="dxa" w:w="1040"/>
            <w:vAlign w:val="center"/>
            <w:tcMar>
              <w:top w:w="100" w:type="dxa"/>
              <w:bottom w:w="100" w:type="dxa"/>
              <w:left w:w="120" w:type="dxa"/>
              <w:right w:w="120" w:type="dxa"/>
            </w:tcMar>
            <w:shd w:fill="F2F4F7"/>
          </w:tcPr>
          <w:p>
            <w:pPr>
              <w:spacing w:before="40" w:after="40"/>
            </w:pPr>
            <w:r>
              <w:rPr>
                <w:rFonts w:ascii="Calibri" w:hAnsi="Calibri"/>
                <w:b/>
                <w:color w:val="282828"/>
                <w:sz w:val="17"/>
              </w:rPr>
              <w:t>INC-OB-01</w:t>
            </w:r>
          </w:p>
        </w:tc>
        <w:tc>
          <w:tcPr>
            <w:tcW w:type="dxa" w:w="1040"/>
            <w:vAlign w:val="center"/>
            <w:tcMar>
              <w:top w:w="100" w:type="dxa"/>
              <w:bottom w:w="100" w:type="dxa"/>
              <w:left w:w="120" w:type="dxa"/>
              <w:right w:w="120" w:type="dxa"/>
            </w:tcMar>
            <w:shd w:fill="F2F4F7"/>
          </w:tcPr>
          <w:p>
            <w:pPr>
              <w:spacing w:before="40" w:after="40"/>
            </w:pPr>
            <w:r>
              <w:rPr>
                <w:rFonts w:ascii="Consolas" w:hAnsi="Consolas"/>
                <w:color w:val="282828"/>
                <w:sz w:val="17"/>
              </w:rPr>
              <w:t>recommendation_svc</w:t>
            </w:r>
          </w:p>
        </w:tc>
        <w:tc>
          <w:tcPr>
            <w:tcW w:type="dxa" w:w="1040"/>
            <w:vAlign w:val="center"/>
            <w:tcMar>
              <w:top w:w="100" w:type="dxa"/>
              <w:bottom w:w="100" w:type="dxa"/>
              <w:left w:w="120" w:type="dxa"/>
              <w:right w:w="120" w:type="dxa"/>
            </w:tcMar>
            <w:shd w:fill="F2F4F7"/>
          </w:tcPr>
          <w:p>
            <w:pPr>
              <w:spacing w:before="40" w:after="40"/>
            </w:pPr>
            <w:r>
              <w:rPr>
                <w:rFonts w:ascii="Consolas" w:hAnsi="Consolas"/>
                <w:color w:val="282828"/>
                <w:sz w:val="17"/>
              </w:rPr>
              <w:t>sqlite3.execute</w:t>
            </w:r>
          </w:p>
        </w:tc>
        <w:tc>
          <w:tcPr>
            <w:tcW w:type="dxa" w:w="1040"/>
            <w:vAlign w:val="center"/>
            <w:tcMar>
              <w:top w:w="100" w:type="dxa"/>
              <w:bottom w:w="100" w:type="dxa"/>
              <w:left w:w="120" w:type="dxa"/>
              <w:right w:w="120" w:type="dxa"/>
            </w:tcMar>
            <w:shd w:fill="F2F4F7"/>
          </w:tcPr>
          <w:p>
            <w:pPr>
              <w:spacing w:before="40" w:after="40"/>
            </w:pPr>
            <w:r>
              <w:rPr>
                <w:rFonts w:ascii="Consolas" w:hAnsi="Consolas"/>
                <w:color w:val="282828"/>
                <w:sz w:val="17"/>
              </w:rPr>
              <w:t>'vintage' OR '1'='1'</w:t>
            </w:r>
          </w:p>
        </w:tc>
        <w:tc>
          <w:tcPr>
            <w:tcW w:type="dxa" w:w="1040"/>
            <w:vAlign w:val="center"/>
            <w:tcMar>
              <w:top w:w="100" w:type="dxa"/>
              <w:bottom w:w="100" w:type="dxa"/>
              <w:left w:w="120" w:type="dxa"/>
              <w:right w:w="120" w:type="dxa"/>
            </w:tcMar>
            <w:shd w:fill="F2F4F7"/>
          </w:tcPr>
          <w:p>
            <w:pPr>
              <w:spacing w:before="40" w:after="40"/>
            </w:pPr>
            <w:r>
              <w:rPr>
                <w:rFonts w:ascii="Calibri" w:hAnsi="Calibri"/>
                <w:b/>
                <w:color w:val="282828"/>
                <w:sz w:val="17"/>
              </w:rPr>
              <w:t>BLOCKED</w:t>
            </w:r>
          </w:p>
        </w:tc>
        <w:tc>
          <w:tcPr>
            <w:tcW w:type="dxa" w:w="1040"/>
            <w:vAlign w:val="center"/>
            <w:tcMar>
              <w:top w:w="100" w:type="dxa"/>
              <w:bottom w:w="100" w:type="dxa"/>
              <w:left w:w="120" w:type="dxa"/>
              <w:right w:w="120" w:type="dxa"/>
            </w:tcMar>
            <w:shd w:fill="F2F4F7"/>
          </w:tcPr>
          <w:p>
            <w:pPr>
              <w:spacing w:before="40" w:after="40"/>
            </w:pPr>
            <w:r>
              <w:rPr>
                <w:rFonts w:ascii="Calibri" w:hAnsi="Calibri"/>
                <w:color w:val="282828"/>
                <w:sz w:val="17"/>
              </w:rPr>
              <w:t>0.48 ms</w:t>
            </w:r>
          </w:p>
        </w:tc>
        <w:tc>
          <w:tcPr>
            <w:tcW w:type="dxa" w:w="1040"/>
            <w:vAlign w:val="center"/>
            <w:tcMar>
              <w:top w:w="100" w:type="dxa"/>
              <w:bottom w:w="100" w:type="dxa"/>
              <w:left w:w="120" w:type="dxa"/>
              <w:right w:w="120" w:type="dxa"/>
            </w:tcMar>
            <w:shd w:fill="F2F4F7"/>
          </w:tcPr>
          <w:p>
            <w:pPr>
              <w:spacing w:before="40" w:after="40"/>
            </w:pPr>
            <w:r>
              <w:rPr>
                <w:rFonts w:ascii="Calibri" w:hAnsi="Calibri"/>
                <w:b/>
                <w:color w:val="282828"/>
                <w:sz w:val="17"/>
              </w:rPr>
              <w:t>403 Forbidden</w:t>
            </w:r>
          </w:p>
        </w:tc>
        <w:tc>
          <w:tcPr>
            <w:tcW w:type="dxa" w:w="1040"/>
            <w:vAlign w:val="center"/>
            <w:tcMar>
              <w:top w:w="100" w:type="dxa"/>
              <w:bottom w:w="100" w:type="dxa"/>
              <w:left w:w="120" w:type="dxa"/>
              <w:right w:w="120" w:type="dxa"/>
            </w:tcMar>
            <w:shd w:fill="F2F4F7"/>
          </w:tcPr>
          <w:p>
            <w:pPr>
              <w:spacing w:before="40" w:after="40"/>
            </w:pPr>
            <w:r>
              <w:rPr>
                <w:rFonts w:ascii="Calibri" w:hAnsi="Calibri"/>
                <w:color w:val="282828"/>
                <w:sz w:val="17"/>
              </w:rPr>
              <w:t>SQL Injection syntax halted before database execution</w:t>
            </w:r>
          </w:p>
        </w:tc>
        <w:tc>
          <w:tcPr>
            <w:tcW w:type="dxa" w:w="1040"/>
            <w:vAlign w:val="center"/>
            <w:tcMar>
              <w:top w:w="100" w:type="dxa"/>
              <w:bottom w:w="100" w:type="dxa"/>
              <w:left w:w="120" w:type="dxa"/>
              <w:right w:w="120" w:type="dxa"/>
            </w:tcMar>
            <w:shd w:fill="F2F4F7"/>
          </w:tcPr>
          <w:p>
            <w:pPr>
              <w:spacing w:before="40" w:after="40"/>
            </w:pPr>
            <w:r>
              <w:rPr>
                <w:rFonts w:ascii="Calibri" w:hAnsi="Calibri"/>
                <w:b/>
                <w:color w:val="282828"/>
                <w:sz w:val="17"/>
              </w:rPr>
              <w:t>Unexecuted</w:t>
            </w:r>
          </w:p>
        </w:tc>
      </w:tr>
      <w:tr>
        <w:tc>
          <w:tcPr>
            <w:tcW w:type="dxa" w:w="1040"/>
            <w:vAlign w:val="center"/>
            <w:tcMar>
              <w:top w:w="100" w:type="dxa"/>
              <w:bottom w:w="100" w:type="dxa"/>
              <w:left w:w="120" w:type="dxa"/>
              <w:right w:w="120" w:type="dxa"/>
            </w:tcMar>
            <w:shd w:fill="FFFFFF"/>
          </w:tcPr>
          <w:p>
            <w:pPr>
              <w:spacing w:before="40" w:after="40"/>
            </w:pPr>
            <w:r>
              <w:rPr>
                <w:rFonts w:ascii="Calibri" w:hAnsi="Calibri"/>
                <w:b/>
                <w:color w:val="282828"/>
                <w:sz w:val="17"/>
              </w:rPr>
              <w:t>INC-OB-02</w:t>
            </w:r>
          </w:p>
        </w:tc>
        <w:tc>
          <w:tcPr>
            <w:tcW w:type="dxa" w:w="1040"/>
            <w:vAlign w:val="center"/>
            <w:tcMar>
              <w:top w:w="100" w:type="dxa"/>
              <w:bottom w:w="100" w:type="dxa"/>
              <w:left w:w="120" w:type="dxa"/>
              <w:right w:w="120" w:type="dxa"/>
            </w:tcMar>
            <w:shd w:fill="FFFFFF"/>
          </w:tcPr>
          <w:p>
            <w:pPr>
              <w:spacing w:before="40" w:after="40"/>
            </w:pPr>
            <w:r>
              <w:rPr>
                <w:rFonts w:ascii="Consolas" w:hAnsi="Consolas"/>
                <w:color w:val="282828"/>
                <w:sz w:val="17"/>
              </w:rPr>
              <w:t>recommendation_svc</w:t>
            </w:r>
          </w:p>
        </w:tc>
        <w:tc>
          <w:tcPr>
            <w:tcW w:type="dxa" w:w="1040"/>
            <w:vAlign w:val="center"/>
            <w:tcMar>
              <w:top w:w="100" w:type="dxa"/>
              <w:bottom w:w="100" w:type="dxa"/>
              <w:left w:w="120" w:type="dxa"/>
              <w:right w:w="120" w:type="dxa"/>
            </w:tcMar>
            <w:shd w:fill="FFFFFF"/>
          </w:tcPr>
          <w:p>
            <w:pPr>
              <w:spacing w:before="40" w:after="40"/>
            </w:pPr>
            <w:r>
              <w:rPr>
                <w:rFonts w:ascii="Consolas" w:hAnsi="Consolas"/>
                <w:color w:val="282828"/>
                <w:sz w:val="17"/>
              </w:rPr>
              <w:t>builtins.open</w:t>
            </w:r>
          </w:p>
        </w:tc>
        <w:tc>
          <w:tcPr>
            <w:tcW w:type="dxa" w:w="1040"/>
            <w:vAlign w:val="center"/>
            <w:tcMar>
              <w:top w:w="100" w:type="dxa"/>
              <w:bottom w:w="100" w:type="dxa"/>
              <w:left w:w="120" w:type="dxa"/>
              <w:right w:w="120" w:type="dxa"/>
            </w:tcMar>
            <w:shd w:fill="FFFFFF"/>
          </w:tcPr>
          <w:p>
            <w:pPr>
              <w:spacing w:before="40" w:after="40"/>
            </w:pPr>
            <w:r>
              <w:rPr>
                <w:rFonts w:ascii="Consolas" w:hAnsi="Consolas"/>
                <w:color w:val="282828"/>
                <w:sz w:val="17"/>
              </w:rPr>
              <w:t>../../../../etc/passwd</w:t>
            </w:r>
          </w:p>
        </w:tc>
        <w:tc>
          <w:tcPr>
            <w:tcW w:type="dxa" w:w="1040"/>
            <w:vAlign w:val="center"/>
            <w:tcMar>
              <w:top w:w="100" w:type="dxa"/>
              <w:bottom w:w="100" w:type="dxa"/>
              <w:left w:w="120" w:type="dxa"/>
              <w:right w:w="120" w:type="dxa"/>
            </w:tcMar>
            <w:shd w:fill="FFFFFF"/>
          </w:tcPr>
          <w:p>
            <w:pPr>
              <w:spacing w:before="40" w:after="40"/>
            </w:pPr>
            <w:r>
              <w:rPr>
                <w:rFonts w:ascii="Calibri" w:hAnsi="Calibri"/>
                <w:b/>
                <w:color w:val="282828"/>
                <w:sz w:val="17"/>
              </w:rPr>
              <w:t>BLOCKED</w:t>
            </w:r>
          </w:p>
        </w:tc>
        <w:tc>
          <w:tcPr>
            <w:tcW w:type="dxa" w:w="1040"/>
            <w:vAlign w:val="center"/>
            <w:tcMar>
              <w:top w:w="100" w:type="dxa"/>
              <w:bottom w:w="100" w:type="dxa"/>
              <w:left w:w="120" w:type="dxa"/>
              <w:right w:w="120" w:type="dxa"/>
            </w:tcMar>
            <w:shd w:fill="FFFFFF"/>
          </w:tcPr>
          <w:p>
            <w:pPr>
              <w:spacing w:before="40" w:after="40"/>
            </w:pPr>
            <w:r>
              <w:rPr>
                <w:rFonts w:ascii="Calibri" w:hAnsi="Calibri"/>
                <w:color w:val="282828"/>
                <w:sz w:val="17"/>
              </w:rPr>
              <w:t>0.32 ms</w:t>
            </w:r>
          </w:p>
        </w:tc>
        <w:tc>
          <w:tcPr>
            <w:tcW w:type="dxa" w:w="1040"/>
            <w:vAlign w:val="center"/>
            <w:tcMar>
              <w:top w:w="100" w:type="dxa"/>
              <w:bottom w:w="100" w:type="dxa"/>
              <w:left w:w="120" w:type="dxa"/>
              <w:right w:w="120" w:type="dxa"/>
            </w:tcMar>
            <w:shd w:fill="FFFFFF"/>
          </w:tcPr>
          <w:p>
            <w:pPr>
              <w:spacing w:before="40" w:after="40"/>
            </w:pPr>
            <w:r>
              <w:rPr>
                <w:rFonts w:ascii="Calibri" w:hAnsi="Calibri"/>
                <w:b/>
                <w:color w:val="282828"/>
                <w:sz w:val="17"/>
              </w:rPr>
              <w:t>403 Forbidden</w:t>
            </w:r>
          </w:p>
        </w:tc>
        <w:tc>
          <w:tcPr>
            <w:tcW w:type="dxa" w:w="1040"/>
            <w:vAlign w:val="center"/>
            <w:tcMar>
              <w:top w:w="100" w:type="dxa"/>
              <w:bottom w:w="100" w:type="dxa"/>
              <w:left w:w="120" w:type="dxa"/>
              <w:right w:w="120" w:type="dxa"/>
            </w:tcMar>
            <w:shd w:fill="FFFFFF"/>
          </w:tcPr>
          <w:p>
            <w:pPr>
              <w:spacing w:before="40" w:after="40"/>
            </w:pPr>
            <w:r>
              <w:rPr>
                <w:rFonts w:ascii="Calibri" w:hAnsi="Calibri"/>
                <w:color w:val="282828"/>
                <w:sz w:val="17"/>
              </w:rPr>
              <w:t>Path traversal sequence halted before filesystem access</w:t>
            </w:r>
          </w:p>
        </w:tc>
        <w:tc>
          <w:tcPr>
            <w:tcW w:type="dxa" w:w="1040"/>
            <w:vAlign w:val="center"/>
            <w:tcMar>
              <w:top w:w="100" w:type="dxa"/>
              <w:bottom w:w="100" w:type="dxa"/>
              <w:left w:w="120" w:type="dxa"/>
              <w:right w:w="120" w:type="dxa"/>
            </w:tcMar>
            <w:shd w:fill="FFFFFF"/>
          </w:tcPr>
          <w:p>
            <w:pPr>
              <w:spacing w:before="40" w:after="40"/>
            </w:pPr>
            <w:r>
              <w:rPr>
                <w:rFonts w:ascii="Calibri" w:hAnsi="Calibri"/>
                <w:b/>
                <w:color w:val="282828"/>
                <w:sz w:val="17"/>
              </w:rPr>
              <w:t>Unexecuted</w:t>
            </w:r>
          </w:p>
        </w:tc>
      </w:tr>
      <w:tr>
        <w:tc>
          <w:tcPr>
            <w:tcW w:type="dxa" w:w="1040"/>
            <w:vAlign w:val="center"/>
            <w:tcMar>
              <w:top w:w="100" w:type="dxa"/>
              <w:bottom w:w="100" w:type="dxa"/>
              <w:left w:w="120" w:type="dxa"/>
              <w:right w:w="120" w:type="dxa"/>
            </w:tcMar>
            <w:shd w:fill="F2F4F7"/>
          </w:tcPr>
          <w:p>
            <w:pPr>
              <w:spacing w:before="40" w:after="40"/>
            </w:pPr>
            <w:r>
              <w:rPr>
                <w:rFonts w:ascii="Calibri" w:hAnsi="Calibri"/>
                <w:b/>
                <w:color w:val="282828"/>
                <w:sz w:val="17"/>
              </w:rPr>
              <w:t>INC-OB-03</w:t>
            </w:r>
          </w:p>
        </w:tc>
        <w:tc>
          <w:tcPr>
            <w:tcW w:type="dxa" w:w="1040"/>
            <w:vAlign w:val="center"/>
            <w:tcMar>
              <w:top w:w="100" w:type="dxa"/>
              <w:bottom w:w="100" w:type="dxa"/>
              <w:left w:w="120" w:type="dxa"/>
              <w:right w:w="120" w:type="dxa"/>
            </w:tcMar>
            <w:shd w:fill="F2F4F7"/>
          </w:tcPr>
          <w:p>
            <w:pPr>
              <w:spacing w:before="40" w:after="40"/>
            </w:pPr>
            <w:r>
              <w:rPr>
                <w:rFonts w:ascii="Consolas" w:hAnsi="Consolas"/>
                <w:color w:val="282828"/>
                <w:sz w:val="17"/>
              </w:rPr>
              <w:t>email_svc</w:t>
            </w:r>
          </w:p>
        </w:tc>
        <w:tc>
          <w:tcPr>
            <w:tcW w:type="dxa" w:w="1040"/>
            <w:vAlign w:val="center"/>
            <w:tcMar>
              <w:top w:w="100" w:type="dxa"/>
              <w:bottom w:w="100" w:type="dxa"/>
              <w:left w:w="120" w:type="dxa"/>
              <w:right w:w="120" w:type="dxa"/>
            </w:tcMar>
            <w:shd w:fill="F2F4F7"/>
          </w:tcPr>
          <w:p>
            <w:pPr>
              <w:spacing w:before="40" w:after="40"/>
            </w:pPr>
            <w:r>
              <w:rPr>
                <w:rFonts w:ascii="Consolas" w:hAnsi="Consolas"/>
                <w:color w:val="282828"/>
                <w:sz w:val="17"/>
              </w:rPr>
              <w:t>logging.info</w:t>
            </w:r>
          </w:p>
        </w:tc>
        <w:tc>
          <w:tcPr>
            <w:tcW w:type="dxa" w:w="1040"/>
            <w:vAlign w:val="center"/>
            <w:tcMar>
              <w:top w:w="100" w:type="dxa"/>
              <w:bottom w:w="100" w:type="dxa"/>
              <w:left w:w="120" w:type="dxa"/>
              <w:right w:w="120" w:type="dxa"/>
            </w:tcMar>
            <w:shd w:fill="F2F4F7"/>
          </w:tcPr>
          <w:p>
            <w:pPr>
              <w:spacing w:before="40" w:after="40"/>
            </w:pPr>
            <w:r>
              <w:rPr>
                <w:rFonts w:ascii="Consolas" w:hAnsi="Consolas"/>
                <w:color w:val="282828"/>
                <w:sz w:val="17"/>
              </w:rPr>
              <w:t>Delivered\nADMIN STATUS</w:t>
            </w:r>
          </w:p>
        </w:tc>
        <w:tc>
          <w:tcPr>
            <w:tcW w:type="dxa" w:w="1040"/>
            <w:vAlign w:val="center"/>
            <w:tcMar>
              <w:top w:w="100" w:type="dxa"/>
              <w:bottom w:w="100" w:type="dxa"/>
              <w:left w:w="120" w:type="dxa"/>
              <w:right w:w="120" w:type="dxa"/>
            </w:tcMar>
            <w:shd w:fill="F2F4F7"/>
          </w:tcPr>
          <w:p>
            <w:pPr>
              <w:spacing w:before="40" w:after="40"/>
            </w:pPr>
            <w:r>
              <w:rPr>
                <w:rFonts w:ascii="Calibri" w:hAnsi="Calibri"/>
                <w:b/>
                <w:color w:val="282828"/>
                <w:sz w:val="17"/>
              </w:rPr>
              <w:t>BLOCKED</w:t>
            </w:r>
          </w:p>
        </w:tc>
        <w:tc>
          <w:tcPr>
            <w:tcW w:type="dxa" w:w="1040"/>
            <w:vAlign w:val="center"/>
            <w:tcMar>
              <w:top w:w="100" w:type="dxa"/>
              <w:bottom w:w="100" w:type="dxa"/>
              <w:left w:w="120" w:type="dxa"/>
              <w:right w:w="120" w:type="dxa"/>
            </w:tcMar>
            <w:shd w:fill="F2F4F7"/>
          </w:tcPr>
          <w:p>
            <w:pPr>
              <w:spacing w:before="40" w:after="40"/>
            </w:pPr>
            <w:r>
              <w:rPr>
                <w:rFonts w:ascii="Calibri" w:hAnsi="Calibri"/>
                <w:color w:val="282828"/>
                <w:sz w:val="17"/>
              </w:rPr>
              <w:t>0.29 ms</w:t>
            </w:r>
          </w:p>
        </w:tc>
        <w:tc>
          <w:tcPr>
            <w:tcW w:type="dxa" w:w="1040"/>
            <w:vAlign w:val="center"/>
            <w:tcMar>
              <w:top w:w="100" w:type="dxa"/>
              <w:bottom w:w="100" w:type="dxa"/>
              <w:left w:w="120" w:type="dxa"/>
              <w:right w:w="120" w:type="dxa"/>
            </w:tcMar>
            <w:shd w:fill="F2F4F7"/>
          </w:tcPr>
          <w:p>
            <w:pPr>
              <w:spacing w:before="40" w:after="40"/>
            </w:pPr>
            <w:r>
              <w:rPr>
                <w:rFonts w:ascii="Calibri" w:hAnsi="Calibri"/>
                <w:b/>
                <w:color w:val="282828"/>
                <w:sz w:val="17"/>
              </w:rPr>
              <w:t>403 Forbidden</w:t>
            </w:r>
          </w:p>
        </w:tc>
        <w:tc>
          <w:tcPr>
            <w:tcW w:type="dxa" w:w="1040"/>
            <w:vAlign w:val="center"/>
            <w:tcMar>
              <w:top w:w="100" w:type="dxa"/>
              <w:bottom w:w="100" w:type="dxa"/>
              <w:left w:w="120" w:type="dxa"/>
              <w:right w:w="120" w:type="dxa"/>
            </w:tcMar>
            <w:shd w:fill="F2F4F7"/>
          </w:tcPr>
          <w:p>
            <w:pPr>
              <w:spacing w:before="40" w:after="40"/>
            </w:pPr>
            <w:r>
              <w:rPr>
                <w:rFonts w:ascii="Calibri" w:hAnsi="Calibri"/>
                <w:color w:val="282828"/>
                <w:sz w:val="17"/>
              </w:rPr>
              <w:t>CRLF log injection halted before log stream write</w:t>
            </w:r>
          </w:p>
        </w:tc>
        <w:tc>
          <w:tcPr>
            <w:tcW w:type="dxa" w:w="1040"/>
            <w:vAlign w:val="center"/>
            <w:tcMar>
              <w:top w:w="100" w:type="dxa"/>
              <w:bottom w:w="100" w:type="dxa"/>
              <w:left w:w="120" w:type="dxa"/>
              <w:right w:w="120" w:type="dxa"/>
            </w:tcMar>
            <w:shd w:fill="F2F4F7"/>
          </w:tcPr>
          <w:p>
            <w:pPr>
              <w:spacing w:before="40" w:after="40"/>
            </w:pPr>
            <w:r>
              <w:rPr>
                <w:rFonts w:ascii="Calibri" w:hAnsi="Calibri"/>
                <w:b/>
                <w:color w:val="282828"/>
                <w:sz w:val="17"/>
              </w:rPr>
              <w:t>Unexecuted</w:t>
            </w:r>
          </w:p>
        </w:tc>
      </w:tr>
      <w:tr>
        <w:tc>
          <w:tcPr>
            <w:tcW w:type="dxa" w:w="1040"/>
            <w:vAlign w:val="center"/>
            <w:tcMar>
              <w:top w:w="100" w:type="dxa"/>
              <w:bottom w:w="100" w:type="dxa"/>
              <w:left w:w="120" w:type="dxa"/>
              <w:right w:w="120" w:type="dxa"/>
            </w:tcMar>
            <w:shd w:fill="FFFFFF"/>
          </w:tcPr>
          <w:p>
            <w:pPr>
              <w:spacing w:before="40" w:after="40"/>
            </w:pPr>
            <w:r>
              <w:rPr>
                <w:rFonts w:ascii="Calibri" w:hAnsi="Calibri"/>
                <w:b/>
                <w:color w:val="282828"/>
                <w:sz w:val="17"/>
              </w:rPr>
              <w:t>INC-OB-04</w:t>
            </w:r>
          </w:p>
        </w:tc>
        <w:tc>
          <w:tcPr>
            <w:tcW w:type="dxa" w:w="1040"/>
            <w:vAlign w:val="center"/>
            <w:tcMar>
              <w:top w:w="100" w:type="dxa"/>
              <w:bottom w:w="100" w:type="dxa"/>
              <w:left w:w="120" w:type="dxa"/>
              <w:right w:w="120" w:type="dxa"/>
            </w:tcMar>
            <w:shd w:fill="FFFFFF"/>
          </w:tcPr>
          <w:p>
            <w:pPr>
              <w:spacing w:before="40" w:after="40"/>
            </w:pPr>
            <w:r>
              <w:rPr>
                <w:rFonts w:ascii="Consolas" w:hAnsi="Consolas"/>
                <w:color w:val="282828"/>
                <w:sz w:val="17"/>
              </w:rPr>
              <w:t>email_svc</w:t>
            </w:r>
          </w:p>
        </w:tc>
        <w:tc>
          <w:tcPr>
            <w:tcW w:type="dxa" w:w="1040"/>
            <w:vAlign w:val="center"/>
            <w:tcMar>
              <w:top w:w="100" w:type="dxa"/>
              <w:bottom w:w="100" w:type="dxa"/>
              <w:left w:w="120" w:type="dxa"/>
              <w:right w:w="120" w:type="dxa"/>
            </w:tcMar>
            <w:shd w:fill="FFFFFF"/>
          </w:tcPr>
          <w:p>
            <w:pPr>
              <w:spacing w:before="40" w:after="40"/>
            </w:pPr>
            <w:r>
              <w:rPr>
                <w:rFonts w:ascii="Consolas" w:hAnsi="Consolas"/>
                <w:color w:val="282828"/>
                <w:sz w:val="17"/>
              </w:rPr>
              <w:t>ElementTree.fromstring</w:t>
            </w:r>
          </w:p>
        </w:tc>
        <w:tc>
          <w:tcPr>
            <w:tcW w:type="dxa" w:w="1040"/>
            <w:vAlign w:val="center"/>
            <w:tcMar>
              <w:top w:w="100" w:type="dxa"/>
              <w:bottom w:w="100" w:type="dxa"/>
              <w:left w:w="120" w:type="dxa"/>
              <w:right w:w="120" w:type="dxa"/>
            </w:tcMar>
            <w:shd w:fill="FFFFFF"/>
          </w:tcPr>
          <w:p>
            <w:pPr>
              <w:spacing w:before="40" w:after="40"/>
            </w:pPr>
            <w:r>
              <w:rPr>
                <w:rFonts w:ascii="Consolas" w:hAnsi="Consolas"/>
                <w:color w:val="282828"/>
                <w:sz w:val="17"/>
              </w:rPr>
              <w:t>&lt;!ENTITY xxe SYSTEM...&gt;</w:t>
            </w:r>
          </w:p>
        </w:tc>
        <w:tc>
          <w:tcPr>
            <w:tcW w:type="dxa" w:w="1040"/>
            <w:vAlign w:val="center"/>
            <w:tcMar>
              <w:top w:w="100" w:type="dxa"/>
              <w:bottom w:w="100" w:type="dxa"/>
              <w:left w:w="120" w:type="dxa"/>
              <w:right w:w="120" w:type="dxa"/>
            </w:tcMar>
            <w:shd w:fill="FFFFFF"/>
          </w:tcPr>
          <w:p>
            <w:pPr>
              <w:spacing w:before="40" w:after="40"/>
            </w:pPr>
            <w:r>
              <w:rPr>
                <w:rFonts w:ascii="Calibri" w:hAnsi="Calibri"/>
                <w:b/>
                <w:color w:val="282828"/>
                <w:sz w:val="17"/>
              </w:rPr>
              <w:t>BLOCKED</w:t>
            </w:r>
          </w:p>
        </w:tc>
        <w:tc>
          <w:tcPr>
            <w:tcW w:type="dxa" w:w="1040"/>
            <w:vAlign w:val="center"/>
            <w:tcMar>
              <w:top w:w="100" w:type="dxa"/>
              <w:bottom w:w="100" w:type="dxa"/>
              <w:left w:w="120" w:type="dxa"/>
              <w:right w:w="120" w:type="dxa"/>
            </w:tcMar>
            <w:shd w:fill="FFFFFF"/>
          </w:tcPr>
          <w:p>
            <w:pPr>
              <w:spacing w:before="40" w:after="40"/>
            </w:pPr>
            <w:r>
              <w:rPr>
                <w:rFonts w:ascii="Calibri" w:hAnsi="Calibri"/>
                <w:color w:val="282828"/>
                <w:sz w:val="17"/>
              </w:rPr>
              <w:t>0.51 ms</w:t>
            </w:r>
          </w:p>
        </w:tc>
        <w:tc>
          <w:tcPr>
            <w:tcW w:type="dxa" w:w="1040"/>
            <w:vAlign w:val="center"/>
            <w:tcMar>
              <w:top w:w="100" w:type="dxa"/>
              <w:bottom w:w="100" w:type="dxa"/>
              <w:left w:w="120" w:type="dxa"/>
              <w:right w:w="120" w:type="dxa"/>
            </w:tcMar>
            <w:shd w:fill="FFFFFF"/>
          </w:tcPr>
          <w:p>
            <w:pPr>
              <w:spacing w:before="40" w:after="40"/>
            </w:pPr>
            <w:r>
              <w:rPr>
                <w:rFonts w:ascii="Calibri" w:hAnsi="Calibri"/>
                <w:b/>
                <w:color w:val="282828"/>
                <w:sz w:val="17"/>
              </w:rPr>
              <w:t>403 Forbidden</w:t>
            </w:r>
          </w:p>
        </w:tc>
        <w:tc>
          <w:tcPr>
            <w:tcW w:type="dxa" w:w="1040"/>
            <w:vAlign w:val="center"/>
            <w:tcMar>
              <w:top w:w="100" w:type="dxa"/>
              <w:bottom w:w="100" w:type="dxa"/>
              <w:left w:w="120" w:type="dxa"/>
              <w:right w:w="120" w:type="dxa"/>
            </w:tcMar>
            <w:shd w:fill="FFFFFF"/>
          </w:tcPr>
          <w:p>
            <w:pPr>
              <w:spacing w:before="40" w:after="40"/>
            </w:pPr>
            <w:r>
              <w:rPr>
                <w:rFonts w:ascii="Calibri" w:hAnsi="Calibri"/>
                <w:color w:val="282828"/>
                <w:sz w:val="17"/>
              </w:rPr>
              <w:t>External XML entity expansion halted before parsing</w:t>
            </w:r>
          </w:p>
        </w:tc>
        <w:tc>
          <w:tcPr>
            <w:tcW w:type="dxa" w:w="1040"/>
            <w:vAlign w:val="center"/>
            <w:tcMar>
              <w:top w:w="100" w:type="dxa"/>
              <w:bottom w:w="100" w:type="dxa"/>
              <w:left w:w="120" w:type="dxa"/>
              <w:right w:w="120" w:type="dxa"/>
            </w:tcMar>
            <w:shd w:fill="FFFFFF"/>
          </w:tcPr>
          <w:p>
            <w:pPr>
              <w:spacing w:before="40" w:after="40"/>
            </w:pPr>
            <w:r>
              <w:rPr>
                <w:rFonts w:ascii="Calibri" w:hAnsi="Calibri"/>
                <w:b/>
                <w:color w:val="282828"/>
                <w:sz w:val="17"/>
              </w:rPr>
              <w:t>Unexecuted</w:t>
            </w:r>
          </w:p>
        </w:tc>
      </w:tr>
      <w:tr>
        <w:tc>
          <w:tcPr>
            <w:tcW w:type="dxa" w:w="1040"/>
            <w:vAlign w:val="center"/>
            <w:tcMar>
              <w:top w:w="100" w:type="dxa"/>
              <w:bottom w:w="100" w:type="dxa"/>
              <w:left w:w="120" w:type="dxa"/>
              <w:right w:w="120" w:type="dxa"/>
            </w:tcMar>
            <w:shd w:fill="F2F4F7"/>
          </w:tcPr>
          <w:p>
            <w:pPr>
              <w:spacing w:before="40" w:after="40"/>
            </w:pPr>
            <w:r>
              <w:rPr>
                <w:rFonts w:ascii="Calibri" w:hAnsi="Calibri"/>
                <w:b/>
                <w:color w:val="282828"/>
                <w:sz w:val="17"/>
              </w:rPr>
              <w:t>INC-OB-05</w:t>
            </w:r>
          </w:p>
        </w:tc>
        <w:tc>
          <w:tcPr>
            <w:tcW w:type="dxa" w:w="1040"/>
            <w:vAlign w:val="center"/>
            <w:tcMar>
              <w:top w:w="100" w:type="dxa"/>
              <w:bottom w:w="100" w:type="dxa"/>
              <w:left w:w="120" w:type="dxa"/>
              <w:right w:w="120" w:type="dxa"/>
            </w:tcMar>
            <w:shd w:fill="F2F4F7"/>
          </w:tcPr>
          <w:p>
            <w:pPr>
              <w:spacing w:before="40" w:after="40"/>
            </w:pPr>
            <w:r>
              <w:rPr>
                <w:rFonts w:ascii="Consolas" w:hAnsi="Consolas"/>
                <w:color w:val="282828"/>
                <w:sz w:val="17"/>
              </w:rPr>
              <w:t>ad_svc</w:t>
            </w:r>
          </w:p>
        </w:tc>
        <w:tc>
          <w:tcPr>
            <w:tcW w:type="dxa" w:w="1040"/>
            <w:vAlign w:val="center"/>
            <w:tcMar>
              <w:top w:w="100" w:type="dxa"/>
              <w:bottom w:w="100" w:type="dxa"/>
              <w:left w:w="120" w:type="dxa"/>
              <w:right w:w="120" w:type="dxa"/>
            </w:tcMar>
            <w:shd w:fill="F2F4F7"/>
          </w:tcPr>
          <w:p>
            <w:pPr>
              <w:spacing w:before="40" w:after="40"/>
            </w:pPr>
            <w:r>
              <w:rPr>
                <w:rFonts w:ascii="Consolas" w:hAnsi="Consolas"/>
                <w:color w:val="282828"/>
                <w:sz w:val="17"/>
              </w:rPr>
              <w:t>HTMLResponse</w:t>
            </w:r>
          </w:p>
        </w:tc>
        <w:tc>
          <w:tcPr>
            <w:tcW w:type="dxa" w:w="1040"/>
            <w:vAlign w:val="center"/>
            <w:tcMar>
              <w:top w:w="100" w:type="dxa"/>
              <w:bottom w:w="100" w:type="dxa"/>
              <w:left w:w="120" w:type="dxa"/>
              <w:right w:w="120" w:type="dxa"/>
            </w:tcMar>
            <w:shd w:fill="F2F4F7"/>
          </w:tcPr>
          <w:p>
            <w:pPr>
              <w:spacing w:before="40" w:after="40"/>
            </w:pPr>
            <w:r>
              <w:rPr>
                <w:rFonts w:ascii="Consolas" w:hAnsi="Consolas"/>
                <w:color w:val="282828"/>
                <w:sz w:val="17"/>
              </w:rPr>
              <w:t>&lt;script&gt;alert('XSS')&lt;/script&gt;</w:t>
            </w:r>
          </w:p>
        </w:tc>
        <w:tc>
          <w:tcPr>
            <w:tcW w:type="dxa" w:w="1040"/>
            <w:vAlign w:val="center"/>
            <w:tcMar>
              <w:top w:w="100" w:type="dxa"/>
              <w:bottom w:w="100" w:type="dxa"/>
              <w:left w:w="120" w:type="dxa"/>
              <w:right w:w="120" w:type="dxa"/>
            </w:tcMar>
            <w:shd w:fill="F2F4F7"/>
          </w:tcPr>
          <w:p>
            <w:pPr>
              <w:spacing w:before="40" w:after="40"/>
            </w:pPr>
            <w:r>
              <w:rPr>
                <w:rFonts w:ascii="Calibri" w:hAnsi="Calibri"/>
                <w:b/>
                <w:color w:val="282828"/>
                <w:sz w:val="17"/>
              </w:rPr>
              <w:t>BLOCKED</w:t>
            </w:r>
          </w:p>
        </w:tc>
        <w:tc>
          <w:tcPr>
            <w:tcW w:type="dxa" w:w="1040"/>
            <w:vAlign w:val="center"/>
            <w:tcMar>
              <w:top w:w="100" w:type="dxa"/>
              <w:bottom w:w="100" w:type="dxa"/>
              <w:left w:w="120" w:type="dxa"/>
              <w:right w:w="120" w:type="dxa"/>
            </w:tcMar>
            <w:shd w:fill="F2F4F7"/>
          </w:tcPr>
          <w:p>
            <w:pPr>
              <w:spacing w:before="40" w:after="40"/>
            </w:pPr>
            <w:r>
              <w:rPr>
                <w:rFonts w:ascii="Calibri" w:hAnsi="Calibri"/>
                <w:color w:val="282828"/>
                <w:sz w:val="17"/>
              </w:rPr>
              <w:t>0.38 ms</w:t>
            </w:r>
          </w:p>
        </w:tc>
        <w:tc>
          <w:tcPr>
            <w:tcW w:type="dxa" w:w="1040"/>
            <w:vAlign w:val="center"/>
            <w:tcMar>
              <w:top w:w="100" w:type="dxa"/>
              <w:bottom w:w="100" w:type="dxa"/>
              <w:left w:w="120" w:type="dxa"/>
              <w:right w:w="120" w:type="dxa"/>
            </w:tcMar>
            <w:shd w:fill="F2F4F7"/>
          </w:tcPr>
          <w:p>
            <w:pPr>
              <w:spacing w:before="40" w:after="40"/>
            </w:pPr>
            <w:r>
              <w:rPr>
                <w:rFonts w:ascii="Calibri" w:hAnsi="Calibri"/>
                <w:b/>
                <w:color w:val="282828"/>
                <w:sz w:val="17"/>
              </w:rPr>
              <w:t>403 Forbidden</w:t>
            </w:r>
          </w:p>
        </w:tc>
        <w:tc>
          <w:tcPr>
            <w:tcW w:type="dxa" w:w="1040"/>
            <w:vAlign w:val="center"/>
            <w:tcMar>
              <w:top w:w="100" w:type="dxa"/>
              <w:bottom w:w="100" w:type="dxa"/>
              <w:left w:w="120" w:type="dxa"/>
              <w:right w:w="120" w:type="dxa"/>
            </w:tcMar>
            <w:shd w:fill="F2F4F7"/>
          </w:tcPr>
          <w:p>
            <w:pPr>
              <w:spacing w:before="40" w:after="40"/>
            </w:pPr>
            <w:r>
              <w:rPr>
                <w:rFonts w:ascii="Calibri" w:hAnsi="Calibri"/>
                <w:color w:val="282828"/>
                <w:sz w:val="17"/>
              </w:rPr>
              <w:t>Unescaped script tags halted before response generation</w:t>
            </w:r>
          </w:p>
        </w:tc>
        <w:tc>
          <w:tcPr>
            <w:tcW w:type="dxa" w:w="1040"/>
            <w:vAlign w:val="center"/>
            <w:tcMar>
              <w:top w:w="100" w:type="dxa"/>
              <w:bottom w:w="100" w:type="dxa"/>
              <w:left w:w="120" w:type="dxa"/>
              <w:right w:w="120" w:type="dxa"/>
            </w:tcMar>
            <w:shd w:fill="F2F4F7"/>
          </w:tcPr>
          <w:p>
            <w:pPr>
              <w:spacing w:before="40" w:after="40"/>
            </w:pPr>
            <w:r>
              <w:rPr>
                <w:rFonts w:ascii="Calibri" w:hAnsi="Calibri"/>
                <w:b/>
                <w:color w:val="282828"/>
                <w:sz w:val="17"/>
              </w:rPr>
              <w:t>Unexecuted</w:t>
            </w:r>
          </w:p>
        </w:tc>
      </w:tr>
      <w:tr>
        <w:tc>
          <w:tcPr>
            <w:tcW w:type="dxa" w:w="1040"/>
            <w:vAlign w:val="center"/>
            <w:tcMar>
              <w:top w:w="100" w:type="dxa"/>
              <w:bottom w:w="100" w:type="dxa"/>
              <w:left w:w="120" w:type="dxa"/>
              <w:right w:w="120" w:type="dxa"/>
            </w:tcMar>
            <w:shd w:fill="FFFFFF"/>
          </w:tcPr>
          <w:p>
            <w:pPr>
              <w:spacing w:before="40" w:after="40"/>
            </w:pPr>
            <w:r>
              <w:rPr>
                <w:rFonts w:ascii="Calibri" w:hAnsi="Calibri"/>
                <w:b/>
                <w:color w:val="282828"/>
                <w:sz w:val="17"/>
              </w:rPr>
              <w:t>INC-OB-06</w:t>
            </w:r>
          </w:p>
        </w:tc>
        <w:tc>
          <w:tcPr>
            <w:tcW w:type="dxa" w:w="1040"/>
            <w:vAlign w:val="center"/>
            <w:tcMar>
              <w:top w:w="100" w:type="dxa"/>
              <w:bottom w:w="100" w:type="dxa"/>
              <w:left w:w="120" w:type="dxa"/>
              <w:right w:w="120" w:type="dxa"/>
            </w:tcMar>
            <w:shd w:fill="FFFFFF"/>
          </w:tcPr>
          <w:p>
            <w:pPr>
              <w:spacing w:before="40" w:after="40"/>
            </w:pPr>
            <w:r>
              <w:rPr>
                <w:rFonts w:ascii="Consolas" w:hAnsi="Consolas"/>
                <w:color w:val="282828"/>
                <w:sz w:val="17"/>
              </w:rPr>
              <w:t>ad_svc</w:t>
            </w:r>
          </w:p>
        </w:tc>
        <w:tc>
          <w:tcPr>
            <w:tcW w:type="dxa" w:w="1040"/>
            <w:vAlign w:val="center"/>
            <w:tcMar>
              <w:top w:w="100" w:type="dxa"/>
              <w:bottom w:w="100" w:type="dxa"/>
              <w:left w:w="120" w:type="dxa"/>
              <w:right w:w="120" w:type="dxa"/>
            </w:tcMar>
            <w:shd w:fill="FFFFFF"/>
          </w:tcPr>
          <w:p>
            <w:pPr>
              <w:spacing w:before="40" w:after="40"/>
            </w:pPr>
            <w:r>
              <w:rPr>
                <w:rFonts w:ascii="Consolas" w:hAnsi="Consolas"/>
                <w:color w:val="282828"/>
                <w:sz w:val="17"/>
              </w:rPr>
              <w:t>subprocess.Popen</w:t>
            </w:r>
          </w:p>
        </w:tc>
        <w:tc>
          <w:tcPr>
            <w:tcW w:type="dxa" w:w="1040"/>
            <w:vAlign w:val="center"/>
            <w:tcMar>
              <w:top w:w="100" w:type="dxa"/>
              <w:bottom w:w="100" w:type="dxa"/>
              <w:left w:w="120" w:type="dxa"/>
              <w:right w:w="120" w:type="dxa"/>
            </w:tcMar>
            <w:shd w:fill="FFFFFF"/>
          </w:tcPr>
          <w:p>
            <w:pPr>
              <w:spacing w:before="40" w:after="40"/>
            </w:pPr>
            <w:r>
              <w:rPr>
                <w:rFonts w:ascii="Consolas" w:hAnsi="Consolas"/>
                <w:color w:val="282828"/>
                <w:sz w:val="17"/>
              </w:rPr>
              <w:t>127.0.0.1; whoami</w:t>
            </w:r>
          </w:p>
        </w:tc>
        <w:tc>
          <w:tcPr>
            <w:tcW w:type="dxa" w:w="1040"/>
            <w:vAlign w:val="center"/>
            <w:tcMar>
              <w:top w:w="100" w:type="dxa"/>
              <w:bottom w:w="100" w:type="dxa"/>
              <w:left w:w="120" w:type="dxa"/>
              <w:right w:w="120" w:type="dxa"/>
            </w:tcMar>
            <w:shd w:fill="FFFFFF"/>
          </w:tcPr>
          <w:p>
            <w:pPr>
              <w:spacing w:before="40" w:after="40"/>
            </w:pPr>
            <w:r>
              <w:rPr>
                <w:rFonts w:ascii="Calibri" w:hAnsi="Calibri"/>
                <w:b/>
                <w:color w:val="282828"/>
                <w:sz w:val="17"/>
              </w:rPr>
              <w:t>BLOCKED</w:t>
            </w:r>
          </w:p>
        </w:tc>
        <w:tc>
          <w:tcPr>
            <w:tcW w:type="dxa" w:w="1040"/>
            <w:vAlign w:val="center"/>
            <w:tcMar>
              <w:top w:w="100" w:type="dxa"/>
              <w:bottom w:w="100" w:type="dxa"/>
              <w:left w:w="120" w:type="dxa"/>
              <w:right w:w="120" w:type="dxa"/>
            </w:tcMar>
            <w:shd w:fill="FFFFFF"/>
          </w:tcPr>
          <w:p>
            <w:pPr>
              <w:spacing w:before="40" w:after="40"/>
            </w:pPr>
            <w:r>
              <w:rPr>
                <w:rFonts w:ascii="Calibri" w:hAnsi="Calibri"/>
                <w:color w:val="282828"/>
                <w:sz w:val="17"/>
              </w:rPr>
              <w:t>0.62 ms</w:t>
            </w:r>
          </w:p>
        </w:tc>
        <w:tc>
          <w:tcPr>
            <w:tcW w:type="dxa" w:w="1040"/>
            <w:vAlign w:val="center"/>
            <w:tcMar>
              <w:top w:w="100" w:type="dxa"/>
              <w:bottom w:w="100" w:type="dxa"/>
              <w:left w:w="120" w:type="dxa"/>
              <w:right w:w="120" w:type="dxa"/>
            </w:tcMar>
            <w:shd w:fill="FFFFFF"/>
          </w:tcPr>
          <w:p>
            <w:pPr>
              <w:spacing w:before="40" w:after="40"/>
            </w:pPr>
            <w:r>
              <w:rPr>
                <w:rFonts w:ascii="Calibri" w:hAnsi="Calibri"/>
                <w:b/>
                <w:color w:val="282828"/>
                <w:sz w:val="17"/>
              </w:rPr>
              <w:t>403 Forbidden</w:t>
            </w:r>
          </w:p>
        </w:tc>
        <w:tc>
          <w:tcPr>
            <w:tcW w:type="dxa" w:w="1040"/>
            <w:vAlign w:val="center"/>
            <w:tcMar>
              <w:top w:w="100" w:type="dxa"/>
              <w:bottom w:w="100" w:type="dxa"/>
              <w:left w:w="120" w:type="dxa"/>
              <w:right w:w="120" w:type="dxa"/>
            </w:tcMar>
            <w:shd w:fill="FFFFFF"/>
          </w:tcPr>
          <w:p>
            <w:pPr>
              <w:spacing w:before="40" w:after="40"/>
            </w:pPr>
            <w:r>
              <w:rPr>
                <w:rFonts w:ascii="Calibri" w:hAnsi="Calibri"/>
                <w:color w:val="282828"/>
                <w:sz w:val="17"/>
              </w:rPr>
              <w:t>Metacharacter shell execution halted before fork/exec</w:t>
            </w:r>
          </w:p>
        </w:tc>
        <w:tc>
          <w:tcPr>
            <w:tcW w:type="dxa" w:w="1040"/>
            <w:vAlign w:val="center"/>
            <w:tcMar>
              <w:top w:w="100" w:type="dxa"/>
              <w:bottom w:w="100" w:type="dxa"/>
              <w:left w:w="120" w:type="dxa"/>
              <w:right w:w="120" w:type="dxa"/>
            </w:tcMar>
            <w:shd w:fill="FFFFFF"/>
          </w:tcPr>
          <w:p>
            <w:pPr>
              <w:spacing w:before="40" w:after="40"/>
            </w:pPr>
            <w:r>
              <w:rPr>
                <w:rFonts w:ascii="Calibri" w:hAnsi="Calibri"/>
                <w:b/>
                <w:color w:val="282828"/>
                <w:sz w:val="17"/>
              </w:rPr>
              <w:t>Unexecuted</w:t>
            </w:r>
          </w:p>
        </w:tc>
      </w:tr>
      <w:tr>
        <w:tc>
          <w:tcPr>
            <w:tcW w:type="dxa" w:w="1040"/>
            <w:vAlign w:val="center"/>
            <w:tcMar>
              <w:top w:w="100" w:type="dxa"/>
              <w:bottom w:w="100" w:type="dxa"/>
              <w:left w:w="120" w:type="dxa"/>
              <w:right w:w="120" w:type="dxa"/>
            </w:tcMar>
            <w:shd w:fill="F2F4F7"/>
          </w:tcPr>
          <w:p>
            <w:pPr>
              <w:spacing w:before="40" w:after="40"/>
            </w:pPr>
            <w:r>
              <w:rPr>
                <w:rFonts w:ascii="Calibri" w:hAnsi="Calibri"/>
                <w:b/>
                <w:color w:val="282828"/>
                <w:sz w:val="17"/>
              </w:rPr>
              <w:t>INC-OB-07</w:t>
            </w:r>
          </w:p>
        </w:tc>
        <w:tc>
          <w:tcPr>
            <w:tcW w:type="dxa" w:w="1040"/>
            <w:vAlign w:val="center"/>
            <w:tcMar>
              <w:top w:w="100" w:type="dxa"/>
              <w:bottom w:w="100" w:type="dxa"/>
              <w:left w:w="120" w:type="dxa"/>
              <w:right w:w="120" w:type="dxa"/>
            </w:tcMar>
            <w:shd w:fill="F2F4F7"/>
          </w:tcPr>
          <w:p>
            <w:pPr>
              <w:spacing w:before="40" w:after="40"/>
            </w:pPr>
            <w:r>
              <w:rPr>
                <w:rFonts w:ascii="Consolas" w:hAnsi="Consolas"/>
                <w:color w:val="282828"/>
                <w:sz w:val="17"/>
              </w:rPr>
              <w:t>currency_svc</w:t>
            </w:r>
          </w:p>
        </w:tc>
        <w:tc>
          <w:tcPr>
            <w:tcW w:type="dxa" w:w="1040"/>
            <w:vAlign w:val="center"/>
            <w:tcMar>
              <w:top w:w="100" w:type="dxa"/>
              <w:bottom w:w="100" w:type="dxa"/>
              <w:left w:w="120" w:type="dxa"/>
              <w:right w:w="120" w:type="dxa"/>
            </w:tcMar>
            <w:shd w:fill="F2F4F7"/>
          </w:tcPr>
          <w:p>
            <w:pPr>
              <w:spacing w:before="40" w:after="40"/>
            </w:pPr>
            <w:r>
              <w:rPr>
                <w:rFonts w:ascii="Consolas" w:hAnsi="Consolas"/>
                <w:color w:val="282828"/>
                <w:sz w:val="17"/>
              </w:rPr>
              <w:t>urllib.urlopen</w:t>
            </w:r>
          </w:p>
        </w:tc>
        <w:tc>
          <w:tcPr>
            <w:tcW w:type="dxa" w:w="1040"/>
            <w:vAlign w:val="center"/>
            <w:tcMar>
              <w:top w:w="100" w:type="dxa"/>
              <w:bottom w:w="100" w:type="dxa"/>
              <w:left w:w="120" w:type="dxa"/>
              <w:right w:w="120" w:type="dxa"/>
            </w:tcMar>
            <w:shd w:fill="F2F4F7"/>
          </w:tcPr>
          <w:p>
            <w:pPr>
              <w:spacing w:before="40" w:after="40"/>
            </w:pPr>
            <w:r>
              <w:rPr>
                <w:rFonts w:ascii="Consolas" w:hAnsi="Consolas"/>
                <w:color w:val="282828"/>
                <w:sz w:val="17"/>
              </w:rPr>
              <w:t>http://169.254.169.254/...</w:t>
            </w:r>
          </w:p>
        </w:tc>
        <w:tc>
          <w:tcPr>
            <w:tcW w:type="dxa" w:w="1040"/>
            <w:vAlign w:val="center"/>
            <w:tcMar>
              <w:top w:w="100" w:type="dxa"/>
              <w:bottom w:w="100" w:type="dxa"/>
              <w:left w:w="120" w:type="dxa"/>
              <w:right w:w="120" w:type="dxa"/>
            </w:tcMar>
            <w:shd w:fill="F2F4F7"/>
          </w:tcPr>
          <w:p>
            <w:pPr>
              <w:spacing w:before="40" w:after="40"/>
            </w:pPr>
            <w:r>
              <w:rPr>
                <w:rFonts w:ascii="Calibri" w:hAnsi="Calibri"/>
                <w:b/>
                <w:color w:val="282828"/>
                <w:sz w:val="17"/>
              </w:rPr>
              <w:t>BLOCKED</w:t>
            </w:r>
          </w:p>
        </w:tc>
        <w:tc>
          <w:tcPr>
            <w:tcW w:type="dxa" w:w="1040"/>
            <w:vAlign w:val="center"/>
            <w:tcMar>
              <w:top w:w="100" w:type="dxa"/>
              <w:bottom w:w="100" w:type="dxa"/>
              <w:left w:w="120" w:type="dxa"/>
              <w:right w:w="120" w:type="dxa"/>
            </w:tcMar>
            <w:shd w:fill="F2F4F7"/>
          </w:tcPr>
          <w:p>
            <w:pPr>
              <w:spacing w:before="40" w:after="40"/>
            </w:pPr>
            <w:r>
              <w:rPr>
                <w:rFonts w:ascii="Calibri" w:hAnsi="Calibri"/>
                <w:color w:val="282828"/>
                <w:sz w:val="17"/>
              </w:rPr>
              <w:t>0.44 ms</w:t>
            </w:r>
          </w:p>
        </w:tc>
        <w:tc>
          <w:tcPr>
            <w:tcW w:type="dxa" w:w="1040"/>
            <w:vAlign w:val="center"/>
            <w:tcMar>
              <w:top w:w="100" w:type="dxa"/>
              <w:bottom w:w="100" w:type="dxa"/>
              <w:left w:w="120" w:type="dxa"/>
              <w:right w:w="120" w:type="dxa"/>
            </w:tcMar>
            <w:shd w:fill="F2F4F7"/>
          </w:tcPr>
          <w:p>
            <w:pPr>
              <w:spacing w:before="40" w:after="40"/>
            </w:pPr>
            <w:r>
              <w:rPr>
                <w:rFonts w:ascii="Calibri" w:hAnsi="Calibri"/>
                <w:b/>
                <w:color w:val="282828"/>
                <w:sz w:val="17"/>
              </w:rPr>
              <w:t>403 Forbidden</w:t>
            </w:r>
          </w:p>
        </w:tc>
        <w:tc>
          <w:tcPr>
            <w:tcW w:type="dxa" w:w="1040"/>
            <w:vAlign w:val="center"/>
            <w:tcMar>
              <w:top w:w="100" w:type="dxa"/>
              <w:bottom w:w="100" w:type="dxa"/>
              <w:left w:w="120" w:type="dxa"/>
              <w:right w:w="120" w:type="dxa"/>
            </w:tcMar>
            <w:shd w:fill="F2F4F7"/>
          </w:tcPr>
          <w:p>
            <w:pPr>
              <w:spacing w:before="40" w:after="40"/>
            </w:pPr>
            <w:r>
              <w:rPr>
                <w:rFonts w:ascii="Calibri" w:hAnsi="Calibri"/>
                <w:color w:val="282828"/>
                <w:sz w:val="17"/>
              </w:rPr>
              <w:t>Cloud metadata SSRF request halted before socket creation</w:t>
            </w:r>
          </w:p>
        </w:tc>
        <w:tc>
          <w:tcPr>
            <w:tcW w:type="dxa" w:w="1040"/>
            <w:vAlign w:val="center"/>
            <w:tcMar>
              <w:top w:w="100" w:type="dxa"/>
              <w:bottom w:w="100" w:type="dxa"/>
              <w:left w:w="120" w:type="dxa"/>
              <w:right w:w="120" w:type="dxa"/>
            </w:tcMar>
            <w:shd w:fill="F2F4F7"/>
          </w:tcPr>
          <w:p>
            <w:pPr>
              <w:spacing w:before="40" w:after="40"/>
            </w:pPr>
            <w:r>
              <w:rPr>
                <w:rFonts w:ascii="Calibri" w:hAnsi="Calibri"/>
                <w:b/>
                <w:color w:val="282828"/>
                <w:sz w:val="17"/>
              </w:rPr>
              <w:t>Unexecuted</w:t>
            </w:r>
          </w:p>
        </w:tc>
      </w:tr>
      <w:tr>
        <w:tc>
          <w:tcPr>
            <w:tcW w:type="dxa" w:w="1040"/>
            <w:vAlign w:val="center"/>
            <w:tcMar>
              <w:top w:w="100" w:type="dxa"/>
              <w:bottom w:w="100" w:type="dxa"/>
              <w:left w:w="120" w:type="dxa"/>
              <w:right w:w="120" w:type="dxa"/>
            </w:tcMar>
            <w:shd w:fill="FFFFFF"/>
          </w:tcPr>
          <w:p>
            <w:pPr>
              <w:spacing w:before="40" w:after="40"/>
            </w:pPr>
            <w:r>
              <w:rPr>
                <w:rFonts w:ascii="Calibri" w:hAnsi="Calibri"/>
                <w:b/>
                <w:color w:val="282828"/>
                <w:sz w:val="17"/>
              </w:rPr>
              <w:t>INC-OB-08</w:t>
            </w:r>
          </w:p>
        </w:tc>
        <w:tc>
          <w:tcPr>
            <w:tcW w:type="dxa" w:w="1040"/>
            <w:vAlign w:val="center"/>
            <w:tcMar>
              <w:top w:w="100" w:type="dxa"/>
              <w:bottom w:w="100" w:type="dxa"/>
              <w:left w:w="120" w:type="dxa"/>
              <w:right w:w="120" w:type="dxa"/>
            </w:tcMar>
            <w:shd w:fill="FFFFFF"/>
          </w:tcPr>
          <w:p>
            <w:pPr>
              <w:spacing w:before="40" w:after="40"/>
            </w:pPr>
            <w:r>
              <w:rPr>
                <w:rFonts w:ascii="Consolas" w:hAnsi="Consolas"/>
                <w:color w:val="282828"/>
                <w:sz w:val="17"/>
              </w:rPr>
              <w:t>currency_svc</w:t>
            </w:r>
          </w:p>
        </w:tc>
        <w:tc>
          <w:tcPr>
            <w:tcW w:type="dxa" w:w="1040"/>
            <w:vAlign w:val="center"/>
            <w:tcMar>
              <w:top w:w="100" w:type="dxa"/>
              <w:bottom w:w="100" w:type="dxa"/>
              <w:left w:w="120" w:type="dxa"/>
              <w:right w:w="120" w:type="dxa"/>
            </w:tcMar>
            <w:shd w:fill="FFFFFF"/>
          </w:tcPr>
          <w:p>
            <w:pPr>
              <w:spacing w:before="40" w:after="40"/>
            </w:pPr>
            <w:r>
              <w:rPr>
                <w:rFonts w:ascii="Consolas" w:hAnsi="Consolas"/>
                <w:color w:val="282828"/>
                <w:sz w:val="17"/>
              </w:rPr>
              <w:t>Response.headers</w:t>
            </w:r>
          </w:p>
        </w:tc>
        <w:tc>
          <w:tcPr>
            <w:tcW w:type="dxa" w:w="1040"/>
            <w:vAlign w:val="center"/>
            <w:tcMar>
              <w:top w:w="100" w:type="dxa"/>
              <w:bottom w:w="100" w:type="dxa"/>
              <w:left w:w="120" w:type="dxa"/>
              <w:right w:w="120" w:type="dxa"/>
            </w:tcMar>
            <w:shd w:fill="FFFFFF"/>
          </w:tcPr>
          <w:p>
            <w:pPr>
              <w:spacing w:before="40" w:after="40"/>
            </w:pPr>
            <w:r>
              <w:rPr>
                <w:rFonts w:ascii="Consolas" w:hAnsi="Consolas"/>
                <w:color w:val="282828"/>
                <w:sz w:val="17"/>
              </w:rPr>
              <w:t>val\r\nSet-Cookie: stolen</w:t>
            </w:r>
          </w:p>
        </w:tc>
        <w:tc>
          <w:tcPr>
            <w:tcW w:type="dxa" w:w="1040"/>
            <w:vAlign w:val="center"/>
            <w:tcMar>
              <w:top w:w="100" w:type="dxa"/>
              <w:bottom w:w="100" w:type="dxa"/>
              <w:left w:w="120" w:type="dxa"/>
              <w:right w:w="120" w:type="dxa"/>
            </w:tcMar>
            <w:shd w:fill="FFFFFF"/>
          </w:tcPr>
          <w:p>
            <w:pPr>
              <w:spacing w:before="40" w:after="40"/>
            </w:pPr>
            <w:r>
              <w:rPr>
                <w:rFonts w:ascii="Calibri" w:hAnsi="Calibri"/>
                <w:b/>
                <w:color w:val="282828"/>
                <w:sz w:val="17"/>
              </w:rPr>
              <w:t>BLOCKED</w:t>
            </w:r>
          </w:p>
        </w:tc>
        <w:tc>
          <w:tcPr>
            <w:tcW w:type="dxa" w:w="1040"/>
            <w:vAlign w:val="center"/>
            <w:tcMar>
              <w:top w:w="100" w:type="dxa"/>
              <w:bottom w:w="100" w:type="dxa"/>
              <w:left w:w="120" w:type="dxa"/>
              <w:right w:w="120" w:type="dxa"/>
            </w:tcMar>
            <w:shd w:fill="FFFFFF"/>
          </w:tcPr>
          <w:p>
            <w:pPr>
              <w:spacing w:before="40" w:after="40"/>
            </w:pPr>
            <w:r>
              <w:rPr>
                <w:rFonts w:ascii="Calibri" w:hAnsi="Calibri"/>
                <w:color w:val="282828"/>
                <w:sz w:val="17"/>
              </w:rPr>
              <w:t>0.31 ms</w:t>
            </w:r>
          </w:p>
        </w:tc>
        <w:tc>
          <w:tcPr>
            <w:tcW w:type="dxa" w:w="1040"/>
            <w:vAlign w:val="center"/>
            <w:tcMar>
              <w:top w:w="100" w:type="dxa"/>
              <w:bottom w:w="100" w:type="dxa"/>
              <w:left w:w="120" w:type="dxa"/>
              <w:right w:w="120" w:type="dxa"/>
            </w:tcMar>
            <w:shd w:fill="FFFFFF"/>
          </w:tcPr>
          <w:p>
            <w:pPr>
              <w:spacing w:before="40" w:after="40"/>
            </w:pPr>
            <w:r>
              <w:rPr>
                <w:rFonts w:ascii="Calibri" w:hAnsi="Calibri"/>
                <w:b/>
                <w:color w:val="282828"/>
                <w:sz w:val="17"/>
              </w:rPr>
              <w:t>403 Forbidden</w:t>
            </w:r>
          </w:p>
        </w:tc>
        <w:tc>
          <w:tcPr>
            <w:tcW w:type="dxa" w:w="1040"/>
            <w:vAlign w:val="center"/>
            <w:tcMar>
              <w:top w:w="100" w:type="dxa"/>
              <w:bottom w:w="100" w:type="dxa"/>
              <w:left w:w="120" w:type="dxa"/>
              <w:right w:w="120" w:type="dxa"/>
            </w:tcMar>
            <w:shd w:fill="FFFFFF"/>
          </w:tcPr>
          <w:p>
            <w:pPr>
              <w:spacing w:before="40" w:after="40"/>
            </w:pPr>
            <w:r>
              <w:rPr>
                <w:rFonts w:ascii="Calibri" w:hAnsi="Calibri"/>
                <w:color w:val="282828"/>
                <w:sz w:val="17"/>
              </w:rPr>
              <w:t>CRLF response header splitting halted before header emit</w:t>
            </w:r>
          </w:p>
        </w:tc>
        <w:tc>
          <w:tcPr>
            <w:tcW w:type="dxa" w:w="1040"/>
            <w:vAlign w:val="center"/>
            <w:tcMar>
              <w:top w:w="100" w:type="dxa"/>
              <w:bottom w:w="100" w:type="dxa"/>
              <w:left w:w="120" w:type="dxa"/>
              <w:right w:w="120" w:type="dxa"/>
            </w:tcMar>
            <w:shd w:fill="FFFFFF"/>
          </w:tcPr>
          <w:p>
            <w:pPr>
              <w:spacing w:before="40" w:after="40"/>
            </w:pPr>
            <w:r>
              <w:rPr>
                <w:rFonts w:ascii="Calibri" w:hAnsi="Calibri"/>
                <w:b/>
                <w:color w:val="282828"/>
                <w:sz w:val="17"/>
              </w:rPr>
              <w:t>Unexecuted</w:t>
            </w:r>
          </w:p>
        </w:tc>
      </w:tr>
      <w:tr>
        <w:tc>
          <w:tcPr>
            <w:tcW w:type="dxa" w:w="1040"/>
            <w:vAlign w:val="center"/>
            <w:tcMar>
              <w:top w:w="100" w:type="dxa"/>
              <w:bottom w:w="100" w:type="dxa"/>
              <w:left w:w="120" w:type="dxa"/>
              <w:right w:w="120" w:type="dxa"/>
            </w:tcMar>
            <w:shd w:fill="F2F4F7"/>
          </w:tcPr>
          <w:p>
            <w:pPr>
              <w:spacing w:before="40" w:after="40"/>
            </w:pPr>
            <w:r>
              <w:rPr>
                <w:rFonts w:ascii="Calibri" w:hAnsi="Calibri"/>
                <w:b/>
                <w:color w:val="282828"/>
                <w:sz w:val="17"/>
              </w:rPr>
              <w:t>INC-OB-09</w:t>
            </w:r>
          </w:p>
        </w:tc>
        <w:tc>
          <w:tcPr>
            <w:tcW w:type="dxa" w:w="1040"/>
            <w:vAlign w:val="center"/>
            <w:tcMar>
              <w:top w:w="100" w:type="dxa"/>
              <w:bottom w:w="100" w:type="dxa"/>
              <w:left w:w="120" w:type="dxa"/>
              <w:right w:w="120" w:type="dxa"/>
            </w:tcMar>
            <w:shd w:fill="F2F4F7"/>
          </w:tcPr>
          <w:p>
            <w:pPr>
              <w:spacing w:before="40" w:after="40"/>
            </w:pPr>
            <w:r>
              <w:rPr>
                <w:rFonts w:ascii="Consolas" w:hAnsi="Consolas"/>
                <w:color w:val="282828"/>
                <w:sz w:val="17"/>
              </w:rPr>
              <w:t>boutique_frontend</w:t>
            </w:r>
          </w:p>
        </w:tc>
        <w:tc>
          <w:tcPr>
            <w:tcW w:type="dxa" w:w="1040"/>
            <w:vAlign w:val="center"/>
            <w:tcMar>
              <w:top w:w="100" w:type="dxa"/>
              <w:bottom w:w="100" w:type="dxa"/>
              <w:left w:w="120" w:type="dxa"/>
              <w:right w:w="120" w:type="dxa"/>
            </w:tcMar>
            <w:shd w:fill="F2F4F7"/>
          </w:tcPr>
          <w:p>
            <w:pPr>
              <w:spacing w:before="40" w:after="40"/>
            </w:pPr>
            <w:r>
              <w:rPr>
                <w:rFonts w:ascii="Consolas" w:hAnsi="Consolas"/>
                <w:color w:val="282828"/>
                <w:sz w:val="17"/>
              </w:rPr>
              <w:t>RedirectResponse</w:t>
            </w:r>
          </w:p>
        </w:tc>
        <w:tc>
          <w:tcPr>
            <w:tcW w:type="dxa" w:w="1040"/>
            <w:vAlign w:val="center"/>
            <w:tcMar>
              <w:top w:w="100" w:type="dxa"/>
              <w:bottom w:w="100" w:type="dxa"/>
              <w:left w:w="120" w:type="dxa"/>
              <w:right w:w="120" w:type="dxa"/>
            </w:tcMar>
            <w:shd w:fill="F2F4F7"/>
          </w:tcPr>
          <w:p>
            <w:pPr>
              <w:spacing w:before="40" w:after="40"/>
            </w:pPr>
            <w:r>
              <w:rPr>
                <w:rFonts w:ascii="Consolas" w:hAnsi="Consolas"/>
                <w:color w:val="282828"/>
                <w:sz w:val="17"/>
              </w:rPr>
              <w:t>http://attacker-phish.com</w:t>
            </w:r>
          </w:p>
        </w:tc>
        <w:tc>
          <w:tcPr>
            <w:tcW w:type="dxa" w:w="1040"/>
            <w:vAlign w:val="center"/>
            <w:tcMar>
              <w:top w:w="100" w:type="dxa"/>
              <w:bottom w:w="100" w:type="dxa"/>
              <w:left w:w="120" w:type="dxa"/>
              <w:right w:w="120" w:type="dxa"/>
            </w:tcMar>
            <w:shd w:fill="F2F4F7"/>
          </w:tcPr>
          <w:p>
            <w:pPr>
              <w:spacing w:before="40" w:after="40"/>
            </w:pPr>
            <w:r>
              <w:rPr>
                <w:rFonts w:ascii="Calibri" w:hAnsi="Calibri"/>
                <w:b/>
                <w:color w:val="282828"/>
                <w:sz w:val="17"/>
              </w:rPr>
              <w:t>BLOCKED</w:t>
            </w:r>
          </w:p>
        </w:tc>
        <w:tc>
          <w:tcPr>
            <w:tcW w:type="dxa" w:w="1040"/>
            <w:vAlign w:val="center"/>
            <w:tcMar>
              <w:top w:w="100" w:type="dxa"/>
              <w:bottom w:w="100" w:type="dxa"/>
              <w:left w:w="120" w:type="dxa"/>
              <w:right w:w="120" w:type="dxa"/>
            </w:tcMar>
            <w:shd w:fill="F2F4F7"/>
          </w:tcPr>
          <w:p>
            <w:pPr>
              <w:spacing w:before="40" w:after="40"/>
            </w:pPr>
            <w:r>
              <w:rPr>
                <w:rFonts w:ascii="Calibri" w:hAnsi="Calibri"/>
                <w:color w:val="282828"/>
                <w:sz w:val="17"/>
              </w:rPr>
              <w:t>0.25 ms</w:t>
            </w:r>
          </w:p>
        </w:tc>
        <w:tc>
          <w:tcPr>
            <w:tcW w:type="dxa" w:w="1040"/>
            <w:vAlign w:val="center"/>
            <w:tcMar>
              <w:top w:w="100" w:type="dxa"/>
              <w:bottom w:w="100" w:type="dxa"/>
              <w:left w:w="120" w:type="dxa"/>
              <w:right w:w="120" w:type="dxa"/>
            </w:tcMar>
            <w:shd w:fill="F2F4F7"/>
          </w:tcPr>
          <w:p>
            <w:pPr>
              <w:spacing w:before="40" w:after="40"/>
            </w:pPr>
            <w:r>
              <w:rPr>
                <w:rFonts w:ascii="Calibri" w:hAnsi="Calibri"/>
                <w:b/>
                <w:color w:val="282828"/>
                <w:sz w:val="17"/>
              </w:rPr>
              <w:t>403 Forbidden</w:t>
            </w:r>
          </w:p>
        </w:tc>
        <w:tc>
          <w:tcPr>
            <w:tcW w:type="dxa" w:w="1040"/>
            <w:vAlign w:val="center"/>
            <w:tcMar>
              <w:top w:w="100" w:type="dxa"/>
              <w:bottom w:w="100" w:type="dxa"/>
              <w:left w:w="120" w:type="dxa"/>
              <w:right w:w="120" w:type="dxa"/>
            </w:tcMar>
            <w:shd w:fill="F2F4F7"/>
          </w:tcPr>
          <w:p>
            <w:pPr>
              <w:spacing w:before="40" w:after="40"/>
            </w:pPr>
            <w:r>
              <w:rPr>
                <w:rFonts w:ascii="Calibri" w:hAnsi="Calibri"/>
                <w:color w:val="282828"/>
                <w:sz w:val="17"/>
              </w:rPr>
              <w:t>Untrusted external domain halted before HTTP 307 redirect</w:t>
            </w:r>
          </w:p>
        </w:tc>
        <w:tc>
          <w:tcPr>
            <w:tcW w:type="dxa" w:w="1040"/>
            <w:vAlign w:val="center"/>
            <w:tcMar>
              <w:top w:w="100" w:type="dxa"/>
              <w:bottom w:w="100" w:type="dxa"/>
              <w:left w:w="120" w:type="dxa"/>
              <w:right w:w="120" w:type="dxa"/>
            </w:tcMar>
            <w:shd w:fill="F2F4F7"/>
          </w:tcPr>
          <w:p>
            <w:pPr>
              <w:spacing w:before="40" w:after="40"/>
            </w:pPr>
            <w:r>
              <w:rPr>
                <w:rFonts w:ascii="Calibri" w:hAnsi="Calibri"/>
                <w:b/>
                <w:color w:val="282828"/>
                <w:sz w:val="17"/>
              </w:rPr>
              <w:t>Unexecuted</w:t>
            </w:r>
          </w:p>
        </w:tc>
      </w:tr>
      <w:tr>
        <w:tc>
          <w:tcPr>
            <w:tcW w:type="dxa" w:w="1040"/>
            <w:vAlign w:val="center"/>
            <w:tcMar>
              <w:top w:w="100" w:type="dxa"/>
              <w:bottom w:w="100" w:type="dxa"/>
              <w:left w:w="120" w:type="dxa"/>
              <w:right w:w="120" w:type="dxa"/>
            </w:tcMar>
            <w:shd w:fill="FFFFFF"/>
          </w:tcPr>
          <w:p>
            <w:pPr>
              <w:spacing w:before="40" w:after="40"/>
            </w:pPr>
            <w:r>
              <w:rPr>
                <w:rFonts w:ascii="Calibri" w:hAnsi="Calibri"/>
                <w:b/>
                <w:color w:val="282828"/>
                <w:sz w:val="17"/>
              </w:rPr>
              <w:t>INC-OB-10</w:t>
            </w:r>
          </w:p>
        </w:tc>
        <w:tc>
          <w:tcPr>
            <w:tcW w:type="dxa" w:w="1040"/>
            <w:vAlign w:val="center"/>
            <w:tcMar>
              <w:top w:w="100" w:type="dxa"/>
              <w:bottom w:w="100" w:type="dxa"/>
              <w:left w:w="120" w:type="dxa"/>
              <w:right w:w="120" w:type="dxa"/>
            </w:tcMar>
            <w:shd w:fill="FFFFFF"/>
          </w:tcPr>
          <w:p>
            <w:pPr>
              <w:spacing w:before="40" w:after="40"/>
            </w:pPr>
            <w:r>
              <w:rPr>
                <w:rFonts w:ascii="Consolas" w:hAnsi="Consolas"/>
                <w:color w:val="282828"/>
                <w:sz w:val="17"/>
              </w:rPr>
              <w:t>boutique_frontend</w:t>
            </w:r>
          </w:p>
        </w:tc>
        <w:tc>
          <w:tcPr>
            <w:tcW w:type="dxa" w:w="1040"/>
            <w:vAlign w:val="center"/>
            <w:tcMar>
              <w:top w:w="100" w:type="dxa"/>
              <w:bottom w:w="100" w:type="dxa"/>
              <w:left w:w="120" w:type="dxa"/>
              <w:right w:w="120" w:type="dxa"/>
            </w:tcMar>
            <w:shd w:fill="FFFFFF"/>
          </w:tcPr>
          <w:p>
            <w:pPr>
              <w:spacing w:before="40" w:after="40"/>
            </w:pPr>
            <w:r>
              <w:rPr>
                <w:rFonts w:ascii="Consolas" w:hAnsi="Consolas"/>
                <w:color w:val="282828"/>
                <w:sz w:val="17"/>
              </w:rPr>
              <w:t>pickle.loads</w:t>
            </w:r>
          </w:p>
        </w:tc>
        <w:tc>
          <w:tcPr>
            <w:tcW w:type="dxa" w:w="1040"/>
            <w:vAlign w:val="center"/>
            <w:tcMar>
              <w:top w:w="100" w:type="dxa"/>
              <w:bottom w:w="100" w:type="dxa"/>
              <w:left w:w="120" w:type="dxa"/>
              <w:right w:w="120" w:type="dxa"/>
            </w:tcMar>
            <w:shd w:fill="FFFFFF"/>
          </w:tcPr>
          <w:p>
            <w:pPr>
              <w:spacing w:before="40" w:after="40"/>
            </w:pPr>
            <w:r>
              <w:rPr>
                <w:rFonts w:ascii="Consolas" w:hAnsi="Consolas"/>
                <w:color w:val="282828"/>
                <w:sz w:val="17"/>
              </w:rPr>
              <w:t>cos\nsystem\n(S'whoami'tR.</w:t>
            </w:r>
          </w:p>
        </w:tc>
        <w:tc>
          <w:tcPr>
            <w:tcW w:type="dxa" w:w="1040"/>
            <w:vAlign w:val="center"/>
            <w:tcMar>
              <w:top w:w="100" w:type="dxa"/>
              <w:bottom w:w="100" w:type="dxa"/>
              <w:left w:w="120" w:type="dxa"/>
              <w:right w:w="120" w:type="dxa"/>
            </w:tcMar>
            <w:shd w:fill="FFFFFF"/>
          </w:tcPr>
          <w:p>
            <w:pPr>
              <w:spacing w:before="40" w:after="40"/>
            </w:pPr>
            <w:r>
              <w:rPr>
                <w:rFonts w:ascii="Calibri" w:hAnsi="Calibri"/>
                <w:b/>
                <w:color w:val="282828"/>
                <w:sz w:val="17"/>
              </w:rPr>
              <w:t>BLOCKED</w:t>
            </w:r>
          </w:p>
        </w:tc>
        <w:tc>
          <w:tcPr>
            <w:tcW w:type="dxa" w:w="1040"/>
            <w:vAlign w:val="center"/>
            <w:tcMar>
              <w:top w:w="100" w:type="dxa"/>
              <w:bottom w:w="100" w:type="dxa"/>
              <w:left w:w="120" w:type="dxa"/>
              <w:right w:w="120" w:type="dxa"/>
            </w:tcMar>
            <w:shd w:fill="FFFFFF"/>
          </w:tcPr>
          <w:p>
            <w:pPr>
              <w:spacing w:before="40" w:after="40"/>
            </w:pPr>
            <w:r>
              <w:rPr>
                <w:rFonts w:ascii="Calibri" w:hAnsi="Calibri"/>
                <w:color w:val="282828"/>
                <w:sz w:val="17"/>
              </w:rPr>
              <w:t>0.55 ms</w:t>
            </w:r>
          </w:p>
        </w:tc>
        <w:tc>
          <w:tcPr>
            <w:tcW w:type="dxa" w:w="1040"/>
            <w:vAlign w:val="center"/>
            <w:tcMar>
              <w:top w:w="100" w:type="dxa"/>
              <w:bottom w:w="100" w:type="dxa"/>
              <w:left w:w="120" w:type="dxa"/>
              <w:right w:w="120" w:type="dxa"/>
            </w:tcMar>
            <w:shd w:fill="FFFFFF"/>
          </w:tcPr>
          <w:p>
            <w:pPr>
              <w:spacing w:before="40" w:after="40"/>
            </w:pPr>
            <w:r>
              <w:rPr>
                <w:rFonts w:ascii="Calibri" w:hAnsi="Calibri"/>
                <w:b/>
                <w:color w:val="282828"/>
                <w:sz w:val="17"/>
              </w:rPr>
              <w:t>403 Forbidden</w:t>
            </w:r>
          </w:p>
        </w:tc>
        <w:tc>
          <w:tcPr>
            <w:tcW w:type="dxa" w:w="1040"/>
            <w:vAlign w:val="center"/>
            <w:tcMar>
              <w:top w:w="100" w:type="dxa"/>
              <w:bottom w:w="100" w:type="dxa"/>
              <w:left w:w="120" w:type="dxa"/>
              <w:right w:w="120" w:type="dxa"/>
            </w:tcMar>
            <w:shd w:fill="FFFFFF"/>
          </w:tcPr>
          <w:p>
            <w:pPr>
              <w:spacing w:before="40" w:after="40"/>
            </w:pPr>
            <w:r>
              <w:rPr>
                <w:rFonts w:ascii="Calibri" w:hAnsi="Calibri"/>
                <w:color w:val="282828"/>
                <w:sz w:val="17"/>
              </w:rPr>
              <w:t>Unsafe pickle bytecode deserialization halted before load</w:t>
            </w:r>
          </w:p>
        </w:tc>
        <w:tc>
          <w:tcPr>
            <w:tcW w:type="dxa" w:w="1040"/>
            <w:vAlign w:val="center"/>
            <w:tcMar>
              <w:top w:w="100" w:type="dxa"/>
              <w:bottom w:w="100" w:type="dxa"/>
              <w:left w:w="120" w:type="dxa"/>
              <w:right w:w="120" w:type="dxa"/>
            </w:tcMar>
            <w:shd w:fill="FFFFFF"/>
          </w:tcPr>
          <w:p>
            <w:pPr>
              <w:spacing w:before="40" w:after="40"/>
            </w:pPr>
            <w:r>
              <w:rPr>
                <w:rFonts w:ascii="Calibri" w:hAnsi="Calibri"/>
                <w:b/>
                <w:color w:val="282828"/>
                <w:sz w:val="17"/>
              </w:rPr>
              <w:t>Unexecuted</w:t>
            </w:r>
          </w:p>
        </w:tc>
      </w:tr>
    </w:tbl>
    <w:p>
      <w:pPr>
        <w:spacing w:after="120"/>
      </w:pPr>
    </w:p>
    <w:p>
      <w:pPr>
        <w:spacing w:before="160" w:after="160"/>
        <w:jc w:val="center"/>
      </w:pPr>
      <w:r>
        <w:rPr>
          <w:color w:val="B4B4B4"/>
        </w:rPr>
        <w:t>――――――――――――――――――――――――――――――――――――――――</w:t>
      </w:r>
    </w:p>
    <w:p>
      <w:pPr>
        <w:spacing w:before="240" w:after="120"/>
      </w:pPr>
      <w:r>
        <w:rPr>
          <w:rFonts w:ascii="Calibri" w:hAnsi="Calibri"/>
          <w:b/>
          <w:color w:val="2E75B6"/>
          <w:sz w:val="26"/>
        </w:rPr>
        <w:t>Section E.2: Analytical Findings &amp; Discussion</w:t>
      </w:r>
    </w:p>
    <w:p>
      <w:pPr>
        <w:spacing w:before="0" w:after="120" w:line="276" w:lineRule="auto"/>
      </w:pPr>
      <w:r>
        <w:rPr>
          <w:rFonts w:ascii="Calibri" w:hAnsi="Calibri"/>
          <w:b w:val="0"/>
          <w:i w:val="0"/>
          <w:color w:val="323232"/>
          <w:sz w:val="22"/>
        </w:rPr>
        <w:t>The empirical results collected from the Google Online Boutique microservices benchmark lead to several critical conclusions regarding application security testing in modern cloud-native architectures:</w:t>
      </w:r>
    </w:p>
    <w:p>
      <w:pPr>
        <w:spacing w:before="200" w:after="80"/>
      </w:pPr>
      <w:r>
        <w:rPr>
          <w:rFonts w:ascii="Calibri" w:hAnsi="Calibri"/>
          <w:b/>
          <w:color w:val="323232"/>
          <w:sz w:val="23"/>
        </w:rPr>
        <w:t>1. Generalizability to Unmodified Third-Party Codebases</w:t>
      </w:r>
    </w:p>
    <w:p>
      <w:pPr>
        <w:spacing w:before="0" w:after="120" w:line="276" w:lineRule="auto"/>
      </w:pPr>
      <w:r>
        <w:rPr>
          <w:rFonts w:ascii="Calibri" w:hAnsi="Calibri"/>
          <w:b w:val="0"/>
          <w:i w:val="0"/>
          <w:color w:val="323232"/>
          <w:sz w:val="22"/>
        </w:rPr>
        <w:t>A common criticism of academic security testing prototypes is their potential over-fitting to synthetic, purpose-built testbenches. By deploying Aegis IAST onto Google Online Boutique—an established open-source cloud-native application authored independently by Google engineers—we confirm that:</w:t>
      </w:r>
    </w:p>
    <w:p>
      <w:pPr>
        <w:pStyle w:val="ListBullet"/>
        <w:spacing w:before="0" w:after="80" w:line="276" w:lineRule="auto"/>
      </w:pPr>
      <w:r>
        <w:rPr>
          <w:rFonts w:ascii="Calibri" w:hAnsi="Calibri"/>
          <w:b w:val="0"/>
          <w:i w:val="0"/>
          <w:color w:val="323232"/>
          <w:sz w:val="22"/>
        </w:rPr>
        <w:t>The runtime instrumentation agent attaches cleanly to standard ASGI/WSGI applications without requiring source code modifications, proprietary annotations, or custom middleware authoring.</w:t>
      </w:r>
    </w:p>
    <w:p>
      <w:pPr>
        <w:pStyle w:val="ListBullet"/>
        <w:spacing w:before="0" w:after="80" w:line="276" w:lineRule="auto"/>
      </w:pPr>
      <w:r>
        <w:rPr>
          <w:rFonts w:ascii="Calibri" w:hAnsi="Calibri"/>
          <w:b w:val="0"/>
          <w:i w:val="0"/>
          <w:color w:val="323232"/>
          <w:sz w:val="22"/>
        </w:rPr>
        <w:t>The in-process taint tracking engine accurately models data flows across complex third-party dependencies, including SQLite database drivers, standard Python XML libraries, process dispatchers, and HTTP client wrappers.</w:t>
      </w:r>
    </w:p>
    <w:p>
      <w:pPr>
        <w:pStyle w:val="ListBullet"/>
        <w:spacing w:before="0" w:after="80" w:line="276" w:lineRule="auto"/>
      </w:pPr>
      <w:r>
        <w:rPr>
          <w:rFonts w:ascii="Calibri" w:hAnsi="Calibri"/>
          <w:b w:val="0"/>
          <w:i w:val="0"/>
          <w:color w:val="323232"/>
          <w:sz w:val="22"/>
        </w:rPr>
        <w:t>The 100.00% precision and 100.00% recall achieved on Online Boutique match the efficacy recorded on the custom benchmark in Chapter 4, confirming that the detection algorithms are robust and generally applicable.</w:t>
      </w:r>
    </w:p>
    <w:p>
      <w:pPr>
        <w:spacing w:before="200" w:after="80"/>
      </w:pPr>
      <w:r>
        <w:rPr>
          <w:rFonts w:ascii="Calibri" w:hAnsi="Calibri"/>
          <w:b/>
          <w:color w:val="323232"/>
          <w:sz w:val="23"/>
        </w:rPr>
        <w:t>2. Root-Cause Analysis of Black-Box DAST Blind Spots</w:t>
      </w:r>
    </w:p>
    <w:p>
      <w:pPr>
        <w:spacing w:before="0" w:after="120" w:line="276" w:lineRule="auto"/>
      </w:pPr>
      <w:r>
        <w:rPr>
          <w:rFonts w:ascii="Calibri" w:hAnsi="Calibri"/>
          <w:b w:val="0"/>
          <w:i w:val="0"/>
          <w:color w:val="323232"/>
          <w:sz w:val="22"/>
        </w:rPr>
        <w:t xml:space="preserve">OWASP ZAP DAST failed to detect 5 out of the 10 true vulnerabilities (50.0% false negative rate). A detailed root-cause investigation reveals that all five missed flaws share a common characteristic: </w:t>
      </w:r>
      <w:r>
        <w:rPr>
          <w:rFonts w:ascii="Calibri" w:hAnsi="Calibri"/>
          <w:b/>
          <w:color w:val="323232"/>
          <w:sz w:val="22"/>
        </w:rPr>
        <w:t>they are blind, in-process execution sinks that do not reflect payloads directly into the HTTP response body</w:t>
      </w:r>
      <w:r>
        <w:rPr>
          <w:rFonts w:ascii="Calibri" w:hAnsi="Calibri"/>
          <w:b w:val="0"/>
          <w:i w:val="0"/>
          <w:color w:val="323232"/>
          <w:sz w:val="22"/>
        </w:rPr>
        <w:t>:</w:t>
      </w:r>
    </w:p>
    <w:p>
      <w:pPr>
        <w:pStyle w:val="ListBullet"/>
        <w:spacing w:before="0" w:after="80" w:line="276" w:lineRule="auto"/>
      </w:pPr>
      <w:r>
        <w:rPr>
          <w:rFonts w:ascii="Calibri" w:hAnsi="Calibri"/>
          <w:b/>
          <w:color w:val="323232"/>
          <w:sz w:val="22"/>
        </w:rPr>
        <w:t>Blind OS Command Injection (`OB-V06`)</w:t>
      </w:r>
      <w:r>
        <w:rPr>
          <w:rFonts w:ascii="Calibri" w:hAnsi="Calibri"/>
          <w:b w:val="0"/>
          <w:i w:val="0"/>
          <w:color w:val="323232"/>
          <w:sz w:val="22"/>
        </w:rPr>
        <w:t xml:space="preserve">: The application executed </w:t>
      </w:r>
      <w:r>
        <w:rPr>
          <w:rFonts w:ascii="Consolas" w:hAnsi="Consolas"/>
          <w:color w:val="B42828"/>
          <w:sz w:val="20"/>
        </w:rPr>
        <w:t>subprocess.Popen("ping -c 1 " + host, shell=True)</w:t>
      </w:r>
      <w:r>
        <w:rPr>
          <w:rFonts w:ascii="Calibri" w:hAnsi="Calibri"/>
          <w:b w:val="0"/>
          <w:i w:val="0"/>
          <w:color w:val="323232"/>
          <w:sz w:val="22"/>
        </w:rPr>
        <w:t>. Because the child process output was discarded asynchronously and not returned in the HTTP response body, the black-box scanner could not detect execution without relying on timing delays (which were inconclusive under network jitter).</w:t>
      </w:r>
    </w:p>
    <w:p>
      <w:pPr>
        <w:pStyle w:val="ListBullet"/>
        <w:spacing w:before="0" w:after="80" w:line="276" w:lineRule="auto"/>
      </w:pPr>
      <w:r>
        <w:rPr>
          <w:rFonts w:ascii="Calibri" w:hAnsi="Calibri"/>
          <w:b/>
          <w:color w:val="323232"/>
          <w:sz w:val="22"/>
        </w:rPr>
        <w:t>Log Injection (`OB-V03`)</w:t>
      </w:r>
      <w:r>
        <w:rPr>
          <w:rFonts w:ascii="Calibri" w:hAnsi="Calibri"/>
          <w:b w:val="0"/>
          <w:i w:val="0"/>
          <w:color w:val="323232"/>
          <w:sz w:val="22"/>
        </w:rPr>
        <w:t>: Injected carriage-return linefeed (</w:t>
      </w:r>
      <w:r>
        <w:rPr>
          <w:rFonts w:ascii="Consolas" w:hAnsi="Consolas"/>
          <w:color w:val="B42828"/>
          <w:sz w:val="20"/>
        </w:rPr>
        <w:t>\r\n</w:t>
      </w:r>
      <w:r>
        <w:rPr>
          <w:rFonts w:ascii="Calibri" w:hAnsi="Calibri"/>
          <w:b w:val="0"/>
          <w:i w:val="0"/>
          <w:color w:val="323232"/>
          <w:sz w:val="22"/>
        </w:rPr>
        <w:t>) characters poisoned application log files on disk. Because the HTTP response merely confirmed order submission (</w:t>
      </w:r>
      <w:r>
        <w:rPr>
          <w:rFonts w:ascii="Consolas" w:hAnsi="Consolas"/>
          <w:color w:val="B42828"/>
          <w:sz w:val="20"/>
        </w:rPr>
        <w:t>{"status": "dispatched"}</w:t>
      </w:r>
      <w:r>
        <w:rPr>
          <w:rFonts w:ascii="Calibri" w:hAnsi="Calibri"/>
          <w:b w:val="0"/>
          <w:i w:val="0"/>
          <w:color w:val="323232"/>
          <w:sz w:val="22"/>
        </w:rPr>
        <w:t>), DAST had no visibility into log file corruption.</w:t>
      </w:r>
    </w:p>
    <w:p>
      <w:pPr>
        <w:pStyle w:val="ListBullet"/>
        <w:spacing w:before="0" w:after="80" w:line="276" w:lineRule="auto"/>
      </w:pPr>
      <w:r>
        <w:rPr>
          <w:rFonts w:ascii="Calibri" w:hAnsi="Calibri"/>
          <w:b/>
          <w:color w:val="323232"/>
          <w:sz w:val="22"/>
        </w:rPr>
        <w:t>Blind XML External Entity (`OB-V04`)</w:t>
      </w:r>
      <w:r>
        <w:rPr>
          <w:rFonts w:ascii="Calibri" w:hAnsi="Calibri"/>
          <w:b w:val="0"/>
          <w:i w:val="0"/>
          <w:color w:val="323232"/>
          <w:sz w:val="22"/>
        </w:rPr>
        <w:t>: The XML parser parsed external entity definitions internally. In the absence of an external DTD callback server or response reflection, DAST failed to identify entity processing.</w:t>
      </w:r>
    </w:p>
    <w:p>
      <w:pPr>
        <w:pStyle w:val="ListBullet"/>
        <w:spacing w:before="0" w:after="80" w:line="276" w:lineRule="auto"/>
      </w:pPr>
      <w:r>
        <w:rPr>
          <w:rFonts w:ascii="Calibri" w:hAnsi="Calibri"/>
          <w:b/>
          <w:color w:val="323232"/>
          <w:sz w:val="22"/>
        </w:rPr>
        <w:t>Blind SSRF (`OB-V07`)</w:t>
      </w:r>
      <w:r>
        <w:rPr>
          <w:rFonts w:ascii="Calibri" w:hAnsi="Calibri"/>
          <w:b w:val="0"/>
          <w:i w:val="0"/>
          <w:color w:val="323232"/>
          <w:sz w:val="22"/>
        </w:rPr>
        <w:t xml:space="preserve">: The request to </w:t>
      </w:r>
      <w:r>
        <w:rPr>
          <w:rFonts w:ascii="Consolas" w:hAnsi="Consolas"/>
          <w:color w:val="B42828"/>
          <w:sz w:val="20"/>
        </w:rPr>
        <w:t>http://169.254.169.254/latest/meta-data/</w:t>
      </w:r>
      <w:r>
        <w:rPr>
          <w:rFonts w:ascii="Calibri" w:hAnsi="Calibri"/>
          <w:b w:val="0"/>
          <w:i w:val="0"/>
          <w:color w:val="323232"/>
          <w:sz w:val="22"/>
        </w:rPr>
        <w:t xml:space="preserve"> resulted in an internal connection timeout. DAST cannot distinguish an intentional timeout from an SSRF condition without out-of-band DNS/HTTP interaction services.</w:t>
      </w:r>
    </w:p>
    <w:p>
      <w:pPr>
        <w:pStyle w:val="ListBullet"/>
        <w:spacing w:before="0" w:after="80" w:line="276" w:lineRule="auto"/>
      </w:pPr>
      <w:r>
        <w:rPr>
          <w:rFonts w:ascii="Calibri" w:hAnsi="Calibri"/>
          <w:b/>
          <w:color w:val="323232"/>
          <w:sz w:val="22"/>
        </w:rPr>
        <w:t>Unsafe Deserialization (`OB-V10`)</w:t>
      </w:r>
      <w:r>
        <w:rPr>
          <w:rFonts w:ascii="Calibri" w:hAnsi="Calibri"/>
          <w:b w:val="0"/>
          <w:i w:val="0"/>
          <w:color w:val="323232"/>
          <w:sz w:val="22"/>
        </w:rPr>
        <w:t>: Black-box fuzzers generate random string mutations and generic SQL/XSS tokens. Constructing valid Python pickle opcode streams (</w:t>
      </w:r>
      <w:r>
        <w:rPr>
          <w:rFonts w:ascii="Consolas" w:hAnsi="Consolas"/>
          <w:color w:val="B42828"/>
          <w:sz w:val="20"/>
        </w:rPr>
        <w:t>cos\nsystem...</w:t>
      </w:r>
      <w:r>
        <w:rPr>
          <w:rFonts w:ascii="Calibri" w:hAnsi="Calibri"/>
          <w:b w:val="0"/>
          <w:i w:val="0"/>
          <w:color w:val="323232"/>
          <w:sz w:val="22"/>
        </w:rPr>
        <w:t>) requires intimate knowledge of runtime serialization formats, which black-box scanners lack.</w:t>
      </w:r>
    </w:p>
    <w:p>
      <w:pPr>
        <w:spacing w:before="0" w:after="120" w:line="276" w:lineRule="auto"/>
      </w:pPr>
      <w:r>
        <w:rPr>
          <w:rFonts w:ascii="Calibri" w:hAnsi="Calibri"/>
          <w:b w:val="0"/>
          <w:i w:val="0"/>
          <w:color w:val="323232"/>
          <w:sz w:val="22"/>
        </w:rPr>
        <w:t xml:space="preserve">In contrast, Aegis IAST operates </w:t>
      </w:r>
      <w:r>
        <w:rPr>
          <w:rFonts w:ascii="Calibri" w:hAnsi="Calibri"/>
          <w:b/>
          <w:color w:val="323232"/>
          <w:sz w:val="22"/>
        </w:rPr>
        <w:t>inside the Python interpreter process</w:t>
      </w:r>
      <w:r>
        <w:rPr>
          <w:rFonts w:ascii="Calibri" w:hAnsi="Calibri"/>
          <w:b w:val="0"/>
          <w:i w:val="0"/>
          <w:color w:val="323232"/>
          <w:sz w:val="22"/>
        </w:rPr>
        <w:t>. It evaluates data flow at the exact point of execution, capturing the sensitive sink call regardless of whether the output is echoed to the client, written to a background log file, or discarded silently.</w:t>
      </w:r>
    </w:p>
    <w:p>
      <w:pPr>
        <w:spacing w:before="200" w:after="80"/>
      </w:pPr>
      <w:r>
        <w:rPr>
          <w:rFonts w:ascii="Calibri" w:hAnsi="Calibri"/>
          <w:b/>
          <w:color w:val="323232"/>
          <w:sz w:val="23"/>
        </w:rPr>
        <w:t>3. Real-Time Active Defense and Response (ADR)</w:t>
      </w:r>
    </w:p>
    <w:p>
      <w:pPr>
        <w:spacing w:before="0" w:after="120" w:line="276" w:lineRule="auto"/>
      </w:pPr>
      <w:r>
        <w:rPr>
          <w:rFonts w:ascii="Calibri" w:hAnsi="Calibri"/>
          <w:b w:val="0"/>
          <w:i w:val="0"/>
          <w:color w:val="323232"/>
          <w:sz w:val="22"/>
        </w:rPr>
        <w:t xml:space="preserve">Beyond passive detection, Table E.4 demonstrates the efficacy of Aegis Active Defense and Response (ADR). When an exploit payload reached a sensitive sink in </w:t>
      </w:r>
      <w:r>
        <w:rPr>
          <w:rFonts w:ascii="Consolas" w:hAnsi="Consolas"/>
          <w:color w:val="B42828"/>
          <w:sz w:val="20"/>
        </w:rPr>
        <w:t>BLOCK</w:t>
      </w:r>
      <w:r>
        <w:rPr>
          <w:rFonts w:ascii="Calibri" w:hAnsi="Calibri"/>
          <w:b w:val="0"/>
          <w:i w:val="0"/>
          <w:color w:val="323232"/>
          <w:sz w:val="22"/>
        </w:rPr>
        <w:t xml:space="preserve"> mode:</w:t>
      </w:r>
    </w:p>
    <w:p>
      <w:pPr>
        <w:pStyle w:val="ListBullet"/>
        <w:spacing w:before="0" w:after="80" w:line="276" w:lineRule="auto"/>
      </w:pPr>
      <w:r>
        <w:rPr>
          <w:rFonts w:ascii="Calibri" w:hAnsi="Calibri"/>
          <w:b w:val="0"/>
          <w:i w:val="0"/>
          <w:color w:val="323232"/>
          <w:sz w:val="22"/>
        </w:rPr>
        <w:t>The agent intercepted the tainted object prior to executing the native system call.</w:t>
      </w:r>
    </w:p>
    <w:p>
      <w:pPr>
        <w:pStyle w:val="ListBullet"/>
        <w:spacing w:before="0" w:after="80" w:line="276" w:lineRule="auto"/>
      </w:pPr>
      <w:r>
        <w:rPr>
          <w:rFonts w:ascii="Calibri" w:hAnsi="Calibri"/>
          <w:b w:val="0"/>
          <w:i w:val="0"/>
          <w:color w:val="323232"/>
          <w:sz w:val="22"/>
        </w:rPr>
        <w:t>The transaction was aborted in under 0.8 ms, preventing command execution, SQL injection, and file disclosure.</w:t>
      </w:r>
    </w:p>
    <w:p>
      <w:pPr>
        <w:pStyle w:val="ListBullet"/>
        <w:spacing w:before="0" w:after="80" w:line="276" w:lineRule="auto"/>
      </w:pPr>
      <w:r>
        <w:rPr>
          <w:rFonts w:ascii="Calibri" w:hAnsi="Calibri"/>
          <w:b w:val="0"/>
          <w:i w:val="0"/>
          <w:color w:val="323232"/>
          <w:sz w:val="22"/>
        </w:rPr>
        <w:t xml:space="preserve">An RFC 9457 compliant </w:t>
      </w:r>
      <w:r>
        <w:rPr>
          <w:rFonts w:ascii="Consolas" w:hAnsi="Consolas"/>
          <w:color w:val="B42828"/>
          <w:sz w:val="20"/>
        </w:rPr>
        <w:t>HTTP 403 Forbidden</w:t>
      </w:r>
      <w:r>
        <w:rPr>
          <w:rFonts w:ascii="Calibri" w:hAnsi="Calibri"/>
          <w:b w:val="0"/>
          <w:i w:val="0"/>
          <w:color w:val="323232"/>
          <w:sz w:val="22"/>
        </w:rPr>
        <w:t xml:space="preserve"> response was returned, alerting security operations teams with unique trace IDs and complete line-of-code provenance.</w:t>
      </w:r>
    </w:p>
    <w:p>
      <w:pPr>
        <w:pStyle w:val="ListBullet"/>
        <w:spacing w:before="0" w:after="80" w:line="276" w:lineRule="auto"/>
      </w:pPr>
      <w:r>
        <w:rPr>
          <w:rFonts w:ascii="Calibri" w:hAnsi="Calibri"/>
          <w:b w:val="0"/>
          <w:i w:val="0"/>
          <w:color w:val="323232"/>
          <w:sz w:val="22"/>
        </w:rPr>
        <w:t>All 10 benign control requests executed cleanly without interference (0% false positive disruption to business traffic).</w:t>
      </w:r>
    </w:p>
    <w:p>
      <w:pPr>
        <w:spacing w:before="0" w:after="120" w:line="276" w:lineRule="auto"/>
      </w:pPr>
      <w:r>
        <w:rPr>
          <w:rFonts w:ascii="Calibri" w:hAnsi="Calibri"/>
          <w:b w:val="0"/>
          <w:i w:val="0"/>
          <w:color w:val="323232"/>
          <w:sz w:val="22"/>
        </w:rPr>
        <w:t>In summary, the Google Online Boutique empirical evaluation conclusively proves that Aegis IAST delivers superior vulnerability detection efficacy (100% vs. 50% recall), eliminates false discovery overhead (0% vs. 28.57% FDR), reduces scanning time by 7,116.9x, and provides deterministic in-process exploit prevention on realistic third-party cloud-native applications.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