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8F78" w14:textId="77777777" w:rsidR="00AB2045" w:rsidRDefault="00F97DBB">
      <w:pPr>
        <w:pStyle w:val="Heading1"/>
      </w:pPr>
      <w:r>
        <w:t xml:space="preserve">2. RNA Analysis (mRNA </w:t>
      </w:r>
      <w:r>
        <w:rPr>
          <w:spacing w:val="-2"/>
        </w:rPr>
        <w:t>Features)</w:t>
      </w:r>
    </w:p>
    <w:p w14:paraId="6C98DED5" w14:textId="77777777" w:rsidR="00AB2045" w:rsidRDefault="00AB2045">
      <w:pPr>
        <w:pStyle w:val="BodyText"/>
        <w:spacing w:before="32"/>
        <w:ind w:left="0"/>
        <w:rPr>
          <w:rFonts w:ascii="Arial"/>
          <w:b/>
          <w:sz w:val="28"/>
        </w:rPr>
      </w:pPr>
    </w:p>
    <w:p w14:paraId="3FA99554" w14:textId="77777777" w:rsidR="00AB2045" w:rsidRDefault="00F97DBB">
      <w:pPr>
        <w:pStyle w:val="BodyText"/>
        <w:spacing w:before="0" w:line="266" w:lineRule="auto"/>
      </w:pPr>
      <w:r>
        <w:t>The</w:t>
      </w:r>
      <w:r>
        <w:rPr>
          <w:spacing w:val="-3"/>
        </w:rPr>
        <w:t xml:space="preserve"> </w:t>
      </w:r>
      <w:r>
        <w:t>DNA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converted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corresponding mRNA sequence using an online transcription tool. RNA-level analysis was then performed to investigate untranslated regions (UTRs), secondary structure, and regulatory sequence motifs.</w:t>
      </w:r>
    </w:p>
    <w:p w14:paraId="67D28C68" w14:textId="77777777" w:rsidR="00AB2045" w:rsidRDefault="00F97DBB">
      <w:pPr>
        <w:pStyle w:val="BodyText"/>
        <w:spacing w:before="152" w:line="266" w:lineRule="auto"/>
      </w:pPr>
      <w:r>
        <w:t>The</w:t>
      </w:r>
      <w:r>
        <w:rPr>
          <w:spacing w:val="-3"/>
        </w:rPr>
        <w:t xml:space="preserve"> </w:t>
      </w:r>
      <w:r>
        <w:t>mRNA</w:t>
      </w:r>
      <w:r>
        <w:rPr>
          <w:spacing w:val="-3"/>
        </w:rPr>
        <w:t xml:space="preserve"> </w:t>
      </w:r>
      <w:r>
        <w:t>secondary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predicted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RNAfold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ViennaRNA</w:t>
      </w:r>
      <w:r>
        <w:rPr>
          <w:spacing w:val="-3"/>
        </w:rPr>
        <w:t xml:space="preserve"> </w:t>
      </w:r>
      <w:r>
        <w:t>Webserver. RNAfold computes the minimum free energy (MFE) structure, representing the most thermodynamically stable folding of the RNA molecule.</w:t>
      </w:r>
    </w:p>
    <w:p w14:paraId="13616A45" w14:textId="77777777" w:rsidR="00AB2045" w:rsidRDefault="00F97DBB">
      <w:pPr>
        <w:pStyle w:val="BodyText"/>
        <w:spacing w:before="158" w:line="266" w:lineRule="auto"/>
        <w:ind w:right="123"/>
      </w:pPr>
      <w:r>
        <w:t>The graphical output displays stem–loop structures and branching regions. Color coding represents</w:t>
      </w:r>
      <w:r>
        <w:rPr>
          <w:spacing w:val="-3"/>
        </w:rPr>
        <w:t xml:space="preserve"> </w:t>
      </w:r>
      <w:r>
        <w:t>base-pairing</w:t>
      </w:r>
      <w:r>
        <w:rPr>
          <w:spacing w:val="-3"/>
        </w:rPr>
        <w:t xml:space="preserve"> </w:t>
      </w:r>
      <w:r>
        <w:t>probabilities,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t>regions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stable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pairs</w:t>
      </w:r>
      <w:r>
        <w:rPr>
          <w:spacing w:val="-3"/>
        </w:rPr>
        <w:t xml:space="preserve"> </w:t>
      </w:r>
      <w:r>
        <w:t>and blue regions represent less stable or unpaired nucleotides.</w:t>
      </w:r>
    </w:p>
    <w:p w14:paraId="1B368F8B" w14:textId="77777777" w:rsidR="00AB2045" w:rsidRDefault="00F97DBB">
      <w:pPr>
        <w:pStyle w:val="BodyText"/>
        <w:spacing w:before="5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57216" behindDoc="1" locked="0" layoutInCell="1" allowOverlap="1" wp14:anchorId="63FED7E7" wp14:editId="42ADAEDB">
            <wp:simplePos x="0" y="0"/>
            <wp:positionH relativeFrom="page">
              <wp:posOffset>1259840</wp:posOffset>
            </wp:positionH>
            <wp:positionV relativeFrom="paragraph">
              <wp:posOffset>91440</wp:posOffset>
            </wp:positionV>
            <wp:extent cx="5026025" cy="646176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813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D7CFF" w14:textId="77777777" w:rsidR="00AB2045" w:rsidRDefault="00F97DBB">
      <w:pPr>
        <w:spacing w:before="42"/>
        <w:ind w:left="120"/>
        <w:rPr>
          <w:rFonts w:ascii="Arial"/>
          <w:b/>
        </w:rPr>
      </w:pPr>
      <w:r>
        <w:rPr>
          <w:rFonts w:ascii="Arial"/>
          <w:b/>
        </w:rPr>
        <w:t xml:space="preserve">RNA Structure Stability </w:t>
      </w:r>
      <w:r>
        <w:rPr>
          <w:rFonts w:ascii="Arial"/>
          <w:b/>
          <w:spacing w:val="-2"/>
        </w:rPr>
        <w:t>Explanation:</w:t>
      </w:r>
    </w:p>
    <w:p w14:paraId="472110A3" w14:textId="77777777" w:rsidR="00AB2045" w:rsidRDefault="00F97DBB">
      <w:pPr>
        <w:pStyle w:val="ListParagraph"/>
        <w:numPr>
          <w:ilvl w:val="1"/>
          <w:numId w:val="1"/>
        </w:numPr>
        <w:tabs>
          <w:tab w:val="left" w:pos="258"/>
        </w:tabs>
        <w:ind w:left="3878" w:hanging="138"/>
      </w:pPr>
      <w:r>
        <w:t xml:space="preserve">The presence of multiple stem–loop structures indicates stable intramolecular base </w:t>
      </w:r>
      <w:r>
        <w:rPr>
          <w:spacing w:val="-2"/>
        </w:rPr>
        <w:t>pairing.</w:t>
      </w:r>
    </w:p>
    <w:p w14:paraId="5A881A6D" w14:textId="77777777" w:rsidR="00AB2045" w:rsidRDefault="00F97DBB">
      <w:pPr>
        <w:pStyle w:val="ListParagraph"/>
        <w:numPr>
          <w:ilvl w:val="1"/>
          <w:numId w:val="1"/>
        </w:numPr>
        <w:tabs>
          <w:tab w:val="left" w:pos="258"/>
        </w:tabs>
        <w:ind w:left="3878" w:hanging="138"/>
      </w:pPr>
      <w:r>
        <w:t xml:space="preserve">Low free energy folding suggests that the mRNA structure is thermodynamically </w:t>
      </w:r>
      <w:r>
        <w:rPr>
          <w:spacing w:val="-2"/>
        </w:rPr>
        <w:t>stable.</w:t>
      </w:r>
    </w:p>
    <w:p w14:paraId="326A9FF0" w14:textId="77777777" w:rsidR="00AB2045" w:rsidRDefault="00F97DBB">
      <w:pPr>
        <w:pStyle w:val="ListParagraph"/>
        <w:numPr>
          <w:ilvl w:val="1"/>
          <w:numId w:val="1"/>
        </w:numPr>
        <w:tabs>
          <w:tab w:val="left" w:pos="258"/>
        </w:tabs>
        <w:ind w:left="3878" w:hanging="138"/>
      </w:pPr>
      <w:r>
        <w:t xml:space="preserve">Stable secondary structures can influence ribosome binding and translation </w:t>
      </w:r>
      <w:r>
        <w:rPr>
          <w:spacing w:val="-2"/>
        </w:rPr>
        <w:t>efficiency.</w:t>
      </w:r>
    </w:p>
    <w:p w14:paraId="3F8699F2" w14:textId="77777777" w:rsidR="00AB2045" w:rsidRDefault="00AB2045">
      <w:pPr>
        <w:pStyle w:val="ListParagraph"/>
        <w:sectPr w:rsidR="00AB2045">
          <w:pgSz w:w="11910" w:h="16840"/>
          <w:pgMar w:top="1180" w:right="1133" w:bottom="280" w:left="1133" w:header="720" w:footer="720" w:gutter="0"/>
          <w:cols w:space="720"/>
        </w:sectPr>
      </w:pPr>
    </w:p>
    <w:p w14:paraId="29CCB800" w14:textId="77777777" w:rsidR="00AB2045" w:rsidRDefault="00F97DBB">
      <w:pPr>
        <w:pStyle w:val="Heading1"/>
        <w:numPr>
          <w:ilvl w:val="0"/>
          <w:numId w:val="1"/>
        </w:numPr>
        <w:tabs>
          <w:tab w:val="left" w:pos="431"/>
        </w:tabs>
        <w:ind w:left="4051" w:hanging="311"/>
      </w:pPr>
      <w:r>
        <w:t xml:space="preserve">Identification of regulatory </w:t>
      </w:r>
      <w:r>
        <w:rPr>
          <w:spacing w:val="-2"/>
        </w:rPr>
        <w:t>elements</w:t>
      </w:r>
    </w:p>
    <w:p w14:paraId="2DBB9EBC" w14:textId="77777777" w:rsidR="00AB2045" w:rsidRDefault="00F97DBB">
      <w:pPr>
        <w:pStyle w:val="BodyText"/>
        <w:spacing w:before="154" w:line="266" w:lineRule="auto"/>
        <w:ind w:right="845"/>
      </w:pPr>
      <w:r>
        <w:t>The mRNA sequence was analyzed for known regulatory elements such as the Kozak consensus sequence and polyadenylation (polyA) signals. As expected for a bacterial plasmid-derived</w:t>
      </w:r>
      <w:r>
        <w:rPr>
          <w:spacing w:val="-3"/>
        </w:rPr>
        <w:t xml:space="preserve"> </w:t>
      </w:r>
      <w:r>
        <w:t>gene,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canonical</w:t>
      </w:r>
      <w:r>
        <w:rPr>
          <w:spacing w:val="-3"/>
        </w:rPr>
        <w:t xml:space="preserve"> </w:t>
      </w:r>
      <w:r>
        <w:t>eukaryotic</w:t>
      </w:r>
      <w:r>
        <w:rPr>
          <w:spacing w:val="-3"/>
        </w:rPr>
        <w:t xml:space="preserve"> </w:t>
      </w:r>
      <w:r>
        <w:t>Kozak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polyA</w:t>
      </w:r>
      <w:r>
        <w:rPr>
          <w:spacing w:val="-3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 xml:space="preserve">not </w:t>
      </w:r>
      <w:r>
        <w:rPr>
          <w:spacing w:val="-2"/>
        </w:rPr>
        <w:t>detected.</w:t>
      </w:r>
    </w:p>
    <w:p w14:paraId="11C557C2" w14:textId="77777777" w:rsidR="00AB2045" w:rsidRDefault="00F97DBB">
      <w:pPr>
        <w:pStyle w:val="BodyText"/>
        <w:spacing w:before="157" w:line="266" w:lineRule="auto"/>
        <w:ind w:right="66"/>
      </w:pPr>
      <w:r>
        <w:t>However, the sequence contains a clear start codon (AUG) positioned appropriately for translation</w:t>
      </w:r>
      <w:r>
        <w:rPr>
          <w:spacing w:val="-4"/>
        </w:rPr>
        <w:t xml:space="preserve"> </w:t>
      </w:r>
      <w:r>
        <w:t>initiation,</w:t>
      </w:r>
      <w:r>
        <w:rPr>
          <w:spacing w:val="-4"/>
        </w:rPr>
        <w:t xml:space="preserve"> </w:t>
      </w:r>
      <w:r>
        <w:t>confirming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mRNA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competent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protein</w:t>
      </w:r>
      <w:r>
        <w:rPr>
          <w:spacing w:val="-4"/>
        </w:rPr>
        <w:t xml:space="preserve"> </w:t>
      </w:r>
      <w:r>
        <w:t>synthesis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prokaryotic </w:t>
      </w:r>
      <w:r>
        <w:rPr>
          <w:spacing w:val="-2"/>
        </w:rPr>
        <w:t>system.</w:t>
      </w:r>
    </w:p>
    <w:p w14:paraId="5AC46F90" w14:textId="77777777" w:rsidR="00AB2045" w:rsidRDefault="00F97DBB">
      <w:pPr>
        <w:pStyle w:val="BodyText"/>
        <w:spacing w:before="7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 wp14:anchorId="1C19DDA7" wp14:editId="27591E32">
            <wp:simplePos x="0" y="0"/>
            <wp:positionH relativeFrom="page">
              <wp:posOffset>1259840</wp:posOffset>
            </wp:positionH>
            <wp:positionV relativeFrom="paragraph">
              <wp:posOffset>206375</wp:posOffset>
            </wp:positionV>
            <wp:extent cx="5067300" cy="567563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67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8C918" w14:textId="77777777" w:rsidR="00AB2045" w:rsidRDefault="00AB2045">
      <w:pPr>
        <w:pStyle w:val="BodyText"/>
        <w:spacing w:before="196"/>
        <w:ind w:left="0"/>
      </w:pPr>
    </w:p>
    <w:p w14:paraId="2F477922" w14:textId="77777777" w:rsidR="00AB2045" w:rsidRDefault="00AB2045">
      <w:pPr>
        <w:pStyle w:val="ListParagraph"/>
        <w:tabs>
          <w:tab w:val="left" w:pos="258"/>
        </w:tabs>
        <w:ind w:left="3740" w:firstLine="0"/>
      </w:pPr>
    </w:p>
    <w:sectPr w:rsidR="00AB2045">
      <w:pgSz w:w="11910" w:h="16840"/>
      <w:pgMar w:top="118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0B3AE" w14:textId="77777777" w:rsidR="00AB2045" w:rsidRDefault="00F97DBB">
      <w:r>
        <w:separator/>
      </w:r>
    </w:p>
  </w:endnote>
  <w:endnote w:type="continuationSeparator" w:id="0">
    <w:p w14:paraId="0ABD2D5E" w14:textId="77777777" w:rsidR="00AB2045" w:rsidRDefault="00F97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B4C86" w14:textId="77777777" w:rsidR="00AB2045" w:rsidRDefault="00F97DBB">
      <w:r>
        <w:separator/>
      </w:r>
    </w:p>
  </w:footnote>
  <w:footnote w:type="continuationSeparator" w:id="0">
    <w:p w14:paraId="496D637C" w14:textId="77777777" w:rsidR="00AB2045" w:rsidRDefault="00F97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05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3879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5082" w:hanging="1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104" w:hanging="1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26" w:hanging="1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148" w:hanging="1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170" w:hanging="1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193" w:hanging="1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215" w:hanging="139"/>
      </w:pPr>
      <w:rPr>
        <w:rFonts w:hint="default"/>
        <w:lang w:val="en-US" w:eastAsia="en-US" w:bidi="ar-SA"/>
      </w:rPr>
    </w:lvl>
  </w:abstractNum>
  <w:num w:numId="1" w16cid:durableId="232087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8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2045"/>
    <w:rsid w:val="00AB2045"/>
    <w:rsid w:val="00F97DBB"/>
    <w:rsid w:val="00FB11EB"/>
    <w:rsid w:val="5C75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D6DE7"/>
  <w15:docId w15:val="{8A81D8BD-B1F0-BA44-9E69-77974B1C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F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/>
    </w:rPr>
  </w:style>
  <w:style w:type="paragraph" w:styleId="Heading1">
    <w:name w:val="heading 1"/>
    <w:basedOn w:val="Normal"/>
    <w:uiPriority w:val="1"/>
    <w:qFormat/>
    <w:pPr>
      <w:spacing w:before="73"/>
      <w:ind w:left="12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"/>
      <w:ind w:left="120"/>
    </w:p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7"/>
      <w:ind w:left="258" w:hanging="1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gmrpfks@gmail.com</cp:lastModifiedBy>
  <cp:revision>2</cp:revision>
  <dcterms:created xsi:type="dcterms:W3CDTF">2025-12-26T07:52:00Z</dcterms:created>
  <dcterms:modified xsi:type="dcterms:W3CDTF">2025-12-26T07:52:00Z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2025-12-25T00:00:00Z</vt:filetime>
  </property>
  <property fmtid="{D5CDD505-2E9C-101B-9397-08002B2CF9AE}" pid="5" name="Producer">
    <vt:lpwstr>ReportLab PDF Library - www.reportlab.com</vt:lpwstr>
  </property>
  <property fmtid="{D5CDD505-2E9C-101B-9397-08002B2CF9AE}" pid="6" name="KSOProductBuildVer">
    <vt:lpwstr>1033-12.2.0.23196</vt:lpwstr>
  </property>
  <property fmtid="{D5CDD505-2E9C-101B-9397-08002B2CF9AE}" pid="7" name="ICV">
    <vt:lpwstr>88F263ADB3694E9493F08EE06ED09271_13</vt:lpwstr>
  </property>
</Properties>
</file>