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3D27" w14:textId="57433AC3" w:rsidR="00C91216" w:rsidRPr="00B9704B" w:rsidRDefault="00C91216">
      <w:pPr>
        <w:rPr>
          <w:b/>
          <w:bCs/>
          <w:sz w:val="34"/>
          <w:szCs w:val="34"/>
        </w:rPr>
      </w:pPr>
      <w:r w:rsidRPr="00B9704B">
        <w:rPr>
          <w:b/>
          <w:bCs/>
          <w:sz w:val="34"/>
          <w:szCs w:val="34"/>
        </w:rPr>
        <w:t>Subcellular Localization Prediction</w:t>
      </w:r>
    </w:p>
    <w:p w14:paraId="6820CD93" w14:textId="4932323E" w:rsidR="009D18A9" w:rsidRDefault="00B72E55">
      <w:r>
        <w:rPr>
          <w:noProof/>
        </w:rPr>
        <w:drawing>
          <wp:anchor distT="0" distB="0" distL="114300" distR="114300" simplePos="0" relativeHeight="251659264" behindDoc="0" locked="0" layoutInCell="1" allowOverlap="1" wp14:anchorId="3EDC3B39" wp14:editId="40490028">
            <wp:simplePos x="0" y="0"/>
            <wp:positionH relativeFrom="column">
              <wp:posOffset>0</wp:posOffset>
            </wp:positionH>
            <wp:positionV relativeFrom="paragraph">
              <wp:posOffset>189865</wp:posOffset>
            </wp:positionV>
            <wp:extent cx="5943600" cy="2712720"/>
            <wp:effectExtent l="0" t="0" r="0" b="5080"/>
            <wp:wrapTopAndBottom/>
            <wp:docPr id="154390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02837" name="Picture 15439028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18A9">
        <w:br w:type="page"/>
      </w:r>
    </w:p>
    <w:p w14:paraId="7B7E888A" w14:textId="757EA59D" w:rsidR="00B72E55" w:rsidRDefault="00C75465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6A462A9" wp14:editId="65F7A3CA">
            <wp:simplePos x="0" y="0"/>
            <wp:positionH relativeFrom="column">
              <wp:posOffset>0</wp:posOffset>
            </wp:positionH>
            <wp:positionV relativeFrom="paragraph">
              <wp:posOffset>3274695</wp:posOffset>
            </wp:positionV>
            <wp:extent cx="5943600" cy="2955290"/>
            <wp:effectExtent l="0" t="0" r="0" b="3810"/>
            <wp:wrapTopAndBottom/>
            <wp:docPr id="63813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3722" name="Picture 638137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2D2BF" w14:textId="77777777" w:rsidR="00B72E55" w:rsidRDefault="00B72E55"/>
    <w:p w14:paraId="1B5BCE1C" w14:textId="30857BD3" w:rsidR="00894902" w:rsidRDefault="00894902"/>
    <w:p w14:paraId="0BEC18A9" w14:textId="77777777" w:rsidR="00894902" w:rsidRDefault="00894902">
      <w:r>
        <w:br w:type="page"/>
      </w:r>
    </w:p>
    <w:p w14:paraId="2A6B1B07" w14:textId="77777777" w:rsidR="00B9704B" w:rsidRPr="00497B02" w:rsidRDefault="00B9704B" w:rsidP="00B9704B">
      <w:pPr>
        <w:rPr>
          <w:b/>
          <w:bCs/>
          <w:sz w:val="34"/>
          <w:szCs w:val="34"/>
        </w:rPr>
      </w:pPr>
      <w:r w:rsidRPr="00497B02">
        <w:rPr>
          <w:b/>
          <w:bCs/>
          <w:sz w:val="34"/>
          <w:szCs w:val="34"/>
        </w:rPr>
        <w:lastRenderedPageBreak/>
        <w:t>Final predicted subcellular location: Periplasmic</w:t>
      </w:r>
    </w:p>
    <w:p w14:paraId="69F89CA7" w14:textId="77777777" w:rsidR="00B9704B" w:rsidRDefault="00B9704B" w:rsidP="00B9704B"/>
    <w:p w14:paraId="019EACF4" w14:textId="77777777" w:rsidR="00B9704B" w:rsidRPr="00497B02" w:rsidRDefault="00B9704B" w:rsidP="00B9704B">
      <w:pPr>
        <w:rPr>
          <w:sz w:val="28"/>
          <w:szCs w:val="28"/>
        </w:rPr>
      </w:pPr>
      <w:r w:rsidRPr="00497B02">
        <w:rPr>
          <w:sz w:val="28"/>
          <w:szCs w:val="28"/>
        </w:rPr>
        <w:t>Justification</w:t>
      </w:r>
    </w:p>
    <w:p w14:paraId="3F5DD0E7" w14:textId="77777777" w:rsidR="00B9704B" w:rsidRPr="00497B02" w:rsidRDefault="00B9704B" w:rsidP="00B9704B">
      <w:pPr>
        <w:rPr>
          <w:sz w:val="28"/>
          <w:szCs w:val="28"/>
        </w:rPr>
      </w:pPr>
      <w:r w:rsidRPr="00497B02">
        <w:rPr>
          <w:sz w:val="28"/>
          <w:szCs w:val="28"/>
        </w:rPr>
        <w:tab/>
        <w:t>1.</w:t>
      </w:r>
      <w:r w:rsidRPr="00497B02">
        <w:rPr>
          <w:sz w:val="28"/>
          <w:szCs w:val="28"/>
        </w:rPr>
        <w:tab/>
        <w:t>CELLO results (prokaryotic-focused predictor):</w:t>
      </w:r>
    </w:p>
    <w:p w14:paraId="0D23F39B" w14:textId="77777777" w:rsidR="00B9704B" w:rsidRPr="00497B02" w:rsidRDefault="00B9704B" w:rsidP="00B9704B">
      <w:pPr>
        <w:rPr>
          <w:sz w:val="28"/>
          <w:szCs w:val="28"/>
        </w:rPr>
      </w:pPr>
      <w:r w:rsidRPr="00497B02">
        <w:rPr>
          <w:sz w:val="28"/>
          <w:szCs w:val="28"/>
        </w:rPr>
        <w:tab/>
        <w:t>•</w:t>
      </w:r>
      <w:r w:rsidRPr="00497B02">
        <w:rPr>
          <w:sz w:val="28"/>
          <w:szCs w:val="28"/>
        </w:rPr>
        <w:tab/>
        <w:t>The highest CELLO score is for Periplasmic (2.366*), clearly exceeding Cytoplasmic (1.850*) and all other compartments.</w:t>
      </w:r>
    </w:p>
    <w:p w14:paraId="37453D67" w14:textId="77777777" w:rsidR="00B9704B" w:rsidRPr="00497B02" w:rsidRDefault="00B9704B" w:rsidP="00B9704B">
      <w:pPr>
        <w:rPr>
          <w:sz w:val="28"/>
          <w:szCs w:val="28"/>
        </w:rPr>
      </w:pPr>
      <w:r w:rsidRPr="00497B02">
        <w:rPr>
          <w:sz w:val="28"/>
          <w:szCs w:val="28"/>
        </w:rPr>
        <w:tab/>
        <w:t>•</w:t>
      </w:r>
      <w:r w:rsidRPr="00497B02">
        <w:rPr>
          <w:sz w:val="28"/>
          <w:szCs w:val="28"/>
        </w:rPr>
        <w:tab/>
        <w:t>Multiple independent feature sets within CELLO (amino acid composition, partitioned sequence composition, physicochemical properties, neighboring sequence composition) consistently favor periplasmic localization.</w:t>
      </w:r>
    </w:p>
    <w:p w14:paraId="765165D1" w14:textId="77777777" w:rsidR="00B9704B" w:rsidRPr="00497B02" w:rsidRDefault="00B9704B" w:rsidP="00B9704B">
      <w:pPr>
        <w:rPr>
          <w:sz w:val="28"/>
          <w:szCs w:val="28"/>
        </w:rPr>
      </w:pPr>
      <w:r w:rsidRPr="00497B02">
        <w:rPr>
          <w:sz w:val="28"/>
          <w:szCs w:val="28"/>
        </w:rPr>
        <w:tab/>
        <w:t>•</w:t>
      </w:r>
      <w:r w:rsidRPr="00497B02">
        <w:rPr>
          <w:sz w:val="28"/>
          <w:szCs w:val="28"/>
        </w:rPr>
        <w:tab/>
        <w:t>Reliability scores for periplasmic predictions (≈0.60–0.63) are reasonable and collectively stronger than alternatives.</w:t>
      </w:r>
    </w:p>
    <w:p w14:paraId="2BBBF51E" w14:textId="77777777" w:rsidR="00B9704B" w:rsidRPr="00497B02" w:rsidRDefault="00B9704B" w:rsidP="00B9704B">
      <w:pPr>
        <w:rPr>
          <w:sz w:val="28"/>
          <w:szCs w:val="28"/>
        </w:rPr>
      </w:pPr>
      <w:r w:rsidRPr="00497B02">
        <w:rPr>
          <w:sz w:val="28"/>
          <w:szCs w:val="28"/>
        </w:rPr>
        <w:tab/>
        <w:t>2.</w:t>
      </w:r>
      <w:r w:rsidRPr="00497B02">
        <w:rPr>
          <w:sz w:val="28"/>
          <w:szCs w:val="28"/>
        </w:rPr>
        <w:tab/>
        <w:t>Relative ranking of locations in CELLO:</w:t>
      </w:r>
    </w:p>
    <w:p w14:paraId="64B752D8" w14:textId="77777777" w:rsidR="00B9704B" w:rsidRPr="00497B02" w:rsidRDefault="00B9704B" w:rsidP="00B9704B">
      <w:pPr>
        <w:rPr>
          <w:sz w:val="28"/>
          <w:szCs w:val="28"/>
        </w:rPr>
      </w:pPr>
      <w:r w:rsidRPr="00497B02">
        <w:rPr>
          <w:sz w:val="28"/>
          <w:szCs w:val="28"/>
        </w:rPr>
        <w:tab/>
        <w:t>•</w:t>
      </w:r>
      <w:r w:rsidRPr="00497B02">
        <w:rPr>
          <w:sz w:val="28"/>
          <w:szCs w:val="28"/>
        </w:rPr>
        <w:tab/>
        <w:t>Periplasmic &gt; Cytoplasmic &gt;&gt; Extracellular / Outer membrane / Inner membrane</w:t>
      </w:r>
    </w:p>
    <w:p w14:paraId="67F2053A" w14:textId="77777777" w:rsidR="00B9704B" w:rsidRPr="00497B02" w:rsidRDefault="00B9704B" w:rsidP="00B9704B">
      <w:pPr>
        <w:rPr>
          <w:sz w:val="28"/>
          <w:szCs w:val="28"/>
        </w:rPr>
      </w:pPr>
      <w:r w:rsidRPr="00497B02">
        <w:rPr>
          <w:sz w:val="28"/>
          <w:szCs w:val="28"/>
        </w:rPr>
        <w:t>This hierarchy strongly supports a periplasmic assignment rather than a membrane-embedded or extracellular protein.</w:t>
      </w:r>
    </w:p>
    <w:p w14:paraId="4ABF7D54" w14:textId="77777777" w:rsidR="00B9704B" w:rsidRPr="00497B02" w:rsidRDefault="00B9704B" w:rsidP="00B9704B">
      <w:pPr>
        <w:rPr>
          <w:sz w:val="28"/>
          <w:szCs w:val="28"/>
        </w:rPr>
      </w:pPr>
      <w:r w:rsidRPr="00497B02">
        <w:rPr>
          <w:sz w:val="28"/>
          <w:szCs w:val="28"/>
        </w:rPr>
        <w:tab/>
        <w:t>3.</w:t>
      </w:r>
      <w:r w:rsidRPr="00497B02">
        <w:rPr>
          <w:sz w:val="28"/>
          <w:szCs w:val="28"/>
        </w:rPr>
        <w:tab/>
        <w:t>Second tool output (ProtT5-based eukaryotic-style prediction):</w:t>
      </w:r>
    </w:p>
    <w:p w14:paraId="2F37D1A3" w14:textId="77777777" w:rsidR="00B9704B" w:rsidRPr="00497B02" w:rsidRDefault="00B9704B" w:rsidP="00B9704B">
      <w:pPr>
        <w:rPr>
          <w:sz w:val="28"/>
          <w:szCs w:val="28"/>
        </w:rPr>
      </w:pPr>
      <w:r w:rsidRPr="00497B02">
        <w:rPr>
          <w:sz w:val="28"/>
          <w:szCs w:val="28"/>
        </w:rPr>
        <w:tab/>
        <w:t>•</w:t>
      </w:r>
      <w:r w:rsidRPr="00497B02">
        <w:rPr>
          <w:sz w:val="28"/>
          <w:szCs w:val="28"/>
        </w:rPr>
        <w:tab/>
        <w:t>It suggests Cytoplasm / Lysosome-Vacuole, with the highest probability for Lysosome/Vacuole.</w:t>
      </w:r>
    </w:p>
    <w:p w14:paraId="0B72370E" w14:textId="77777777" w:rsidR="00B9704B" w:rsidRPr="00497B02" w:rsidRDefault="00B9704B" w:rsidP="00B9704B">
      <w:pPr>
        <w:rPr>
          <w:sz w:val="28"/>
          <w:szCs w:val="28"/>
        </w:rPr>
      </w:pPr>
      <w:r w:rsidRPr="00497B02">
        <w:rPr>
          <w:sz w:val="28"/>
          <w:szCs w:val="28"/>
        </w:rPr>
        <w:tab/>
        <w:t>•</w:t>
      </w:r>
      <w:r w:rsidRPr="00497B02">
        <w:rPr>
          <w:sz w:val="28"/>
          <w:szCs w:val="28"/>
        </w:rPr>
        <w:tab/>
        <w:t>However, lysosome/vacuole is a eukaryotic compartment, which is not biologically compatible with a bacterial ORF (icl_ORF1).</w:t>
      </w:r>
    </w:p>
    <w:p w14:paraId="37B6C996" w14:textId="77777777" w:rsidR="00B9704B" w:rsidRPr="00497B02" w:rsidRDefault="00B9704B" w:rsidP="00B9704B">
      <w:pPr>
        <w:rPr>
          <w:sz w:val="28"/>
          <w:szCs w:val="28"/>
        </w:rPr>
      </w:pPr>
      <w:r w:rsidRPr="00497B02">
        <w:rPr>
          <w:sz w:val="28"/>
          <w:szCs w:val="28"/>
        </w:rPr>
        <w:tab/>
        <w:t>•</w:t>
      </w:r>
      <w:r w:rsidRPr="00497B02">
        <w:rPr>
          <w:sz w:val="28"/>
          <w:szCs w:val="28"/>
        </w:rPr>
        <w:tab/>
        <w:t>Therefore, this prediction is likely due to model mismatch (using a eukaryotic-trained predictor on a prokaryotic sequence).</w:t>
      </w:r>
    </w:p>
    <w:p w14:paraId="7A604D7D" w14:textId="77777777" w:rsidR="00B9704B" w:rsidRPr="00497B02" w:rsidRDefault="00B9704B" w:rsidP="00B9704B">
      <w:pPr>
        <w:rPr>
          <w:sz w:val="28"/>
          <w:szCs w:val="28"/>
        </w:rPr>
      </w:pPr>
      <w:r w:rsidRPr="00497B02">
        <w:rPr>
          <w:sz w:val="28"/>
          <w:szCs w:val="28"/>
        </w:rPr>
        <w:tab/>
        <w:t>4.</w:t>
      </w:r>
      <w:r w:rsidRPr="00497B02">
        <w:rPr>
          <w:sz w:val="28"/>
          <w:szCs w:val="28"/>
        </w:rPr>
        <w:tab/>
        <w:t>Biological consistency:</w:t>
      </w:r>
    </w:p>
    <w:p w14:paraId="5B89B7FC" w14:textId="77777777" w:rsidR="00B9704B" w:rsidRPr="00497B02" w:rsidRDefault="00B9704B" w:rsidP="00B9704B">
      <w:pPr>
        <w:rPr>
          <w:sz w:val="28"/>
          <w:szCs w:val="28"/>
        </w:rPr>
      </w:pPr>
      <w:r w:rsidRPr="00497B02">
        <w:rPr>
          <w:sz w:val="28"/>
          <w:szCs w:val="28"/>
        </w:rPr>
        <w:tab/>
        <w:t>•</w:t>
      </w:r>
      <w:r w:rsidRPr="00497B02">
        <w:rPr>
          <w:sz w:val="28"/>
          <w:szCs w:val="28"/>
        </w:rPr>
        <w:tab/>
        <w:t>CELLO is specifically designed for bacterial subcellular localization, making it the more appropriate and reliable predictor here.</w:t>
      </w:r>
    </w:p>
    <w:p w14:paraId="0930CF18" w14:textId="4D6416E3" w:rsidR="00C91216" w:rsidRPr="00497B02" w:rsidRDefault="00B9704B">
      <w:pPr>
        <w:rPr>
          <w:sz w:val="28"/>
          <w:szCs w:val="28"/>
        </w:rPr>
      </w:pPr>
      <w:r w:rsidRPr="00497B02">
        <w:rPr>
          <w:sz w:val="28"/>
          <w:szCs w:val="28"/>
        </w:rPr>
        <w:lastRenderedPageBreak/>
        <w:tab/>
        <w:t>•</w:t>
      </w:r>
      <w:r w:rsidRPr="00497B02">
        <w:rPr>
          <w:sz w:val="28"/>
          <w:szCs w:val="28"/>
        </w:rPr>
        <w:tab/>
        <w:t>The absence of strong inner/outer membrane signals further supports a soluble periplasmic protein.</w:t>
      </w:r>
    </w:p>
    <w:sectPr w:rsidR="00C91216" w:rsidRPr="00497B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84662" w14:textId="77777777" w:rsidR="00B9704B" w:rsidRDefault="00B9704B" w:rsidP="00B9704B">
      <w:pPr>
        <w:spacing w:after="0" w:line="240" w:lineRule="auto"/>
      </w:pPr>
      <w:r>
        <w:separator/>
      </w:r>
    </w:p>
  </w:endnote>
  <w:endnote w:type="continuationSeparator" w:id="0">
    <w:p w14:paraId="74A4AD15" w14:textId="77777777" w:rsidR="00B9704B" w:rsidRDefault="00B9704B" w:rsidP="00B97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B3926" w14:textId="77777777" w:rsidR="00B9704B" w:rsidRDefault="00B9704B" w:rsidP="00B9704B">
      <w:pPr>
        <w:spacing w:after="0" w:line="240" w:lineRule="auto"/>
      </w:pPr>
      <w:r>
        <w:separator/>
      </w:r>
    </w:p>
  </w:footnote>
  <w:footnote w:type="continuationSeparator" w:id="0">
    <w:p w14:paraId="509E2030" w14:textId="77777777" w:rsidR="00B9704B" w:rsidRDefault="00B9704B" w:rsidP="00B970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16"/>
    <w:rsid w:val="0044398B"/>
    <w:rsid w:val="00497B02"/>
    <w:rsid w:val="00894902"/>
    <w:rsid w:val="009D18A9"/>
    <w:rsid w:val="00B72E55"/>
    <w:rsid w:val="00B9704B"/>
    <w:rsid w:val="00C75465"/>
    <w:rsid w:val="00C9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F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5CD451"/>
  <w15:chartTrackingRefBased/>
  <w15:docId w15:val="{95BC3D6D-CA6E-A94D-B983-DDF0E6CB5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2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2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2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2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70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04B"/>
  </w:style>
  <w:style w:type="paragraph" w:styleId="Footer">
    <w:name w:val="footer"/>
    <w:basedOn w:val="Normal"/>
    <w:link w:val="FooterChar"/>
    <w:uiPriority w:val="99"/>
    <w:unhideWhenUsed/>
    <w:rsid w:val="00B970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gmrpfks@gmail.com</dc:creator>
  <cp:keywords/>
  <dc:description/>
  <cp:lastModifiedBy>gmrpfks@gmail.com</cp:lastModifiedBy>
  <cp:revision>2</cp:revision>
  <dcterms:created xsi:type="dcterms:W3CDTF">2025-12-25T20:40:00Z</dcterms:created>
  <dcterms:modified xsi:type="dcterms:W3CDTF">2025-12-25T20:40:00Z</dcterms:modified>
</cp:coreProperties>
</file>