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2173" w14:textId="69987460" w:rsidR="00686A5B" w:rsidRPr="000D2CED" w:rsidRDefault="00686A5B">
      <w:pPr>
        <w:rPr>
          <w:b/>
          <w:bCs/>
          <w:sz w:val="32"/>
          <w:szCs w:val="32"/>
        </w:rPr>
      </w:pPr>
      <w:r w:rsidRPr="000D2CED">
        <w:rPr>
          <w:b/>
          <w:bCs/>
          <w:sz w:val="32"/>
          <w:szCs w:val="32"/>
        </w:rPr>
        <w:t>Protein Analysis (Structure &amp; Properties)</w:t>
      </w:r>
    </w:p>
    <w:p w14:paraId="32DE5979" w14:textId="6B911A44" w:rsidR="00910370" w:rsidRPr="0099504C" w:rsidRDefault="00910370">
      <w:pPr>
        <w:rPr>
          <w:sz w:val="30"/>
          <w:szCs w:val="30"/>
        </w:rPr>
      </w:pPr>
      <w:r w:rsidRPr="0099504C">
        <w:rPr>
          <w:sz w:val="30"/>
          <w:szCs w:val="30"/>
        </w:rPr>
        <w:t>1.</w:t>
      </w:r>
      <w:r w:rsidRPr="0099504C">
        <w:rPr>
          <w:rFonts w:ascii="Segoe UI Symbol" w:hAnsi="Segoe UI Symbol" w:cs="Segoe UI Symbol"/>
          <w:sz w:val="30"/>
          <w:szCs w:val="30"/>
        </w:rPr>
        <w:t>⁠</w:t>
      </w:r>
      <w:r w:rsidRPr="0099504C">
        <w:rPr>
          <w:sz w:val="30"/>
          <w:szCs w:val="30"/>
        </w:rPr>
        <w:t xml:space="preserve"> </w:t>
      </w:r>
      <w:r w:rsidRPr="0099504C">
        <w:rPr>
          <w:rFonts w:ascii="Segoe UI Symbol" w:hAnsi="Segoe UI Symbol" w:cs="Segoe UI Symbol"/>
          <w:sz w:val="30"/>
          <w:szCs w:val="30"/>
        </w:rPr>
        <w:t>⁠</w:t>
      </w:r>
      <w:r w:rsidRPr="0099504C">
        <w:rPr>
          <w:sz w:val="30"/>
          <w:szCs w:val="30"/>
        </w:rPr>
        <w:t>Molecular weight, pI, instability index, aliphatic index.</w:t>
      </w:r>
    </w:p>
    <w:p w14:paraId="30DAF188" w14:textId="7F8FA0CD" w:rsidR="008F720B" w:rsidRDefault="00B505B2">
      <w:r>
        <w:rPr>
          <w:noProof/>
        </w:rPr>
        <w:drawing>
          <wp:anchor distT="0" distB="0" distL="114300" distR="114300" simplePos="0" relativeHeight="251659264" behindDoc="0" locked="0" layoutInCell="1" allowOverlap="1" wp14:anchorId="369FD5DE" wp14:editId="4F8581B8">
            <wp:simplePos x="0" y="0"/>
            <wp:positionH relativeFrom="column">
              <wp:posOffset>487680</wp:posOffset>
            </wp:positionH>
            <wp:positionV relativeFrom="paragraph">
              <wp:posOffset>3963670</wp:posOffset>
            </wp:positionV>
            <wp:extent cx="3568700" cy="3606800"/>
            <wp:effectExtent l="0" t="0" r="0" b="0"/>
            <wp:wrapTopAndBottom/>
            <wp:docPr id="49900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05012" name="Picture 4990050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27A8E89" wp14:editId="2D9EA033">
            <wp:simplePos x="0" y="0"/>
            <wp:positionH relativeFrom="column">
              <wp:posOffset>487680</wp:posOffset>
            </wp:positionH>
            <wp:positionV relativeFrom="paragraph">
              <wp:posOffset>179705</wp:posOffset>
            </wp:positionV>
            <wp:extent cx="5537200" cy="3314700"/>
            <wp:effectExtent l="0" t="0" r="0" b="0"/>
            <wp:wrapTopAndBottom/>
            <wp:docPr id="1764760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0685" name="Picture 17647606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5805F" w14:textId="7098D5DA" w:rsidR="00733A34" w:rsidRDefault="00B505B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25107E7" wp14:editId="324EF27F">
            <wp:simplePos x="0" y="0"/>
            <wp:positionH relativeFrom="column">
              <wp:posOffset>-208280</wp:posOffset>
            </wp:positionH>
            <wp:positionV relativeFrom="paragraph">
              <wp:posOffset>284480</wp:posOffset>
            </wp:positionV>
            <wp:extent cx="5943600" cy="1148715"/>
            <wp:effectExtent l="0" t="0" r="0" b="0"/>
            <wp:wrapTopAndBottom/>
            <wp:docPr id="1297235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35507" name="Picture 12972355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07E7C" w14:textId="77777777" w:rsidR="00B505B2" w:rsidRDefault="00B505B2"/>
    <w:p w14:paraId="4B85F9BC" w14:textId="4151EB27" w:rsidR="00B505B2" w:rsidRPr="0031026A" w:rsidRDefault="007950DB">
      <w:pPr>
        <w:rPr>
          <w:sz w:val="30"/>
          <w:szCs w:val="30"/>
        </w:rPr>
      </w:pPr>
      <w:r w:rsidRPr="0031026A">
        <w:rPr>
          <w:sz w:val="30"/>
          <w:szCs w:val="30"/>
        </w:rPr>
        <w:t>2.</w:t>
      </w:r>
      <w:r w:rsidRPr="0031026A">
        <w:rPr>
          <w:rFonts w:ascii="Segoe UI Symbol" w:hAnsi="Segoe UI Symbol" w:cs="Segoe UI Symbol"/>
          <w:sz w:val="30"/>
          <w:szCs w:val="30"/>
        </w:rPr>
        <w:t>⁠</w:t>
      </w:r>
      <w:r w:rsidRPr="0031026A">
        <w:rPr>
          <w:sz w:val="30"/>
          <w:szCs w:val="30"/>
        </w:rPr>
        <w:t xml:space="preserve"> </w:t>
      </w:r>
      <w:r w:rsidRPr="0031026A">
        <w:rPr>
          <w:rFonts w:ascii="Segoe UI Symbol" w:hAnsi="Segoe UI Symbol" w:cs="Segoe UI Symbol"/>
          <w:sz w:val="30"/>
          <w:szCs w:val="30"/>
        </w:rPr>
        <w:t>⁠</w:t>
      </w:r>
      <w:r w:rsidRPr="0031026A">
        <w:rPr>
          <w:sz w:val="30"/>
          <w:szCs w:val="30"/>
        </w:rPr>
        <w:t>Domains and motifs (Pfam/InterPro).</w:t>
      </w:r>
    </w:p>
    <w:p w14:paraId="287ACDF0" w14:textId="1A527CBE" w:rsidR="00890E77" w:rsidRDefault="00890E77">
      <w:r>
        <w:rPr>
          <w:noProof/>
        </w:rPr>
        <w:drawing>
          <wp:anchor distT="0" distB="0" distL="114300" distR="114300" simplePos="0" relativeHeight="251663360" behindDoc="0" locked="0" layoutInCell="1" allowOverlap="1" wp14:anchorId="6988428A" wp14:editId="713F74C2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410200" cy="2501900"/>
            <wp:effectExtent l="0" t="0" r="0" b="0"/>
            <wp:wrapTopAndBottom/>
            <wp:docPr id="2016490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90375" name="Picture 2016490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6AAA4" w14:textId="77777777" w:rsidR="00890E77" w:rsidRDefault="00890E77"/>
    <w:p w14:paraId="6F652171" w14:textId="15EBDDD2" w:rsidR="00890E77" w:rsidRPr="0099504C" w:rsidRDefault="00CE3837">
      <w:pPr>
        <w:rPr>
          <w:sz w:val="30"/>
          <w:szCs w:val="30"/>
        </w:rPr>
      </w:pPr>
      <w:r w:rsidRPr="0099504C">
        <w:rPr>
          <w:sz w:val="30"/>
          <w:szCs w:val="30"/>
        </w:rPr>
        <w:t>3.</w:t>
      </w:r>
      <w:r w:rsidRPr="0099504C">
        <w:rPr>
          <w:rFonts w:ascii="Segoe UI Symbol" w:hAnsi="Segoe UI Symbol" w:cs="Segoe UI Symbol"/>
          <w:sz w:val="30"/>
          <w:szCs w:val="30"/>
        </w:rPr>
        <w:t>⁠</w:t>
      </w:r>
      <w:r w:rsidRPr="0099504C">
        <w:rPr>
          <w:sz w:val="30"/>
          <w:szCs w:val="30"/>
        </w:rPr>
        <w:t xml:space="preserve"> </w:t>
      </w:r>
      <w:r w:rsidRPr="0099504C">
        <w:rPr>
          <w:rFonts w:ascii="Segoe UI Symbol" w:hAnsi="Segoe UI Symbol" w:cs="Segoe UI Symbol"/>
          <w:sz w:val="30"/>
          <w:szCs w:val="30"/>
        </w:rPr>
        <w:t>⁠</w:t>
      </w:r>
      <w:r w:rsidRPr="0099504C">
        <w:rPr>
          <w:sz w:val="30"/>
          <w:szCs w:val="30"/>
        </w:rPr>
        <w:t>Secondary structure prediction.</w:t>
      </w:r>
    </w:p>
    <w:p w14:paraId="0654F9D8" w14:textId="1248F09B" w:rsidR="00647D1F" w:rsidRDefault="002A2733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343237B" wp14:editId="6562C461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3175000" cy="5410200"/>
            <wp:effectExtent l="0" t="0" r="0" b="0"/>
            <wp:wrapTopAndBottom/>
            <wp:docPr id="446243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43812" name="Picture 4462438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F56" w:rsidRPr="001B2F56">
        <w:t xml:space="preserve"> </w:t>
      </w:r>
    </w:p>
    <w:p w14:paraId="7A06D0BF" w14:textId="77777777" w:rsidR="00C919D7" w:rsidRDefault="00C919D7"/>
    <w:p w14:paraId="66A097CD" w14:textId="77777777" w:rsidR="00C919D7" w:rsidRDefault="00C919D7">
      <w:pPr>
        <w:pStyle w:val="p1"/>
        <w:divId w:val="684750417"/>
      </w:pPr>
      <w:r>
        <w:rPr>
          <w:rStyle w:val="apple-converted-space"/>
          <w:rFonts w:ascii="UICTFontTextStyleBody" w:hAnsi="UICTFontTextStyleBody"/>
          <w:b/>
          <w:bCs/>
        </w:rPr>
        <w:t> </w:t>
      </w:r>
      <w:r>
        <w:rPr>
          <w:rStyle w:val="s1"/>
        </w:rPr>
        <w:t>Functional predictions based on the detected domains</w:t>
      </w:r>
    </w:p>
    <w:p w14:paraId="39EC8823" w14:textId="302E59BE" w:rsidR="00C919D7" w:rsidRDefault="00BA364C">
      <w:pPr>
        <w:pStyle w:val="p2"/>
        <w:divId w:val="684750417"/>
      </w:pPr>
      <w:r>
        <w:rPr>
          <w:rStyle w:val="s2"/>
        </w:rPr>
        <w:t>1.</w:t>
      </w:r>
      <w:r w:rsidR="00C919D7">
        <w:rPr>
          <w:rStyle w:val="s3"/>
        </w:rPr>
        <w:t>Molecular chaperone activity (ATP-independent)</w:t>
      </w:r>
    </w:p>
    <w:p w14:paraId="422F7970" w14:textId="77777777" w:rsidR="00C919D7" w:rsidRDefault="00C919D7">
      <w:pPr>
        <w:pStyle w:val="li2"/>
        <w:numPr>
          <w:ilvl w:val="0"/>
          <w:numId w:val="1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t xml:space="preserve">The </w:t>
      </w:r>
      <w:r>
        <w:rPr>
          <w:rStyle w:val="s3"/>
          <w:rFonts w:eastAsia="Times New Roman"/>
        </w:rPr>
        <w:t>HSP20-like chaperone / α-crystallin domain</w:t>
      </w:r>
      <w:r>
        <w:rPr>
          <w:rStyle w:val="s2"/>
          <w:rFonts w:eastAsia="Times New Roman"/>
        </w:rPr>
        <w:t xml:space="preserve"> is characteristic of </w:t>
      </w:r>
      <w:r>
        <w:rPr>
          <w:rStyle w:val="s3"/>
          <w:rFonts w:eastAsia="Times New Roman"/>
        </w:rPr>
        <w:t>small heat-shock proteins</w:t>
      </w:r>
      <w:r>
        <w:rPr>
          <w:rStyle w:val="s2"/>
          <w:rFonts w:eastAsia="Times New Roman"/>
        </w:rPr>
        <w:t>.</w:t>
      </w:r>
    </w:p>
    <w:p w14:paraId="3252858B" w14:textId="77777777" w:rsidR="00C919D7" w:rsidRDefault="00C919D7">
      <w:pPr>
        <w:pStyle w:val="li2"/>
        <w:numPr>
          <w:ilvl w:val="0"/>
          <w:numId w:val="1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t xml:space="preserve">sHSPs bind partially unfolded proteins to </w:t>
      </w:r>
      <w:r>
        <w:rPr>
          <w:rStyle w:val="s3"/>
          <w:rFonts w:eastAsia="Times New Roman"/>
        </w:rPr>
        <w:t>prevent aggregation and misfolding</w:t>
      </w:r>
      <w:r>
        <w:rPr>
          <w:rStyle w:val="s2"/>
          <w:rFonts w:eastAsia="Times New Roman"/>
        </w:rPr>
        <w:t>, especially during heat or oxidative stress.</w:t>
      </w:r>
    </w:p>
    <w:p w14:paraId="22DA06C1" w14:textId="67D9129F" w:rsidR="00C919D7" w:rsidRDefault="00BA364C">
      <w:pPr>
        <w:pStyle w:val="p2"/>
        <w:divId w:val="684750417"/>
      </w:pPr>
      <w:r>
        <w:rPr>
          <w:rStyle w:val="s2"/>
        </w:rPr>
        <w:t>2.</w:t>
      </w:r>
      <w:r w:rsidR="00C919D7">
        <w:rPr>
          <w:rStyle w:val="s3"/>
        </w:rPr>
        <w:t>Role in cellular stress tolerance</w:t>
      </w:r>
    </w:p>
    <w:p w14:paraId="2141EB1D" w14:textId="77777777" w:rsidR="00C919D7" w:rsidRDefault="00C919D7">
      <w:pPr>
        <w:pStyle w:val="li2"/>
        <w:numPr>
          <w:ilvl w:val="0"/>
          <w:numId w:val="2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t xml:space="preserve">Members of the </w:t>
      </w:r>
      <w:r>
        <w:rPr>
          <w:rStyle w:val="s3"/>
          <w:rFonts w:eastAsia="Times New Roman"/>
        </w:rPr>
        <w:t>HSP20 family</w:t>
      </w:r>
      <w:r>
        <w:rPr>
          <w:rStyle w:val="s2"/>
          <w:rFonts w:eastAsia="Times New Roman"/>
        </w:rPr>
        <w:t xml:space="preserve"> are typically up-regulated in response to:</w:t>
      </w:r>
    </w:p>
    <w:p w14:paraId="78E57892" w14:textId="77777777" w:rsidR="00C919D7" w:rsidRDefault="00C919D7">
      <w:pPr>
        <w:pStyle w:val="li2"/>
        <w:numPr>
          <w:ilvl w:val="1"/>
          <w:numId w:val="2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t>Heat shock</w:t>
      </w:r>
    </w:p>
    <w:p w14:paraId="164F6C5B" w14:textId="77777777" w:rsidR="00C919D7" w:rsidRDefault="00C919D7">
      <w:pPr>
        <w:pStyle w:val="li2"/>
        <w:numPr>
          <w:ilvl w:val="1"/>
          <w:numId w:val="2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t>Oxidative stress</w:t>
      </w:r>
    </w:p>
    <w:p w14:paraId="7FFCA783" w14:textId="77777777" w:rsidR="00C919D7" w:rsidRDefault="00C919D7">
      <w:pPr>
        <w:pStyle w:val="li2"/>
        <w:numPr>
          <w:ilvl w:val="1"/>
          <w:numId w:val="2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lastRenderedPageBreak/>
        <w:t>Chemical or environmental stress</w:t>
      </w:r>
    </w:p>
    <w:p w14:paraId="1AB33F3C" w14:textId="77777777" w:rsidR="00C919D7" w:rsidRDefault="00C919D7">
      <w:pPr>
        <w:pStyle w:val="li2"/>
        <w:numPr>
          <w:ilvl w:val="0"/>
          <w:numId w:val="2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t xml:space="preserve">They help maintain </w:t>
      </w:r>
      <w:r>
        <w:rPr>
          <w:rStyle w:val="s3"/>
          <w:rFonts w:eastAsia="Times New Roman"/>
        </w:rPr>
        <w:t>protein homeostasis (proteostasis)</w:t>
      </w:r>
      <w:r>
        <w:rPr>
          <w:rStyle w:val="s2"/>
          <w:rFonts w:eastAsia="Times New Roman"/>
        </w:rPr>
        <w:t>.</w:t>
      </w:r>
    </w:p>
    <w:p w14:paraId="698D90D3" w14:textId="25F7D09D" w:rsidR="00C919D7" w:rsidRDefault="00BA364C">
      <w:pPr>
        <w:pStyle w:val="p2"/>
        <w:divId w:val="684750417"/>
      </w:pPr>
      <w:r>
        <w:rPr>
          <w:rStyle w:val="s2"/>
        </w:rPr>
        <w:t>3.</w:t>
      </w:r>
      <w:r w:rsidR="00C919D7">
        <w:rPr>
          <w:rStyle w:val="s3"/>
        </w:rPr>
        <w:t>Oligomerization and protein–protein interactions</w:t>
      </w:r>
    </w:p>
    <w:p w14:paraId="76F9D90C" w14:textId="77777777" w:rsidR="00C919D7" w:rsidRDefault="00C919D7">
      <w:pPr>
        <w:pStyle w:val="li2"/>
        <w:numPr>
          <w:ilvl w:val="0"/>
          <w:numId w:val="3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t xml:space="preserve">sHSPs usually form </w:t>
      </w:r>
      <w:r>
        <w:rPr>
          <w:rStyle w:val="s3"/>
          <w:rFonts w:eastAsia="Times New Roman"/>
        </w:rPr>
        <w:t>large oligomeric complexes</w:t>
      </w:r>
      <w:r>
        <w:rPr>
          <w:rStyle w:val="s2"/>
          <w:rFonts w:eastAsia="Times New Roman"/>
        </w:rPr>
        <w:t>.</w:t>
      </w:r>
    </w:p>
    <w:p w14:paraId="6A089EDD" w14:textId="77777777" w:rsidR="00C919D7" w:rsidRDefault="00C919D7">
      <w:pPr>
        <w:pStyle w:val="li2"/>
        <w:numPr>
          <w:ilvl w:val="0"/>
          <w:numId w:val="3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t xml:space="preserve">The ACD domain mediates </w:t>
      </w:r>
      <w:r>
        <w:rPr>
          <w:rStyle w:val="s3"/>
          <w:rFonts w:eastAsia="Times New Roman"/>
        </w:rPr>
        <w:t>dimerization and higher-order assembly</w:t>
      </w:r>
      <w:r>
        <w:rPr>
          <w:rStyle w:val="s2"/>
          <w:rFonts w:eastAsia="Times New Roman"/>
        </w:rPr>
        <w:t>, which is important for chaperone function.</w:t>
      </w:r>
    </w:p>
    <w:p w14:paraId="67C367B7" w14:textId="47C13F59" w:rsidR="00C919D7" w:rsidRDefault="00BA364C">
      <w:pPr>
        <w:pStyle w:val="p2"/>
        <w:divId w:val="684750417"/>
      </w:pPr>
      <w:r>
        <w:rPr>
          <w:rStyle w:val="s2"/>
        </w:rPr>
        <w:t>4.</w:t>
      </w:r>
      <w:r w:rsidR="00C919D7">
        <w:rPr>
          <w:rStyle w:val="s3"/>
        </w:rPr>
        <w:t>Possible roles in cytoskeleton and apoptosis regulation (context-dependent)</w:t>
      </w:r>
    </w:p>
    <w:p w14:paraId="4E6EB2BE" w14:textId="77777777" w:rsidR="00C919D7" w:rsidRDefault="00C919D7">
      <w:pPr>
        <w:pStyle w:val="li2"/>
        <w:numPr>
          <w:ilvl w:val="0"/>
          <w:numId w:val="4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t xml:space="preserve">Many HSP20 proteins interact with </w:t>
      </w:r>
      <w:r>
        <w:rPr>
          <w:rStyle w:val="s3"/>
          <w:rFonts w:eastAsia="Times New Roman"/>
        </w:rPr>
        <w:t>cytoskeletal proteins</w:t>
      </w:r>
      <w:r>
        <w:rPr>
          <w:rStyle w:val="s2"/>
          <w:rFonts w:eastAsia="Times New Roman"/>
        </w:rPr>
        <w:t>, stabilizing filaments under stress.</w:t>
      </w:r>
    </w:p>
    <w:p w14:paraId="07CC0602" w14:textId="77777777" w:rsidR="00C919D7" w:rsidRDefault="00C919D7">
      <w:pPr>
        <w:pStyle w:val="li2"/>
        <w:numPr>
          <w:ilvl w:val="0"/>
          <w:numId w:val="4"/>
        </w:numPr>
        <w:divId w:val="684750417"/>
        <w:rPr>
          <w:rFonts w:eastAsia="Times New Roman"/>
        </w:rPr>
      </w:pPr>
      <w:r>
        <w:rPr>
          <w:rStyle w:val="s2"/>
          <w:rFonts w:eastAsia="Times New Roman"/>
        </w:rPr>
        <w:t xml:space="preserve">Some members modulate </w:t>
      </w:r>
      <w:r>
        <w:rPr>
          <w:rStyle w:val="s3"/>
          <w:rFonts w:eastAsia="Times New Roman"/>
        </w:rPr>
        <w:t>cell survival and stress signaling pathways</w:t>
      </w:r>
      <w:r>
        <w:rPr>
          <w:rStyle w:val="s2"/>
          <w:rFonts w:eastAsia="Times New Roman"/>
        </w:rPr>
        <w:t>.</w:t>
      </w:r>
    </w:p>
    <w:p w14:paraId="2A5BACEB" w14:textId="77777777" w:rsidR="00C919D7" w:rsidRDefault="00C919D7"/>
    <w:p w14:paraId="5F0C3FE6" w14:textId="77777777" w:rsidR="00470AB3" w:rsidRPr="00470AB3" w:rsidRDefault="00470AB3" w:rsidP="00470AB3">
      <w:pPr>
        <w:spacing w:after="60" w:line="240" w:lineRule="auto"/>
        <w:divId w:val="1816608115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470AB3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Predicted Functional Summary</w:t>
      </w:r>
    </w:p>
    <w:p w14:paraId="73FC3F68" w14:textId="77777777" w:rsidR="00470AB3" w:rsidRPr="00470AB3" w:rsidRDefault="00470AB3" w:rsidP="00470AB3">
      <w:pPr>
        <w:numPr>
          <w:ilvl w:val="0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Small heat-shock protein (HSP20 family)</w:t>
      </w:r>
    </w:p>
    <w:p w14:paraId="2F19655B" w14:textId="77777777" w:rsidR="00470AB3" w:rsidRPr="00470AB3" w:rsidRDefault="00470AB3" w:rsidP="00470AB3">
      <w:pPr>
        <w:numPr>
          <w:ilvl w:val="1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Contains an </w:t>
      </w: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HSP20-like / α-crystallin chaperone domain</w:t>
      </w: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characteristic of sHSPs.</w:t>
      </w:r>
    </w:p>
    <w:p w14:paraId="7C520F2C" w14:textId="77777777" w:rsidR="00470AB3" w:rsidRPr="00470AB3" w:rsidRDefault="00470AB3" w:rsidP="00470AB3">
      <w:pPr>
        <w:numPr>
          <w:ilvl w:val="0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ATP-independent molecular chaperone</w:t>
      </w:r>
    </w:p>
    <w:p w14:paraId="731D173F" w14:textId="77777777" w:rsidR="00470AB3" w:rsidRPr="00470AB3" w:rsidRDefault="00470AB3" w:rsidP="00470AB3">
      <w:pPr>
        <w:numPr>
          <w:ilvl w:val="1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Binds partially unfolded or misfolded proteins.</w:t>
      </w:r>
    </w:p>
    <w:p w14:paraId="3E11CD4A" w14:textId="77777777" w:rsidR="00470AB3" w:rsidRPr="00470AB3" w:rsidRDefault="00470AB3" w:rsidP="00470AB3">
      <w:pPr>
        <w:numPr>
          <w:ilvl w:val="1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Prevents protein aggregation</w:t>
      </w: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during cellular stress.</w:t>
      </w:r>
    </w:p>
    <w:p w14:paraId="4BFD5E08" w14:textId="77777777" w:rsidR="00470AB3" w:rsidRPr="00470AB3" w:rsidRDefault="00470AB3" w:rsidP="00470AB3">
      <w:pPr>
        <w:numPr>
          <w:ilvl w:val="0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Stress-response and proteostasis role</w:t>
      </w:r>
    </w:p>
    <w:p w14:paraId="520D440E" w14:textId="77777777" w:rsidR="00470AB3" w:rsidRPr="00470AB3" w:rsidRDefault="00470AB3" w:rsidP="00470AB3">
      <w:pPr>
        <w:numPr>
          <w:ilvl w:val="1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Likely up-regulated under </w:t>
      </w: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heat shock, oxidative, or environmental stress</w:t>
      </w: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.</w:t>
      </w:r>
    </w:p>
    <w:p w14:paraId="61F89D2F" w14:textId="77777777" w:rsidR="00470AB3" w:rsidRPr="00470AB3" w:rsidRDefault="00470AB3" w:rsidP="00470AB3">
      <w:pPr>
        <w:numPr>
          <w:ilvl w:val="1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Helps maintain </w:t>
      </w: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protein stability and folding homeostasis</w:t>
      </w: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.</w:t>
      </w:r>
    </w:p>
    <w:p w14:paraId="19B2F496" w14:textId="77777777" w:rsidR="00470AB3" w:rsidRPr="00470AB3" w:rsidRDefault="00470AB3" w:rsidP="00470AB3">
      <w:pPr>
        <w:numPr>
          <w:ilvl w:val="0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Oligomerization &amp; protein-protein interaction</w:t>
      </w:r>
    </w:p>
    <w:p w14:paraId="015DD02C" w14:textId="77777777" w:rsidR="00470AB3" w:rsidRPr="00470AB3" w:rsidRDefault="00470AB3" w:rsidP="00470AB3">
      <w:pPr>
        <w:numPr>
          <w:ilvl w:val="1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Forms </w:t>
      </w: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dimers and higher-order oligomers</w:t>
      </w: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, which are required for chaperone activity.</w:t>
      </w:r>
    </w:p>
    <w:p w14:paraId="0707EBE0" w14:textId="77777777" w:rsidR="00470AB3" w:rsidRPr="00470AB3" w:rsidRDefault="00470AB3" w:rsidP="00470AB3">
      <w:pPr>
        <w:numPr>
          <w:ilvl w:val="0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Potential regulatory roles (context-dependent)</w:t>
      </w:r>
    </w:p>
    <w:p w14:paraId="55F09338" w14:textId="77777777" w:rsidR="00470AB3" w:rsidRPr="00470AB3" w:rsidRDefault="00470AB3" w:rsidP="00470AB3">
      <w:pPr>
        <w:numPr>
          <w:ilvl w:val="1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May interact with </w:t>
      </w: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cytoskeletal components</w:t>
      </w: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.</w:t>
      </w:r>
    </w:p>
    <w:p w14:paraId="094C9C15" w14:textId="77777777" w:rsidR="00470AB3" w:rsidRPr="00470AB3" w:rsidRDefault="00470AB3" w:rsidP="00470AB3">
      <w:pPr>
        <w:numPr>
          <w:ilvl w:val="1"/>
          <w:numId w:val="5"/>
        </w:numPr>
        <w:spacing w:after="0" w:line="240" w:lineRule="auto"/>
        <w:divId w:val="1816608115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Can modulate </w:t>
      </w:r>
      <w:r w:rsidRPr="00470AB3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cell survival / stress signaling pathways</w:t>
      </w:r>
      <w:r w:rsidRPr="00470AB3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in some organisms.</w:t>
      </w:r>
    </w:p>
    <w:p w14:paraId="69A9B7B5" w14:textId="77777777" w:rsidR="00470AB3" w:rsidRDefault="00470AB3"/>
    <w:p w14:paraId="38E5E41A" w14:textId="77777777" w:rsidR="00747954" w:rsidRDefault="00747954"/>
    <w:p w14:paraId="6C054417" w14:textId="77777777" w:rsidR="00747954" w:rsidRDefault="00747954"/>
    <w:p w14:paraId="4C86F9ED" w14:textId="77777777" w:rsidR="00747954" w:rsidRDefault="00747954"/>
    <w:p w14:paraId="2BD7F8F0" w14:textId="77777777" w:rsidR="00747954" w:rsidRDefault="00747954"/>
    <w:p w14:paraId="21B300A1" w14:textId="77777777" w:rsidR="00747954" w:rsidRDefault="00747954"/>
    <w:p w14:paraId="104384CC" w14:textId="77777777" w:rsidR="00747954" w:rsidRDefault="00747954"/>
    <w:p w14:paraId="7E650E9C" w14:textId="77777777" w:rsidR="00747954" w:rsidRDefault="00747954"/>
    <w:p w14:paraId="293EF685" w14:textId="546DCF4A" w:rsidR="00747954" w:rsidRPr="000D2CED" w:rsidRDefault="009470A1">
      <w:pPr>
        <w:rPr>
          <w:sz w:val="38"/>
          <w:szCs w:val="38"/>
        </w:rPr>
      </w:pPr>
      <w:r w:rsidRPr="000D2CED">
        <w:rPr>
          <w:sz w:val="38"/>
          <w:szCs w:val="38"/>
        </w:rPr>
        <w:t xml:space="preserve">Table of protein properties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3353"/>
        <w:gridCol w:w="3696"/>
      </w:tblGrid>
      <w:tr w:rsidR="00CA4ACA" w:rsidRPr="00CA4ACA" w14:paraId="6D414144" w14:textId="77777777">
        <w:trPr>
          <w:divId w:val="447092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C0313" w14:textId="77777777" w:rsidR="00CA4ACA" w:rsidRPr="00CA4ACA" w:rsidRDefault="00CA4ACA" w:rsidP="00CA4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FFECB03" w14:textId="77777777" w:rsidR="00CA4ACA" w:rsidRPr="00CA4ACA" w:rsidRDefault="00CA4ACA" w:rsidP="00CA4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Prediction / Value</w:t>
            </w:r>
          </w:p>
        </w:tc>
        <w:tc>
          <w:tcPr>
            <w:tcW w:w="0" w:type="auto"/>
            <w:vAlign w:val="center"/>
            <w:hideMark/>
          </w:tcPr>
          <w:p w14:paraId="1CBF2D80" w14:textId="77777777" w:rsidR="00CA4ACA" w:rsidRPr="00CA4ACA" w:rsidRDefault="00CA4ACA" w:rsidP="00CA4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Evidence / Source</w:t>
            </w:r>
          </w:p>
        </w:tc>
      </w:tr>
      <w:tr w:rsidR="00CA4ACA" w:rsidRPr="00CA4ACA" w14:paraId="0A5995AB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7B71CFA0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Protein family</w:t>
            </w:r>
          </w:p>
        </w:tc>
        <w:tc>
          <w:tcPr>
            <w:tcW w:w="0" w:type="auto"/>
            <w:vAlign w:val="center"/>
            <w:hideMark/>
          </w:tcPr>
          <w:p w14:paraId="58372BFA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Heat-shock protein 20 (HSP20) family member</w:t>
            </w:r>
          </w:p>
        </w:tc>
        <w:tc>
          <w:tcPr>
            <w:tcW w:w="0" w:type="auto"/>
            <w:vAlign w:val="center"/>
            <w:hideMark/>
          </w:tcPr>
          <w:p w14:paraId="579F0397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InterPro – Family classification</w:t>
            </w:r>
          </w:p>
        </w:tc>
      </w:tr>
      <w:tr w:rsidR="00CA4ACA" w:rsidRPr="00CA4ACA" w14:paraId="3B9F7593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29CF847C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Functional class</w:t>
            </w:r>
          </w:p>
        </w:tc>
        <w:tc>
          <w:tcPr>
            <w:tcW w:w="0" w:type="auto"/>
            <w:vAlign w:val="center"/>
            <w:hideMark/>
          </w:tcPr>
          <w:p w14:paraId="191A47D7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Small heat-shock protein (sHSP), ATP-independent molecular chaperone</w:t>
            </w:r>
          </w:p>
        </w:tc>
        <w:tc>
          <w:tcPr>
            <w:tcW w:w="0" w:type="auto"/>
            <w:vAlign w:val="center"/>
            <w:hideMark/>
          </w:tcPr>
          <w:p w14:paraId="2042BED3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InterPro – HSP20 / α-crystallin domain</w:t>
            </w:r>
          </w:p>
        </w:tc>
      </w:tr>
      <w:tr w:rsidR="00CA4ACA" w:rsidRPr="00CA4ACA" w14:paraId="436B28BB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6F6E68D5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Primary function</w:t>
            </w:r>
          </w:p>
        </w:tc>
        <w:tc>
          <w:tcPr>
            <w:tcW w:w="0" w:type="auto"/>
            <w:vAlign w:val="center"/>
            <w:hideMark/>
          </w:tcPr>
          <w:p w14:paraId="79B8AAD0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Prevents aggregation of unfolded proteins during stress; stabilizes proteins</w:t>
            </w:r>
          </w:p>
        </w:tc>
        <w:tc>
          <w:tcPr>
            <w:tcW w:w="0" w:type="auto"/>
            <w:vAlign w:val="center"/>
            <w:hideMark/>
          </w:tcPr>
          <w:p w14:paraId="3C7DDBEF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InterPro – HSP20-like chaperones</w:t>
            </w:r>
          </w:p>
        </w:tc>
      </w:tr>
      <w:tr w:rsidR="00CA4ACA" w:rsidRPr="00CA4ACA" w14:paraId="6F53B2A1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01065DA9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Domain architecture</w:t>
            </w:r>
          </w:p>
        </w:tc>
        <w:tc>
          <w:tcPr>
            <w:tcW w:w="0" w:type="auto"/>
            <w:vAlign w:val="center"/>
            <w:hideMark/>
          </w:tcPr>
          <w:p w14:paraId="6C43DA0F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HSP20 / α-crystallin domain (ACD)</w:t>
            </w:r>
          </w:p>
        </w:tc>
        <w:tc>
          <w:tcPr>
            <w:tcW w:w="0" w:type="auto"/>
            <w:vAlign w:val="center"/>
            <w:hideMark/>
          </w:tcPr>
          <w:p w14:paraId="02115E1A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InterPro domains: HSP20-like chaperones, SHSP, A-crystallin/Hsp20</w:t>
            </w:r>
          </w:p>
        </w:tc>
      </w:tr>
      <w:tr w:rsidR="00CA4ACA" w:rsidRPr="00CA4ACA" w14:paraId="3A279B58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78F8CA9D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Likely biological role</w:t>
            </w:r>
          </w:p>
        </w:tc>
        <w:tc>
          <w:tcPr>
            <w:tcW w:w="0" w:type="auto"/>
            <w:vAlign w:val="center"/>
            <w:hideMark/>
          </w:tcPr>
          <w:p w14:paraId="7B81F107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Stress response, proteostasis, cytoprotection under heat/oxidative stress</w:t>
            </w:r>
          </w:p>
        </w:tc>
        <w:tc>
          <w:tcPr>
            <w:tcW w:w="0" w:type="auto"/>
            <w:vAlign w:val="center"/>
            <w:hideMark/>
          </w:tcPr>
          <w:p w14:paraId="43088D75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InterPro functional inference</w:t>
            </w:r>
          </w:p>
        </w:tc>
      </w:tr>
      <w:tr w:rsidR="00CA4ACA" w:rsidRPr="00CA4ACA" w14:paraId="612A898A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1C7F50A5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Oligomerization tendency</w:t>
            </w:r>
          </w:p>
        </w:tc>
        <w:tc>
          <w:tcPr>
            <w:tcW w:w="0" w:type="auto"/>
            <w:vAlign w:val="center"/>
            <w:hideMark/>
          </w:tcPr>
          <w:p w14:paraId="5B457CF7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Forms dimers and higher-order oligomers</w:t>
            </w:r>
          </w:p>
        </w:tc>
        <w:tc>
          <w:tcPr>
            <w:tcW w:w="0" w:type="auto"/>
            <w:vAlign w:val="center"/>
            <w:hideMark/>
          </w:tcPr>
          <w:p w14:paraId="13D80452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Known behavior of sHSP / ACD domain proteins (domain-based inference)</w:t>
            </w:r>
          </w:p>
        </w:tc>
      </w:tr>
      <w:tr w:rsidR="00CA4ACA" w:rsidRPr="00CA4ACA" w14:paraId="159DB6C5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37EB6579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Sequence length</w:t>
            </w:r>
          </w:p>
        </w:tc>
        <w:tc>
          <w:tcPr>
            <w:tcW w:w="0" w:type="auto"/>
            <w:vAlign w:val="center"/>
            <w:hideMark/>
          </w:tcPr>
          <w:p w14:paraId="5CA0B3D6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189 amino acids</w:t>
            </w:r>
          </w:p>
        </w:tc>
        <w:tc>
          <w:tcPr>
            <w:tcW w:w="0" w:type="auto"/>
            <w:vAlign w:val="center"/>
            <w:hideMark/>
          </w:tcPr>
          <w:p w14:paraId="1C2013A1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GOR4 result</w:t>
            </w:r>
          </w:p>
        </w:tc>
      </w:tr>
      <w:tr w:rsidR="00CA4ACA" w:rsidRPr="00CA4ACA" w14:paraId="4B8436B0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5E796EA5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Secondary structure composition</w:t>
            </w:r>
          </w:p>
        </w:tc>
        <w:tc>
          <w:tcPr>
            <w:tcW w:w="0" w:type="auto"/>
            <w:vAlign w:val="center"/>
            <w:hideMark/>
          </w:tcPr>
          <w:p w14:paraId="739689ED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~34.92% α-helix; ~8.94% β-strand; remainder coil</w:t>
            </w:r>
          </w:p>
        </w:tc>
        <w:tc>
          <w:tcPr>
            <w:tcW w:w="0" w:type="auto"/>
            <w:vAlign w:val="center"/>
            <w:hideMark/>
          </w:tcPr>
          <w:p w14:paraId="71364F11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GOR4 secondary-structure prediction</w:t>
            </w:r>
          </w:p>
        </w:tc>
      </w:tr>
      <w:tr w:rsidR="00CA4ACA" w:rsidRPr="00CA4ACA" w14:paraId="33D6CD5D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2A32CCFD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Helix-rich regions</w:t>
            </w:r>
          </w:p>
        </w:tc>
        <w:tc>
          <w:tcPr>
            <w:tcW w:w="0" w:type="auto"/>
            <w:vAlign w:val="center"/>
            <w:hideMark/>
          </w:tcPr>
          <w:p w14:paraId="79EED196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Prominent helices across central region</w:t>
            </w:r>
          </w:p>
        </w:tc>
        <w:tc>
          <w:tcPr>
            <w:tcW w:w="0" w:type="auto"/>
            <w:vAlign w:val="center"/>
            <w:hideMark/>
          </w:tcPr>
          <w:p w14:paraId="59EB52DD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GOR4 helix profile</w:t>
            </w:r>
          </w:p>
        </w:tc>
      </w:tr>
      <w:tr w:rsidR="00CA4ACA" w:rsidRPr="00CA4ACA" w14:paraId="1101DC2D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529143E6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Sheet-containing regions</w:t>
            </w:r>
          </w:p>
        </w:tc>
        <w:tc>
          <w:tcPr>
            <w:tcW w:w="0" w:type="auto"/>
            <w:vAlign w:val="center"/>
            <w:hideMark/>
          </w:tcPr>
          <w:p w14:paraId="29E6A39A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Short β-strands mainly in core domain</w:t>
            </w:r>
          </w:p>
        </w:tc>
        <w:tc>
          <w:tcPr>
            <w:tcW w:w="0" w:type="auto"/>
            <w:vAlign w:val="center"/>
            <w:hideMark/>
          </w:tcPr>
          <w:p w14:paraId="101F04A5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GOR4 strand profile</w:t>
            </w:r>
          </w:p>
        </w:tc>
      </w:tr>
      <w:tr w:rsidR="00CA4ACA" w:rsidRPr="00CA4ACA" w14:paraId="5F748039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0F686099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Structural organization</w:t>
            </w:r>
          </w:p>
        </w:tc>
        <w:tc>
          <w:tcPr>
            <w:tcW w:w="0" w:type="auto"/>
            <w:vAlign w:val="center"/>
            <w:hideMark/>
          </w:tcPr>
          <w:p w14:paraId="324E948A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Flexible N-terminal region + conserved ACD core</w:t>
            </w:r>
          </w:p>
        </w:tc>
        <w:tc>
          <w:tcPr>
            <w:tcW w:w="0" w:type="auto"/>
            <w:vAlign w:val="center"/>
            <w:hideMark/>
          </w:tcPr>
          <w:p w14:paraId="0BA54C80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Combined domain + GOR4 inference</w:t>
            </w:r>
          </w:p>
        </w:tc>
      </w:tr>
      <w:tr w:rsidR="00CA4ACA" w:rsidRPr="00CA4ACA" w14:paraId="6037FADE" w14:textId="77777777">
        <w:trPr>
          <w:divId w:val="447092546"/>
          <w:tblCellSpacing w:w="15" w:type="dxa"/>
        </w:trPr>
        <w:tc>
          <w:tcPr>
            <w:tcW w:w="0" w:type="auto"/>
            <w:vAlign w:val="center"/>
            <w:hideMark/>
          </w:tcPr>
          <w:p w14:paraId="1367ED9E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Subcellular localization (likely)</w:t>
            </w:r>
          </w:p>
        </w:tc>
        <w:tc>
          <w:tcPr>
            <w:tcW w:w="0" w:type="auto"/>
            <w:vAlign w:val="center"/>
            <w:hideMark/>
          </w:tcPr>
          <w:p w14:paraId="151370E3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Cytoplasmic (typical for sHSPs)</w:t>
            </w:r>
          </w:p>
        </w:tc>
        <w:tc>
          <w:tcPr>
            <w:tcW w:w="0" w:type="auto"/>
            <w:vAlign w:val="center"/>
            <w:hideMark/>
          </w:tcPr>
          <w:p w14:paraId="25DE6791" w14:textId="77777777" w:rsidR="00CA4ACA" w:rsidRPr="00CA4ACA" w:rsidRDefault="00CA4ACA" w:rsidP="00CA4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A4A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Functional/domain inference</w:t>
            </w:r>
          </w:p>
        </w:tc>
      </w:tr>
    </w:tbl>
    <w:p w14:paraId="59035D1C" w14:textId="77777777" w:rsidR="00CA4ACA" w:rsidRDefault="00CA4ACA"/>
    <w:sectPr w:rsidR="00CA4A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9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F936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BF4F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095E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900E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1178274">
    <w:abstractNumId w:val="3"/>
  </w:num>
  <w:num w:numId="2" w16cid:durableId="349913040">
    <w:abstractNumId w:val="2"/>
  </w:num>
  <w:num w:numId="3" w16cid:durableId="359014051">
    <w:abstractNumId w:val="4"/>
  </w:num>
  <w:num w:numId="4" w16cid:durableId="2018192494">
    <w:abstractNumId w:val="0"/>
  </w:num>
  <w:num w:numId="5" w16cid:durableId="1666667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5B"/>
    <w:rsid w:val="000D2CED"/>
    <w:rsid w:val="00180546"/>
    <w:rsid w:val="001B2F56"/>
    <w:rsid w:val="002A2733"/>
    <w:rsid w:val="0031026A"/>
    <w:rsid w:val="00470AB3"/>
    <w:rsid w:val="00647D1F"/>
    <w:rsid w:val="00686A5B"/>
    <w:rsid w:val="00733A34"/>
    <w:rsid w:val="00747954"/>
    <w:rsid w:val="007950DB"/>
    <w:rsid w:val="008731C9"/>
    <w:rsid w:val="00890E77"/>
    <w:rsid w:val="008F720B"/>
    <w:rsid w:val="00910370"/>
    <w:rsid w:val="009470A1"/>
    <w:rsid w:val="0099504C"/>
    <w:rsid w:val="00B505B2"/>
    <w:rsid w:val="00BA364C"/>
    <w:rsid w:val="00C919D7"/>
    <w:rsid w:val="00CA4ACA"/>
    <w:rsid w:val="00CE3837"/>
    <w:rsid w:val="00E55F5F"/>
    <w:rsid w:val="00F6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50E6C"/>
  <w15:chartTrackingRefBased/>
  <w15:docId w15:val="{8B3412AF-4E2C-A048-BBB5-95E791CA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A5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919D7"/>
    <w:pPr>
      <w:spacing w:after="60" w:line="240" w:lineRule="auto"/>
    </w:pPr>
    <w:rPr>
      <w:rFonts w:ascii=".AppleSystemUIFont" w:hAnsi=".AppleSystemUIFont" w:cs="Times New Roman"/>
      <w:kern w:val="0"/>
      <w:sz w:val="33"/>
      <w:szCs w:val="33"/>
      <w14:ligatures w14:val="none"/>
    </w:rPr>
  </w:style>
  <w:style w:type="paragraph" w:customStyle="1" w:styleId="p2">
    <w:name w:val="p2"/>
    <w:basedOn w:val="Normal"/>
    <w:rsid w:val="00C919D7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C919D7"/>
    <w:rPr>
      <w:rFonts w:ascii="UICTFontTextStyleBody" w:hAnsi="UICTFontTextStyleBody" w:hint="default"/>
      <w:b/>
      <w:bCs/>
      <w:i w:val="0"/>
      <w:iCs w:val="0"/>
      <w:sz w:val="33"/>
      <w:szCs w:val="33"/>
    </w:rPr>
  </w:style>
  <w:style w:type="character" w:customStyle="1" w:styleId="s2">
    <w:name w:val="s2"/>
    <w:basedOn w:val="DefaultParagraphFont"/>
    <w:rsid w:val="00C919D7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C919D7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paragraph" w:customStyle="1" w:styleId="li2">
    <w:name w:val="li2"/>
    <w:basedOn w:val="Normal"/>
    <w:rsid w:val="00C919D7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apple-converted-space">
    <w:name w:val="apple-converted-space"/>
    <w:basedOn w:val="DefaultParagraphFont"/>
    <w:rsid w:val="00C919D7"/>
  </w:style>
  <w:style w:type="character" w:styleId="Strong">
    <w:name w:val="Strong"/>
    <w:basedOn w:val="DefaultParagraphFont"/>
    <w:uiPriority w:val="22"/>
    <w:qFormat/>
    <w:rsid w:val="00CA4A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gmrpfks@gmail.com</dc:creator>
  <cp:keywords/>
  <dc:description/>
  <cp:lastModifiedBy>gmrpfks@gmail.com</cp:lastModifiedBy>
  <cp:revision>2</cp:revision>
  <dcterms:created xsi:type="dcterms:W3CDTF">2025-12-25T20:11:00Z</dcterms:created>
  <dcterms:modified xsi:type="dcterms:W3CDTF">2025-12-25T20:11:00Z</dcterms:modified>
</cp:coreProperties>
</file>