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3AEC4" w14:textId="77777777" w:rsidR="007D0398" w:rsidRPr="007D0398" w:rsidRDefault="007D0398" w:rsidP="007D0398">
      <w:pPr>
        <w:rPr>
          <w:rFonts w:ascii="Aptos" w:hAnsi="Aptos"/>
          <w:b/>
          <w:bCs/>
          <w:sz w:val="48"/>
          <w:szCs w:val="48"/>
        </w:rPr>
      </w:pPr>
      <w:r w:rsidRPr="007D0398">
        <w:rPr>
          <w:rFonts w:ascii="Aptos" w:hAnsi="Aptos"/>
          <w:b/>
          <w:bCs/>
          <w:sz w:val="48"/>
          <w:szCs w:val="48"/>
        </w:rPr>
        <w:t>Commercial Bridge Loans</w:t>
      </w:r>
    </w:p>
    <w:p w14:paraId="46397A67" w14:textId="5177A686" w:rsidR="00320A04" w:rsidRDefault="007D0398" w:rsidP="007D0398">
      <w:pPr>
        <w:rPr>
          <w:rFonts w:ascii="Aptos" w:hAnsi="Aptos"/>
          <w:b/>
          <w:bCs/>
          <w:color w:val="00B0F0"/>
          <w:sz w:val="22"/>
          <w:szCs w:val="22"/>
        </w:rPr>
      </w:pPr>
      <w:r w:rsidRPr="007D0398">
        <w:rPr>
          <w:rFonts w:ascii="Aptos" w:hAnsi="Aptos"/>
          <w:b/>
          <w:bCs/>
          <w:color w:val="00B0F0"/>
          <w:sz w:val="22"/>
          <w:szCs w:val="22"/>
        </w:rPr>
        <w:t>Home / Types of Financing / Commercial Bridge Loans</w:t>
      </w:r>
    </w:p>
    <w:p w14:paraId="7EE7D7A0" w14:textId="77777777" w:rsidR="007D0398" w:rsidRDefault="007D0398" w:rsidP="007D0398">
      <w:pPr>
        <w:rPr>
          <w:rFonts w:ascii="Aptos" w:hAnsi="Aptos"/>
          <w:b/>
          <w:bCs/>
          <w:color w:val="00B0F0"/>
          <w:sz w:val="22"/>
          <w:szCs w:val="22"/>
        </w:rPr>
      </w:pPr>
    </w:p>
    <w:p w14:paraId="73152D2F" w14:textId="77777777" w:rsidR="007D0398" w:rsidRPr="007D0398" w:rsidRDefault="007D0398" w:rsidP="007D0398">
      <w:pPr>
        <w:rPr>
          <w:rFonts w:ascii="Aptos" w:hAnsi="Aptos"/>
        </w:rPr>
      </w:pPr>
      <w:r w:rsidRPr="007D0398">
        <w:rPr>
          <w:rFonts w:ascii="Aptos" w:hAnsi="Aptos"/>
          <w:b/>
          <w:bCs/>
        </w:rPr>
        <w:t>A Commercial Bridge Loan is a short-term financing solution designed to address immediate financial needs while waiting for long-term financing to be secured.</w:t>
      </w:r>
    </w:p>
    <w:p w14:paraId="0E736840" w14:textId="77777777" w:rsidR="007D0398" w:rsidRPr="007D0398" w:rsidRDefault="007D0398" w:rsidP="007D0398">
      <w:pPr>
        <w:rPr>
          <w:rFonts w:ascii="Aptos" w:hAnsi="Aptos"/>
        </w:rPr>
      </w:pPr>
      <w:r w:rsidRPr="007D0398">
        <w:rPr>
          <w:rFonts w:ascii="Aptos" w:hAnsi="Aptos"/>
        </w:rPr>
        <w:t>Often, a company may be approved for a loan through its bank or financial institution, but the loan might not close for 4-6 months. During this waiting period, a short-</w:t>
      </w:r>
      <w:proofErr w:type="gramStart"/>
      <w:r w:rsidRPr="007D0398">
        <w:rPr>
          <w:rFonts w:ascii="Aptos" w:hAnsi="Aptos"/>
        </w:rPr>
        <w:t>term bridge</w:t>
      </w:r>
      <w:proofErr w:type="gramEnd"/>
      <w:r w:rsidRPr="007D0398">
        <w:rPr>
          <w:rFonts w:ascii="Aptos" w:hAnsi="Aptos"/>
        </w:rPr>
        <w:t xml:space="preserve"> loan can be provided, which will be repaid when the senior loan closes, ensuring that the company's short-term financial needs are met without delay. These loans are particularly valuable in situations requiring rapid action, such as property acquisition, renovation, or seizing time-sensitive opportunities. Typically ranging from six months to three years, bridge loans offer the crucial advantage of speed and flexibility. They may come with higher interest rates and fees due to their short-term nature, but they allow borrowers to capitalize on immediate opportunities that might otherwise be lost.</w:t>
      </w:r>
    </w:p>
    <w:p w14:paraId="7C73229B" w14:textId="77777777" w:rsidR="007D0398" w:rsidRDefault="007D0398" w:rsidP="007D0398">
      <w:pPr>
        <w:rPr>
          <w:rFonts w:ascii="Aptos" w:hAnsi="Aptos"/>
        </w:rPr>
      </w:pPr>
      <w:r w:rsidRPr="007D0398">
        <w:rPr>
          <w:rFonts w:ascii="Aptos" w:hAnsi="Aptos"/>
        </w:rPr>
        <w:t>Additionally, other types of short-term collateralized loans can be offered, with the ability to close in as little as 10 days or less, providing further flexibility in accessing necessary funds.</w:t>
      </w:r>
    </w:p>
    <w:p w14:paraId="24B38AEB" w14:textId="77777777" w:rsidR="007D0398" w:rsidRDefault="007D0398" w:rsidP="007D0398">
      <w:pPr>
        <w:rPr>
          <w:rFonts w:ascii="Aptos" w:hAnsi="Aptos"/>
        </w:rPr>
      </w:pPr>
    </w:p>
    <w:p w14:paraId="67A6F7D4" w14:textId="6FB7FEDB" w:rsidR="00B1455A" w:rsidRPr="00E64971" w:rsidRDefault="00B1455A" w:rsidP="00B1455A">
      <w:pPr>
        <w:rPr>
          <w:rFonts w:ascii="Aptos" w:hAnsi="Aptos"/>
        </w:rPr>
      </w:pPr>
      <w:r w:rsidRPr="00243B3D">
        <w:rPr>
          <w:rFonts w:ascii="Aptos" w:hAnsi="Aptos"/>
          <w:b/>
          <w:bCs/>
          <w:sz w:val="28"/>
          <w:szCs w:val="28"/>
        </w:rPr>
        <w:t>O</w:t>
      </w:r>
      <w:r>
        <w:rPr>
          <w:rFonts w:ascii="Aptos" w:hAnsi="Aptos"/>
          <w:b/>
          <w:bCs/>
          <w:sz w:val="28"/>
          <w:szCs w:val="28"/>
        </w:rPr>
        <w:t>AL Network’s</w:t>
      </w:r>
      <w:r w:rsidRPr="00243B3D">
        <w:rPr>
          <w:rFonts w:ascii="Aptos" w:hAnsi="Aptos"/>
          <w:b/>
          <w:bCs/>
          <w:sz w:val="28"/>
          <w:szCs w:val="28"/>
        </w:rPr>
        <w:t xml:space="preserve"> typical loan </w:t>
      </w:r>
      <w:r>
        <w:rPr>
          <w:rFonts w:ascii="Aptos" w:hAnsi="Aptos"/>
          <w:b/>
          <w:bCs/>
          <w:sz w:val="28"/>
          <w:szCs w:val="28"/>
        </w:rPr>
        <w:t xml:space="preserve">funding </w:t>
      </w:r>
      <w:r w:rsidRPr="00243B3D">
        <w:rPr>
          <w:rFonts w:ascii="Aptos" w:hAnsi="Aptos"/>
          <w:b/>
          <w:bCs/>
          <w:sz w:val="28"/>
          <w:szCs w:val="28"/>
        </w:rPr>
        <w:t xml:space="preserve">size: </w:t>
      </w:r>
      <w:r w:rsidRPr="00EA5089">
        <w:rPr>
          <w:rFonts w:ascii="Aptos" w:hAnsi="Aptos"/>
          <w:b/>
          <w:bCs/>
          <w:sz w:val="28"/>
          <w:szCs w:val="28"/>
        </w:rPr>
        <w:t>$1</w:t>
      </w:r>
      <w:r w:rsidR="009C4315">
        <w:rPr>
          <w:rFonts w:ascii="Aptos" w:hAnsi="Aptos"/>
          <w:b/>
          <w:bCs/>
          <w:sz w:val="28"/>
          <w:szCs w:val="28"/>
        </w:rPr>
        <w:t>00,000</w:t>
      </w:r>
      <w:r w:rsidRPr="00EA5089">
        <w:rPr>
          <w:rFonts w:ascii="Aptos" w:hAnsi="Aptos"/>
          <w:b/>
          <w:bCs/>
          <w:sz w:val="28"/>
          <w:szCs w:val="28"/>
        </w:rPr>
        <w:t xml:space="preserve"> - $100 million+</w:t>
      </w:r>
    </w:p>
    <w:p w14:paraId="0B7E74E8" w14:textId="5B8B8B09" w:rsidR="00B1455A" w:rsidRPr="00701B75" w:rsidRDefault="00B1455A" w:rsidP="00B1455A">
      <w:pPr>
        <w:rPr>
          <w:rFonts w:ascii="Aptos" w:hAnsi="Aptos"/>
          <w:b/>
          <w:bCs/>
          <w:color w:val="00B0F0"/>
          <w:sz w:val="28"/>
          <w:szCs w:val="28"/>
        </w:rPr>
      </w:pPr>
      <w:r w:rsidRPr="00701B75">
        <w:rPr>
          <w:rFonts w:ascii="Aptos" w:hAnsi="Aptos"/>
          <w:b/>
          <w:bCs/>
          <w:color w:val="00B0F0"/>
          <w:sz w:val="28"/>
          <w:szCs w:val="28"/>
        </w:rPr>
        <w:t xml:space="preserve">Typical approval time: </w:t>
      </w:r>
      <w:r w:rsidR="009C4315">
        <w:rPr>
          <w:rFonts w:ascii="Aptos" w:hAnsi="Aptos"/>
          <w:b/>
          <w:bCs/>
          <w:color w:val="00B0F0"/>
          <w:sz w:val="28"/>
          <w:szCs w:val="28"/>
        </w:rPr>
        <w:t>7</w:t>
      </w:r>
      <w:r w:rsidR="009C14ED">
        <w:rPr>
          <w:rFonts w:ascii="Aptos" w:hAnsi="Aptos"/>
          <w:b/>
          <w:bCs/>
          <w:color w:val="00B0F0"/>
          <w:sz w:val="28"/>
          <w:szCs w:val="28"/>
        </w:rPr>
        <w:t>-10</w:t>
      </w:r>
      <w:r w:rsidR="009C4315">
        <w:rPr>
          <w:rFonts w:ascii="Aptos" w:hAnsi="Aptos"/>
          <w:b/>
          <w:bCs/>
          <w:color w:val="00B0F0"/>
          <w:sz w:val="28"/>
          <w:szCs w:val="28"/>
        </w:rPr>
        <w:t xml:space="preserve"> days</w:t>
      </w:r>
    </w:p>
    <w:p w14:paraId="0D57A98C" w14:textId="77777777" w:rsidR="00B1455A" w:rsidRDefault="00B1455A" w:rsidP="00B1455A">
      <w:pPr>
        <w:ind w:left="720" w:firstLine="720"/>
      </w:pPr>
      <w:r w:rsidRPr="004C4CAC">
        <w:rPr>
          <w:rFonts w:ascii="Aptos" w:hAnsi="Aptos"/>
          <w:b/>
          <w:bCs/>
          <w:color w:val="00B0F0"/>
          <w:sz w:val="32"/>
          <w:szCs w:val="32"/>
        </w:rPr>
        <w:t>[ APPLY ]</w:t>
      </w:r>
    </w:p>
    <w:p w14:paraId="1233228D" w14:textId="77777777" w:rsidR="007D0398" w:rsidRPr="007D0398" w:rsidRDefault="007D0398" w:rsidP="007D0398"/>
    <w:sectPr w:rsidR="007D0398" w:rsidRPr="007D0398" w:rsidSect="007D03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398"/>
    <w:rsid w:val="00320A04"/>
    <w:rsid w:val="005019C3"/>
    <w:rsid w:val="005178BF"/>
    <w:rsid w:val="006F7CE3"/>
    <w:rsid w:val="007D0398"/>
    <w:rsid w:val="009C14ED"/>
    <w:rsid w:val="009C4315"/>
    <w:rsid w:val="00B1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C140"/>
  <w15:chartTrackingRefBased/>
  <w15:docId w15:val="{FCB94134-23A5-421D-BF0A-C562083B0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398"/>
    <w:rPr>
      <w:rFonts w:eastAsiaTheme="majorEastAsia" w:cstheme="majorBidi"/>
      <w:color w:val="272727" w:themeColor="text1" w:themeTint="D8"/>
    </w:rPr>
  </w:style>
  <w:style w:type="paragraph" w:styleId="Title">
    <w:name w:val="Title"/>
    <w:basedOn w:val="Normal"/>
    <w:next w:val="Normal"/>
    <w:link w:val="TitleChar"/>
    <w:uiPriority w:val="10"/>
    <w:qFormat/>
    <w:rsid w:val="007D0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398"/>
    <w:pPr>
      <w:spacing w:before="160"/>
      <w:jc w:val="center"/>
    </w:pPr>
    <w:rPr>
      <w:i/>
      <w:iCs/>
      <w:color w:val="404040" w:themeColor="text1" w:themeTint="BF"/>
    </w:rPr>
  </w:style>
  <w:style w:type="character" w:customStyle="1" w:styleId="QuoteChar">
    <w:name w:val="Quote Char"/>
    <w:basedOn w:val="DefaultParagraphFont"/>
    <w:link w:val="Quote"/>
    <w:uiPriority w:val="29"/>
    <w:rsid w:val="007D0398"/>
    <w:rPr>
      <w:i/>
      <w:iCs/>
      <w:color w:val="404040" w:themeColor="text1" w:themeTint="BF"/>
    </w:rPr>
  </w:style>
  <w:style w:type="paragraph" w:styleId="ListParagraph">
    <w:name w:val="List Paragraph"/>
    <w:basedOn w:val="Normal"/>
    <w:uiPriority w:val="34"/>
    <w:qFormat/>
    <w:rsid w:val="007D0398"/>
    <w:pPr>
      <w:ind w:left="720"/>
      <w:contextualSpacing/>
    </w:pPr>
  </w:style>
  <w:style w:type="character" w:styleId="IntenseEmphasis">
    <w:name w:val="Intense Emphasis"/>
    <w:basedOn w:val="DefaultParagraphFont"/>
    <w:uiPriority w:val="21"/>
    <w:qFormat/>
    <w:rsid w:val="007D0398"/>
    <w:rPr>
      <w:i/>
      <w:iCs/>
      <w:color w:val="2F5496" w:themeColor="accent1" w:themeShade="BF"/>
    </w:rPr>
  </w:style>
  <w:style w:type="paragraph" w:styleId="IntenseQuote">
    <w:name w:val="Intense Quote"/>
    <w:basedOn w:val="Normal"/>
    <w:next w:val="Normal"/>
    <w:link w:val="IntenseQuoteChar"/>
    <w:uiPriority w:val="30"/>
    <w:qFormat/>
    <w:rsid w:val="007D0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398"/>
    <w:rPr>
      <w:i/>
      <w:iCs/>
      <w:color w:val="2F5496" w:themeColor="accent1" w:themeShade="BF"/>
    </w:rPr>
  </w:style>
  <w:style w:type="character" w:styleId="IntenseReference">
    <w:name w:val="Intense Reference"/>
    <w:basedOn w:val="DefaultParagraphFont"/>
    <w:uiPriority w:val="32"/>
    <w:qFormat/>
    <w:rsid w:val="007D03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198</Words>
  <Characters>1129</Characters>
  <Application>Microsoft Office Word</Application>
  <DocSecurity>0</DocSecurity>
  <Lines>9</Lines>
  <Paragraphs>2</Paragraphs>
  <ScaleCrop>false</ScaleCrop>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4</cp:revision>
  <dcterms:created xsi:type="dcterms:W3CDTF">2026-07-19T07:11:00Z</dcterms:created>
  <dcterms:modified xsi:type="dcterms:W3CDTF">2026-09-30T05:56:00Z</dcterms:modified>
</cp:coreProperties>
</file>