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4CB2" w14:textId="2CEFCACE" w:rsidR="005A71DD" w:rsidRPr="002D4BB4" w:rsidRDefault="005A71DD" w:rsidP="005A71DD">
      <w:pPr>
        <w:rPr>
          <w:rFonts w:ascii="Aptos" w:hAnsi="Aptos"/>
          <w:b/>
          <w:bCs/>
          <w:sz w:val="48"/>
          <w:szCs w:val="48"/>
        </w:rPr>
      </w:pPr>
      <w:r w:rsidRPr="005A71DD">
        <w:rPr>
          <w:rFonts w:ascii="Aptos" w:hAnsi="Aptos"/>
          <w:b/>
          <w:bCs/>
          <w:sz w:val="48"/>
          <w:szCs w:val="48"/>
        </w:rPr>
        <w:t>Fleet Truck Financing</w:t>
      </w:r>
    </w:p>
    <w:p w14:paraId="186647AC" w14:textId="77777777" w:rsidR="005A71DD" w:rsidRPr="002D4BB4" w:rsidRDefault="005A71DD" w:rsidP="005A71DD">
      <w:pPr>
        <w:spacing w:after="0"/>
        <w:rPr>
          <w:rFonts w:ascii="Aptos" w:hAnsi="Aptos"/>
          <w:b/>
          <w:bCs/>
          <w:sz w:val="48"/>
          <w:szCs w:val="48"/>
        </w:rPr>
      </w:pPr>
      <w:r w:rsidRPr="002D4BB4">
        <w:rPr>
          <w:rFonts w:ascii="Aptos" w:hAnsi="Aptos"/>
          <w:b/>
          <w:bCs/>
          <w:color w:val="00B0F0"/>
          <w:sz w:val="22"/>
          <w:szCs w:val="22"/>
        </w:rPr>
        <w:t xml:space="preserve">Home / Type of Financing / </w:t>
      </w:r>
      <w:r w:rsidRPr="005A71DD">
        <w:rPr>
          <w:rFonts w:ascii="Aptos" w:hAnsi="Aptos"/>
          <w:b/>
          <w:bCs/>
          <w:color w:val="00B0F0"/>
          <w:sz w:val="22"/>
          <w:szCs w:val="22"/>
        </w:rPr>
        <w:t>Fleet Truck Financing</w:t>
      </w:r>
    </w:p>
    <w:p w14:paraId="15F74100" w14:textId="26D855F8" w:rsidR="005A71DD" w:rsidRPr="002D4BB4" w:rsidRDefault="005A71DD" w:rsidP="005A71DD">
      <w:pPr>
        <w:spacing w:after="0"/>
        <w:rPr>
          <w:rFonts w:ascii="Aptos" w:hAnsi="Aptos"/>
          <w:b/>
          <w:bCs/>
        </w:rPr>
      </w:pPr>
    </w:p>
    <w:p w14:paraId="33510235" w14:textId="089C3EB9" w:rsidR="005A71DD" w:rsidRDefault="005A71DD" w:rsidP="005A71DD">
      <w:pPr>
        <w:spacing w:after="0"/>
        <w:rPr>
          <w:rFonts w:ascii="Aptos" w:hAnsi="Aptos"/>
        </w:rPr>
      </w:pPr>
      <w:r>
        <w:rPr>
          <w:rFonts w:ascii="Aptos" w:hAnsi="Aptos"/>
          <w:b/>
          <w:bCs/>
        </w:rPr>
        <w:t>O</w:t>
      </w:r>
      <w:r w:rsidR="00722058">
        <w:rPr>
          <w:rFonts w:ascii="Aptos" w:hAnsi="Aptos"/>
          <w:b/>
          <w:bCs/>
        </w:rPr>
        <w:t xml:space="preserve">AL Network </w:t>
      </w:r>
      <w:r w:rsidRPr="005A71DD">
        <w:rPr>
          <w:rFonts w:ascii="Aptos" w:hAnsi="Aptos"/>
          <w:b/>
          <w:bCs/>
        </w:rPr>
        <w:t>Fleet truck financing</w:t>
      </w:r>
      <w:r w:rsidRPr="005A71DD">
        <w:rPr>
          <w:rFonts w:ascii="Aptos" w:hAnsi="Aptos"/>
        </w:rPr>
        <w:t xml:space="preserve"> </w:t>
      </w:r>
      <w:r>
        <w:rPr>
          <w:rFonts w:ascii="Aptos" w:hAnsi="Aptos"/>
        </w:rPr>
        <w:t xml:space="preserve">solutions </w:t>
      </w:r>
      <w:r w:rsidRPr="005A71DD">
        <w:rPr>
          <w:rFonts w:ascii="Aptos" w:hAnsi="Aptos"/>
        </w:rPr>
        <w:t xml:space="preserve">helps businesses buy or lease commercial trucks without draining cash reserves, using options like </w:t>
      </w:r>
      <w:r w:rsidRPr="005A71DD">
        <w:rPr>
          <w:rFonts w:ascii="Aptos" w:hAnsi="Aptos"/>
          <w:b/>
          <w:bCs/>
        </w:rPr>
        <w:t>loans, leases, or lines of credit</w:t>
      </w:r>
      <w:r w:rsidRPr="005A71DD">
        <w:rPr>
          <w:rFonts w:ascii="Aptos" w:hAnsi="Aptos"/>
        </w:rPr>
        <w:t>. It can also support faster access to needed equipment (including new or used trucks and trailers) so you can keep operations running.</w:t>
      </w:r>
    </w:p>
    <w:p w14:paraId="540B038E" w14:textId="77777777" w:rsidR="005A71DD" w:rsidRDefault="005A71DD" w:rsidP="005A71DD">
      <w:pPr>
        <w:spacing w:after="0"/>
        <w:rPr>
          <w:rFonts w:ascii="Aptos" w:hAnsi="Aptos"/>
        </w:rPr>
      </w:pPr>
    </w:p>
    <w:p w14:paraId="042D6BDD" w14:textId="77777777" w:rsidR="005A71DD" w:rsidRPr="005A71DD" w:rsidRDefault="005A71DD" w:rsidP="005A71DD">
      <w:pPr>
        <w:rPr>
          <w:rFonts w:ascii="Aptos" w:hAnsi="Aptos"/>
          <w:b/>
          <w:bCs/>
        </w:rPr>
      </w:pPr>
      <w:r w:rsidRPr="005A71DD">
        <w:rPr>
          <w:rFonts w:ascii="Aptos" w:hAnsi="Aptos"/>
          <w:b/>
          <w:bCs/>
        </w:rPr>
        <w:t>Overview of Fleet Truck Financing</w:t>
      </w:r>
    </w:p>
    <w:p w14:paraId="5D8FBDCC" w14:textId="77777777" w:rsidR="005A71DD" w:rsidRPr="005A71DD" w:rsidRDefault="005A71DD" w:rsidP="005A71DD">
      <w:pPr>
        <w:rPr>
          <w:rFonts w:ascii="Aptos" w:hAnsi="Aptos"/>
        </w:rPr>
      </w:pPr>
      <w:r w:rsidRPr="005A71DD">
        <w:rPr>
          <w:rFonts w:ascii="Aptos" w:hAnsi="Aptos"/>
        </w:rPr>
        <w:t>Fleet truck financing provides businesses with the ability to acquire commercial trucks and trailers without significantly impacting their cash flow. This financing can be structured through various options, including loans, leases, or lines of credit.</w:t>
      </w:r>
    </w:p>
    <w:p w14:paraId="0248E338" w14:textId="77777777" w:rsidR="005A71DD" w:rsidRPr="005A71DD" w:rsidRDefault="005A71DD" w:rsidP="005A71DD">
      <w:pPr>
        <w:rPr>
          <w:rFonts w:ascii="Aptos" w:hAnsi="Aptos"/>
          <w:b/>
          <w:bCs/>
        </w:rPr>
      </w:pPr>
      <w:r w:rsidRPr="005A71DD">
        <w:rPr>
          <w:rFonts w:ascii="Aptos" w:hAnsi="Aptos"/>
          <w:b/>
          <w:bCs/>
        </w:rPr>
        <w:t>Benefits of Fleet Truck Financing</w:t>
      </w:r>
    </w:p>
    <w:p w14:paraId="41419A5C" w14:textId="77777777" w:rsidR="005A71DD" w:rsidRPr="005A71DD" w:rsidRDefault="005A71DD" w:rsidP="005A71DD">
      <w:pPr>
        <w:rPr>
          <w:rFonts w:ascii="Aptos" w:hAnsi="Aptos"/>
          <w:b/>
          <w:bCs/>
        </w:rPr>
      </w:pPr>
      <w:r w:rsidRPr="005A71DD">
        <w:rPr>
          <w:rFonts w:ascii="Aptos" w:hAnsi="Aptos"/>
          <w:b/>
          <w:bCs/>
        </w:rPr>
        <w:t>Cash Flow Management</w:t>
      </w:r>
    </w:p>
    <w:p w14:paraId="0CCB8C0D" w14:textId="77777777" w:rsidR="005A71DD" w:rsidRPr="005A71DD" w:rsidRDefault="005A71DD" w:rsidP="005A71DD">
      <w:pPr>
        <w:numPr>
          <w:ilvl w:val="0"/>
          <w:numId w:val="3"/>
        </w:numPr>
        <w:rPr>
          <w:rFonts w:ascii="Aptos" w:hAnsi="Aptos"/>
        </w:rPr>
      </w:pPr>
      <w:r w:rsidRPr="005A71DD">
        <w:rPr>
          <w:rFonts w:ascii="Aptos" w:hAnsi="Aptos"/>
          <w:b/>
          <w:bCs/>
        </w:rPr>
        <w:t>Preserves Capital</w:t>
      </w:r>
      <w:r w:rsidRPr="005A71DD">
        <w:rPr>
          <w:rFonts w:ascii="Aptos" w:hAnsi="Aptos"/>
        </w:rPr>
        <w:t>: Financing allows businesses to maintain cash reserves for other operational needs.</w:t>
      </w:r>
    </w:p>
    <w:p w14:paraId="77C883EB" w14:textId="77777777" w:rsidR="005A71DD" w:rsidRPr="005A71DD" w:rsidRDefault="005A71DD" w:rsidP="005A71DD">
      <w:pPr>
        <w:numPr>
          <w:ilvl w:val="0"/>
          <w:numId w:val="3"/>
        </w:numPr>
        <w:rPr>
          <w:rFonts w:ascii="Aptos" w:hAnsi="Aptos"/>
        </w:rPr>
      </w:pPr>
      <w:r w:rsidRPr="005A71DD">
        <w:rPr>
          <w:rFonts w:ascii="Aptos" w:hAnsi="Aptos"/>
          <w:b/>
          <w:bCs/>
        </w:rPr>
        <w:t>Flexible Payment Options</w:t>
      </w:r>
      <w:r w:rsidRPr="005A71DD">
        <w:rPr>
          <w:rFonts w:ascii="Aptos" w:hAnsi="Aptos"/>
        </w:rPr>
        <w:t>: Many financing solutions offer tailored repayment plans to fit business cash flow.</w:t>
      </w:r>
    </w:p>
    <w:p w14:paraId="6279CD39" w14:textId="77777777" w:rsidR="005A71DD" w:rsidRPr="005A71DD" w:rsidRDefault="005A71DD" w:rsidP="005A71DD">
      <w:pPr>
        <w:rPr>
          <w:rFonts w:ascii="Aptos" w:hAnsi="Aptos"/>
          <w:b/>
          <w:bCs/>
        </w:rPr>
      </w:pPr>
      <w:r w:rsidRPr="005A71DD">
        <w:rPr>
          <w:rFonts w:ascii="Aptos" w:hAnsi="Aptos"/>
          <w:b/>
          <w:bCs/>
        </w:rPr>
        <w:t>Quick Access to Equipment</w:t>
      </w:r>
    </w:p>
    <w:p w14:paraId="75C2F179" w14:textId="77777777" w:rsidR="005A71DD" w:rsidRPr="005A71DD" w:rsidRDefault="005A71DD" w:rsidP="005A71DD">
      <w:pPr>
        <w:numPr>
          <w:ilvl w:val="0"/>
          <w:numId w:val="4"/>
        </w:numPr>
        <w:rPr>
          <w:rFonts w:ascii="Aptos" w:hAnsi="Aptos"/>
        </w:rPr>
      </w:pPr>
      <w:r w:rsidRPr="005A71DD">
        <w:rPr>
          <w:rFonts w:ascii="Aptos" w:hAnsi="Aptos"/>
          <w:b/>
          <w:bCs/>
        </w:rPr>
        <w:t>Immediate Availability</w:t>
      </w:r>
      <w:r w:rsidRPr="005A71DD">
        <w:rPr>
          <w:rFonts w:ascii="Aptos" w:hAnsi="Aptos"/>
        </w:rPr>
        <w:t>: Financing options enable businesses to quickly obtain necessary trucks and trailers, ensuring operations continue smoothly.</w:t>
      </w:r>
    </w:p>
    <w:p w14:paraId="52B6B321" w14:textId="77777777" w:rsidR="005A71DD" w:rsidRDefault="005A71DD" w:rsidP="005A71DD">
      <w:pPr>
        <w:numPr>
          <w:ilvl w:val="0"/>
          <w:numId w:val="4"/>
        </w:numPr>
        <w:rPr>
          <w:rFonts w:ascii="Aptos" w:hAnsi="Aptos"/>
        </w:rPr>
      </w:pPr>
      <w:r w:rsidRPr="005A71DD">
        <w:rPr>
          <w:rFonts w:ascii="Aptos" w:hAnsi="Aptos"/>
          <w:b/>
          <w:bCs/>
        </w:rPr>
        <w:t>New and Used Options</w:t>
      </w:r>
      <w:r w:rsidRPr="005A71DD">
        <w:rPr>
          <w:rFonts w:ascii="Aptos" w:hAnsi="Aptos"/>
        </w:rPr>
        <w:t>: Businesses can finance both new and pre-owned vehicles, providing flexibility based on budget and needs.</w:t>
      </w:r>
    </w:p>
    <w:p w14:paraId="218E4DCA" w14:textId="77777777" w:rsidR="005A71DD" w:rsidRPr="005A71DD" w:rsidRDefault="005A71DD" w:rsidP="005A71DD">
      <w:pPr>
        <w:ind w:left="720"/>
        <w:rPr>
          <w:rFonts w:ascii="Aptos" w:hAnsi="Aptos"/>
        </w:rPr>
      </w:pPr>
    </w:p>
    <w:p w14:paraId="64CC8AB9" w14:textId="77777777" w:rsidR="005A71DD" w:rsidRPr="005A71DD" w:rsidRDefault="005A71DD" w:rsidP="005A71DD">
      <w:pPr>
        <w:rPr>
          <w:rFonts w:ascii="Aptos" w:hAnsi="Aptos"/>
          <w:b/>
          <w:bCs/>
        </w:rPr>
      </w:pPr>
      <w:r w:rsidRPr="005A71DD">
        <w:rPr>
          <w:rFonts w:ascii="Aptos" w:hAnsi="Aptos"/>
          <w:b/>
          <w:bCs/>
        </w:rPr>
        <w:t>Financing Options</w:t>
      </w:r>
    </w:p>
    <w:tbl>
      <w:tblPr>
        <w:tblW w:w="9180" w:type="dxa"/>
        <w:tblCellMar>
          <w:left w:w="0" w:type="dxa"/>
          <w:right w:w="0" w:type="dxa"/>
        </w:tblCellMar>
        <w:tblLook w:val="04A0" w:firstRow="1" w:lastRow="0" w:firstColumn="1" w:lastColumn="0" w:noHBand="0" w:noVBand="1"/>
      </w:tblPr>
      <w:tblGrid>
        <w:gridCol w:w="1597"/>
        <w:gridCol w:w="2943"/>
        <w:gridCol w:w="4640"/>
      </w:tblGrid>
      <w:tr w:rsidR="005A71DD" w:rsidRPr="005A71DD" w14:paraId="353A4C99" w14:textId="77777777">
        <w:trPr>
          <w:tblHeader/>
        </w:trPr>
        <w:tc>
          <w:tcPr>
            <w:tcW w:w="0" w:type="auto"/>
            <w:tcBorders>
              <w:top w:val="nil"/>
              <w:left w:val="nil"/>
              <w:bottom w:val="nil"/>
              <w:right w:val="nil"/>
            </w:tcBorders>
            <w:tcMar>
              <w:top w:w="0" w:type="dxa"/>
              <w:left w:w="15" w:type="dxa"/>
              <w:bottom w:w="60" w:type="dxa"/>
              <w:right w:w="240" w:type="dxa"/>
            </w:tcMar>
            <w:hideMark/>
          </w:tcPr>
          <w:p w14:paraId="15F2C9A7" w14:textId="77777777" w:rsidR="005A71DD" w:rsidRPr="005A71DD" w:rsidRDefault="005A71DD" w:rsidP="005A71DD">
            <w:pPr>
              <w:rPr>
                <w:rFonts w:ascii="Aptos" w:hAnsi="Aptos"/>
                <w:b/>
                <w:bCs/>
              </w:rPr>
            </w:pPr>
            <w:r w:rsidRPr="005A71DD">
              <w:rPr>
                <w:rFonts w:ascii="Aptos" w:hAnsi="Aptos"/>
                <w:b/>
                <w:bCs/>
              </w:rPr>
              <w:t>Financing Type</w:t>
            </w:r>
          </w:p>
        </w:tc>
        <w:tc>
          <w:tcPr>
            <w:tcW w:w="0" w:type="auto"/>
            <w:tcBorders>
              <w:top w:val="nil"/>
              <w:left w:val="nil"/>
              <w:bottom w:val="nil"/>
              <w:right w:val="nil"/>
            </w:tcBorders>
            <w:tcMar>
              <w:top w:w="0" w:type="dxa"/>
              <w:left w:w="15" w:type="dxa"/>
              <w:bottom w:w="60" w:type="dxa"/>
              <w:right w:w="240" w:type="dxa"/>
            </w:tcMar>
            <w:hideMark/>
          </w:tcPr>
          <w:p w14:paraId="1E2EDB78" w14:textId="77777777" w:rsidR="005A71DD" w:rsidRPr="005A71DD" w:rsidRDefault="005A71DD" w:rsidP="005A71DD">
            <w:pPr>
              <w:rPr>
                <w:rFonts w:ascii="Aptos" w:hAnsi="Aptos"/>
                <w:b/>
                <w:bCs/>
              </w:rPr>
            </w:pPr>
            <w:r w:rsidRPr="005A71DD">
              <w:rPr>
                <w:rFonts w:ascii="Aptos" w:hAnsi="Aptos"/>
                <w:b/>
                <w:bCs/>
              </w:rPr>
              <w:t>Description</w:t>
            </w:r>
          </w:p>
        </w:tc>
        <w:tc>
          <w:tcPr>
            <w:tcW w:w="0" w:type="auto"/>
            <w:tcBorders>
              <w:top w:val="nil"/>
              <w:left w:val="nil"/>
              <w:bottom w:val="nil"/>
              <w:right w:val="nil"/>
            </w:tcBorders>
            <w:tcMar>
              <w:top w:w="0" w:type="dxa"/>
              <w:left w:w="15" w:type="dxa"/>
              <w:bottom w:w="60" w:type="dxa"/>
              <w:right w:w="240" w:type="dxa"/>
            </w:tcMar>
            <w:hideMark/>
          </w:tcPr>
          <w:p w14:paraId="06A64F3B" w14:textId="77777777" w:rsidR="005A71DD" w:rsidRPr="005A71DD" w:rsidRDefault="005A71DD" w:rsidP="005A71DD">
            <w:pPr>
              <w:rPr>
                <w:rFonts w:ascii="Aptos" w:hAnsi="Aptos"/>
                <w:b/>
                <w:bCs/>
              </w:rPr>
            </w:pPr>
            <w:r w:rsidRPr="005A71DD">
              <w:rPr>
                <w:rFonts w:ascii="Aptos" w:hAnsi="Aptos"/>
                <w:b/>
                <w:bCs/>
              </w:rPr>
              <w:t>Key Features</w:t>
            </w:r>
          </w:p>
        </w:tc>
      </w:tr>
      <w:tr w:rsidR="005A71DD" w:rsidRPr="005A71DD" w14:paraId="208E7D3F" w14:textId="77777777">
        <w:tc>
          <w:tcPr>
            <w:tcW w:w="0" w:type="auto"/>
            <w:tcBorders>
              <w:top w:val="nil"/>
              <w:left w:val="nil"/>
              <w:bottom w:val="nil"/>
              <w:right w:val="nil"/>
            </w:tcBorders>
            <w:tcMar>
              <w:top w:w="120" w:type="dxa"/>
              <w:left w:w="15" w:type="dxa"/>
              <w:bottom w:w="120" w:type="dxa"/>
              <w:right w:w="120" w:type="dxa"/>
            </w:tcMar>
            <w:hideMark/>
          </w:tcPr>
          <w:p w14:paraId="18994BF9" w14:textId="77777777" w:rsidR="005A71DD" w:rsidRPr="005A71DD" w:rsidRDefault="005A71DD" w:rsidP="005A71DD">
            <w:pPr>
              <w:rPr>
                <w:rFonts w:ascii="Aptos" w:hAnsi="Aptos"/>
              </w:rPr>
            </w:pPr>
            <w:r w:rsidRPr="005A71DD">
              <w:rPr>
                <w:rFonts w:ascii="Aptos" w:hAnsi="Aptos"/>
                <w:b/>
                <w:bCs/>
              </w:rPr>
              <w:t>Loans</w:t>
            </w:r>
          </w:p>
        </w:tc>
        <w:tc>
          <w:tcPr>
            <w:tcW w:w="0" w:type="auto"/>
            <w:tcBorders>
              <w:top w:val="nil"/>
              <w:left w:val="nil"/>
              <w:bottom w:val="nil"/>
              <w:right w:val="nil"/>
            </w:tcBorders>
            <w:tcMar>
              <w:top w:w="120" w:type="dxa"/>
              <w:left w:w="15" w:type="dxa"/>
              <w:bottom w:w="120" w:type="dxa"/>
              <w:right w:w="120" w:type="dxa"/>
            </w:tcMar>
            <w:hideMark/>
          </w:tcPr>
          <w:p w14:paraId="4C044063" w14:textId="77777777" w:rsidR="005A71DD" w:rsidRPr="005A71DD" w:rsidRDefault="005A71DD" w:rsidP="005A71DD">
            <w:pPr>
              <w:rPr>
                <w:rFonts w:ascii="Aptos" w:hAnsi="Aptos"/>
              </w:rPr>
            </w:pPr>
            <w:r w:rsidRPr="005A71DD">
              <w:rPr>
                <w:rFonts w:ascii="Aptos" w:hAnsi="Aptos"/>
              </w:rPr>
              <w:t>Borrow a set amount to purchase trucks.</w:t>
            </w:r>
          </w:p>
        </w:tc>
        <w:tc>
          <w:tcPr>
            <w:tcW w:w="0" w:type="auto"/>
            <w:tcBorders>
              <w:top w:val="nil"/>
              <w:left w:val="nil"/>
              <w:bottom w:val="nil"/>
              <w:right w:val="nil"/>
            </w:tcBorders>
            <w:tcMar>
              <w:top w:w="120" w:type="dxa"/>
              <w:left w:w="15" w:type="dxa"/>
              <w:bottom w:w="120" w:type="dxa"/>
              <w:right w:w="120" w:type="dxa"/>
            </w:tcMar>
            <w:hideMark/>
          </w:tcPr>
          <w:p w14:paraId="5A26E0E4" w14:textId="77777777" w:rsidR="005A71DD" w:rsidRPr="005A71DD" w:rsidRDefault="005A71DD" w:rsidP="005A71DD">
            <w:pPr>
              <w:rPr>
                <w:rFonts w:ascii="Aptos" w:hAnsi="Aptos"/>
              </w:rPr>
            </w:pPr>
            <w:r w:rsidRPr="005A71DD">
              <w:rPr>
                <w:rFonts w:ascii="Aptos" w:hAnsi="Aptos"/>
              </w:rPr>
              <w:t>Fixed or variable interest rates, terms typically range from 3 to 7 years.</w:t>
            </w:r>
          </w:p>
        </w:tc>
      </w:tr>
      <w:tr w:rsidR="005A71DD" w:rsidRPr="005A71DD" w14:paraId="70093C55" w14:textId="77777777">
        <w:tc>
          <w:tcPr>
            <w:tcW w:w="0" w:type="auto"/>
            <w:tcBorders>
              <w:top w:val="nil"/>
              <w:left w:val="nil"/>
              <w:bottom w:val="nil"/>
              <w:right w:val="nil"/>
            </w:tcBorders>
            <w:tcMar>
              <w:top w:w="120" w:type="dxa"/>
              <w:left w:w="15" w:type="dxa"/>
              <w:bottom w:w="120" w:type="dxa"/>
              <w:right w:w="120" w:type="dxa"/>
            </w:tcMar>
            <w:hideMark/>
          </w:tcPr>
          <w:p w14:paraId="15679B61" w14:textId="77777777" w:rsidR="005A71DD" w:rsidRPr="005A71DD" w:rsidRDefault="005A71DD" w:rsidP="005A71DD">
            <w:pPr>
              <w:rPr>
                <w:rFonts w:ascii="Aptos" w:hAnsi="Aptos"/>
              </w:rPr>
            </w:pPr>
            <w:r w:rsidRPr="005A71DD">
              <w:rPr>
                <w:rFonts w:ascii="Aptos" w:hAnsi="Aptos"/>
                <w:b/>
                <w:bCs/>
              </w:rPr>
              <w:t>Leases</w:t>
            </w:r>
          </w:p>
        </w:tc>
        <w:tc>
          <w:tcPr>
            <w:tcW w:w="0" w:type="auto"/>
            <w:tcBorders>
              <w:top w:val="nil"/>
              <w:left w:val="nil"/>
              <w:bottom w:val="nil"/>
              <w:right w:val="nil"/>
            </w:tcBorders>
            <w:tcMar>
              <w:top w:w="120" w:type="dxa"/>
              <w:left w:w="15" w:type="dxa"/>
              <w:bottom w:w="120" w:type="dxa"/>
              <w:right w:w="120" w:type="dxa"/>
            </w:tcMar>
            <w:hideMark/>
          </w:tcPr>
          <w:p w14:paraId="42C08246" w14:textId="77777777" w:rsidR="005A71DD" w:rsidRPr="005A71DD" w:rsidRDefault="005A71DD" w:rsidP="005A71DD">
            <w:pPr>
              <w:rPr>
                <w:rFonts w:ascii="Aptos" w:hAnsi="Aptos"/>
              </w:rPr>
            </w:pPr>
            <w:r w:rsidRPr="005A71DD">
              <w:rPr>
                <w:rFonts w:ascii="Aptos" w:hAnsi="Aptos"/>
              </w:rPr>
              <w:t>Rent trucks for a specified period.</w:t>
            </w:r>
          </w:p>
        </w:tc>
        <w:tc>
          <w:tcPr>
            <w:tcW w:w="0" w:type="auto"/>
            <w:tcBorders>
              <w:top w:val="nil"/>
              <w:left w:val="nil"/>
              <w:bottom w:val="nil"/>
              <w:right w:val="nil"/>
            </w:tcBorders>
            <w:tcMar>
              <w:top w:w="120" w:type="dxa"/>
              <w:left w:w="15" w:type="dxa"/>
              <w:bottom w:w="120" w:type="dxa"/>
              <w:right w:w="120" w:type="dxa"/>
            </w:tcMar>
            <w:hideMark/>
          </w:tcPr>
          <w:p w14:paraId="6E528D72" w14:textId="77777777" w:rsidR="005A71DD" w:rsidRPr="005A71DD" w:rsidRDefault="005A71DD" w:rsidP="005A71DD">
            <w:pPr>
              <w:rPr>
                <w:rFonts w:ascii="Aptos" w:hAnsi="Aptos"/>
              </w:rPr>
            </w:pPr>
            <w:r w:rsidRPr="005A71DD">
              <w:rPr>
                <w:rFonts w:ascii="Aptos" w:hAnsi="Aptos"/>
              </w:rPr>
              <w:t>Lower upfront costs, options to purchase at lease end.</w:t>
            </w:r>
          </w:p>
        </w:tc>
      </w:tr>
      <w:tr w:rsidR="005A71DD" w:rsidRPr="005A71DD" w14:paraId="699483BF" w14:textId="77777777">
        <w:tc>
          <w:tcPr>
            <w:tcW w:w="0" w:type="auto"/>
            <w:tcBorders>
              <w:top w:val="nil"/>
              <w:left w:val="nil"/>
              <w:bottom w:val="nil"/>
              <w:right w:val="nil"/>
            </w:tcBorders>
            <w:tcMar>
              <w:top w:w="120" w:type="dxa"/>
              <w:left w:w="15" w:type="dxa"/>
              <w:bottom w:w="120" w:type="dxa"/>
              <w:right w:w="120" w:type="dxa"/>
            </w:tcMar>
            <w:hideMark/>
          </w:tcPr>
          <w:p w14:paraId="2D5C74B4" w14:textId="77777777" w:rsidR="005A71DD" w:rsidRPr="005A71DD" w:rsidRDefault="005A71DD" w:rsidP="005A71DD">
            <w:pPr>
              <w:rPr>
                <w:rFonts w:ascii="Aptos" w:hAnsi="Aptos"/>
              </w:rPr>
            </w:pPr>
            <w:r w:rsidRPr="005A71DD">
              <w:rPr>
                <w:rFonts w:ascii="Aptos" w:hAnsi="Aptos"/>
                <w:b/>
                <w:bCs/>
              </w:rPr>
              <w:lastRenderedPageBreak/>
              <w:t>Lines of Credit</w:t>
            </w:r>
          </w:p>
        </w:tc>
        <w:tc>
          <w:tcPr>
            <w:tcW w:w="0" w:type="auto"/>
            <w:tcBorders>
              <w:top w:val="nil"/>
              <w:left w:val="nil"/>
              <w:bottom w:val="nil"/>
              <w:right w:val="nil"/>
            </w:tcBorders>
            <w:tcMar>
              <w:top w:w="120" w:type="dxa"/>
              <w:left w:w="15" w:type="dxa"/>
              <w:bottom w:w="120" w:type="dxa"/>
              <w:right w:w="120" w:type="dxa"/>
            </w:tcMar>
            <w:hideMark/>
          </w:tcPr>
          <w:p w14:paraId="4EF5DF8D" w14:textId="77777777" w:rsidR="005A71DD" w:rsidRPr="005A71DD" w:rsidRDefault="005A71DD" w:rsidP="005A71DD">
            <w:pPr>
              <w:rPr>
                <w:rFonts w:ascii="Aptos" w:hAnsi="Aptos"/>
              </w:rPr>
            </w:pPr>
            <w:r w:rsidRPr="005A71DD">
              <w:rPr>
                <w:rFonts w:ascii="Aptos" w:hAnsi="Aptos"/>
              </w:rPr>
              <w:t>Flexible borrowing against a credit limit.</w:t>
            </w:r>
          </w:p>
        </w:tc>
        <w:tc>
          <w:tcPr>
            <w:tcW w:w="0" w:type="auto"/>
            <w:tcBorders>
              <w:top w:val="nil"/>
              <w:left w:val="nil"/>
              <w:bottom w:val="nil"/>
              <w:right w:val="nil"/>
            </w:tcBorders>
            <w:tcMar>
              <w:top w:w="120" w:type="dxa"/>
              <w:left w:w="15" w:type="dxa"/>
              <w:bottom w:w="120" w:type="dxa"/>
              <w:right w:w="120" w:type="dxa"/>
            </w:tcMar>
            <w:hideMark/>
          </w:tcPr>
          <w:p w14:paraId="498E0CF9" w14:textId="77777777" w:rsidR="005A71DD" w:rsidRPr="005A71DD" w:rsidRDefault="005A71DD" w:rsidP="005A71DD">
            <w:pPr>
              <w:rPr>
                <w:rFonts w:ascii="Aptos" w:hAnsi="Aptos"/>
              </w:rPr>
            </w:pPr>
            <w:r w:rsidRPr="005A71DD">
              <w:rPr>
                <w:rFonts w:ascii="Aptos" w:hAnsi="Aptos"/>
              </w:rPr>
              <w:t>Pay interest only on the amount used, can be reused as payments are made.</w:t>
            </w:r>
          </w:p>
        </w:tc>
      </w:tr>
    </w:tbl>
    <w:p w14:paraId="1F2C50D0" w14:textId="77777777" w:rsidR="005A71DD" w:rsidRPr="005A71DD" w:rsidRDefault="005A71DD" w:rsidP="005A71DD">
      <w:pPr>
        <w:rPr>
          <w:rFonts w:ascii="Aptos" w:hAnsi="Aptos"/>
          <w:b/>
          <w:bCs/>
        </w:rPr>
      </w:pPr>
      <w:r w:rsidRPr="005A71DD">
        <w:rPr>
          <w:rFonts w:ascii="Aptos" w:hAnsi="Aptos"/>
          <w:b/>
          <w:bCs/>
        </w:rPr>
        <w:t>Conclusion</w:t>
      </w:r>
    </w:p>
    <w:p w14:paraId="0224F3D6" w14:textId="77777777" w:rsidR="005A71DD" w:rsidRPr="005A71DD" w:rsidRDefault="005A71DD" w:rsidP="005A71DD">
      <w:pPr>
        <w:rPr>
          <w:rFonts w:ascii="Aptos" w:hAnsi="Aptos"/>
        </w:rPr>
      </w:pPr>
      <w:r w:rsidRPr="005A71DD">
        <w:rPr>
          <w:rFonts w:ascii="Aptos" w:hAnsi="Aptos"/>
        </w:rPr>
        <w:t>Fleet truck financing is essential for businesses looking to expand or maintain their operations efficiently. By utilizing loans, leases, or lines of credit, companies can acquire the necessary vehicles while managing their financial health effectively.</w:t>
      </w:r>
    </w:p>
    <w:p w14:paraId="6A397757" w14:textId="77777777" w:rsidR="005A71DD" w:rsidRDefault="005A71DD" w:rsidP="005A71DD">
      <w:pPr>
        <w:rPr>
          <w:rFonts w:ascii="Aptos" w:hAnsi="Aptos"/>
        </w:rPr>
      </w:pPr>
    </w:p>
    <w:p w14:paraId="39A42CFB" w14:textId="5876280E" w:rsidR="005A71DD" w:rsidRPr="00E64971" w:rsidRDefault="00722058" w:rsidP="005A71DD">
      <w:pPr>
        <w:rPr>
          <w:rFonts w:ascii="Aptos" w:hAnsi="Aptos"/>
        </w:rPr>
      </w:pPr>
      <w:r w:rsidRPr="00243B3D">
        <w:rPr>
          <w:rFonts w:ascii="Aptos" w:hAnsi="Aptos"/>
          <w:b/>
          <w:bCs/>
          <w:sz w:val="28"/>
          <w:szCs w:val="28"/>
        </w:rPr>
        <w:t>O</w:t>
      </w:r>
      <w:r>
        <w:rPr>
          <w:rFonts w:ascii="Aptos" w:hAnsi="Aptos"/>
          <w:b/>
          <w:bCs/>
          <w:sz w:val="28"/>
          <w:szCs w:val="28"/>
        </w:rPr>
        <w:t>AL Network’s</w:t>
      </w:r>
      <w:r w:rsidRPr="00243B3D">
        <w:rPr>
          <w:rFonts w:ascii="Aptos" w:hAnsi="Aptos"/>
          <w:b/>
          <w:bCs/>
          <w:sz w:val="28"/>
          <w:szCs w:val="28"/>
        </w:rPr>
        <w:t xml:space="preserve"> </w:t>
      </w:r>
      <w:r w:rsidR="005A71DD" w:rsidRPr="00243B3D">
        <w:rPr>
          <w:rFonts w:ascii="Aptos" w:hAnsi="Aptos"/>
          <w:b/>
          <w:bCs/>
          <w:sz w:val="28"/>
          <w:szCs w:val="28"/>
        </w:rPr>
        <w:t xml:space="preserve">typical loan </w:t>
      </w:r>
      <w:r w:rsidR="005A71DD">
        <w:rPr>
          <w:rFonts w:ascii="Aptos" w:hAnsi="Aptos"/>
          <w:b/>
          <w:bCs/>
          <w:sz w:val="28"/>
          <w:szCs w:val="28"/>
        </w:rPr>
        <w:t xml:space="preserve">funding </w:t>
      </w:r>
      <w:r w:rsidR="005A71DD" w:rsidRPr="00243B3D">
        <w:rPr>
          <w:rFonts w:ascii="Aptos" w:hAnsi="Aptos"/>
          <w:b/>
          <w:bCs/>
          <w:sz w:val="28"/>
          <w:szCs w:val="28"/>
        </w:rPr>
        <w:t xml:space="preserve">size: </w:t>
      </w:r>
      <w:r w:rsidR="00804BFB" w:rsidRPr="00804BFB">
        <w:rPr>
          <w:rFonts w:ascii="Aptos" w:hAnsi="Aptos"/>
          <w:b/>
          <w:bCs/>
          <w:sz w:val="28"/>
          <w:szCs w:val="28"/>
        </w:rPr>
        <w:t>$100,000 - $5 million</w:t>
      </w:r>
    </w:p>
    <w:p w14:paraId="6A5E73FF" w14:textId="13108B8D" w:rsidR="005A71DD" w:rsidRPr="00701B75" w:rsidRDefault="005A71DD" w:rsidP="005A71DD">
      <w:pPr>
        <w:rPr>
          <w:rFonts w:ascii="Aptos" w:hAnsi="Aptos"/>
          <w:b/>
          <w:bCs/>
          <w:color w:val="00B0F0"/>
          <w:sz w:val="28"/>
          <w:szCs w:val="28"/>
        </w:rPr>
      </w:pPr>
      <w:r w:rsidRPr="00701B75">
        <w:rPr>
          <w:rFonts w:ascii="Aptos" w:hAnsi="Aptos"/>
          <w:b/>
          <w:bCs/>
          <w:color w:val="00B0F0"/>
          <w:sz w:val="28"/>
          <w:szCs w:val="28"/>
        </w:rPr>
        <w:t xml:space="preserve">Typical approval time: </w:t>
      </w:r>
      <w:r w:rsidR="00804BFB" w:rsidRPr="00804BFB">
        <w:rPr>
          <w:rFonts w:ascii="Aptos" w:hAnsi="Aptos"/>
          <w:b/>
          <w:bCs/>
          <w:color w:val="00B0F0"/>
          <w:sz w:val="28"/>
          <w:szCs w:val="28"/>
        </w:rPr>
        <w:t>24 hours – 1 week for large fleet</w:t>
      </w:r>
    </w:p>
    <w:p w14:paraId="4494DD2C" w14:textId="77777777" w:rsidR="005A71DD" w:rsidRPr="00FC6384" w:rsidRDefault="005A71DD" w:rsidP="005A71DD">
      <w:pPr>
        <w:ind w:left="720" w:firstLine="720"/>
        <w:rPr>
          <w:rFonts w:ascii="Aptos" w:hAnsi="Aptos"/>
          <w:b/>
          <w:bCs/>
          <w:color w:val="00B0F0"/>
        </w:rPr>
      </w:pPr>
      <w:r w:rsidRPr="004C4CAC">
        <w:rPr>
          <w:rFonts w:ascii="Aptos" w:hAnsi="Aptos"/>
          <w:b/>
          <w:bCs/>
          <w:color w:val="00B0F0"/>
          <w:sz w:val="32"/>
          <w:szCs w:val="32"/>
        </w:rPr>
        <w:t>[ APPLY ]</w:t>
      </w:r>
    </w:p>
    <w:p w14:paraId="6618F93B" w14:textId="77777777" w:rsidR="00320A04" w:rsidRPr="005A71DD" w:rsidRDefault="00320A04">
      <w:pPr>
        <w:rPr>
          <w:rFonts w:ascii="Aptos" w:hAnsi="Aptos"/>
        </w:rPr>
      </w:pPr>
    </w:p>
    <w:sectPr w:rsidR="00320A04" w:rsidRPr="005A71DD" w:rsidSect="005A71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4612"/>
    <w:multiLevelType w:val="multilevel"/>
    <w:tmpl w:val="ED2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6D39C9"/>
    <w:multiLevelType w:val="multilevel"/>
    <w:tmpl w:val="352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457D21"/>
    <w:multiLevelType w:val="multilevel"/>
    <w:tmpl w:val="3F6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F021D7"/>
    <w:multiLevelType w:val="multilevel"/>
    <w:tmpl w:val="E78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DE3DD2"/>
    <w:multiLevelType w:val="multilevel"/>
    <w:tmpl w:val="D0F8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283262">
    <w:abstractNumId w:val="2"/>
  </w:num>
  <w:num w:numId="2" w16cid:durableId="615449343">
    <w:abstractNumId w:val="4"/>
  </w:num>
  <w:num w:numId="3" w16cid:durableId="252009922">
    <w:abstractNumId w:val="0"/>
  </w:num>
  <w:num w:numId="4" w16cid:durableId="1135558911">
    <w:abstractNumId w:val="1"/>
  </w:num>
  <w:num w:numId="5" w16cid:durableId="1080567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1DD"/>
    <w:rsid w:val="00320A04"/>
    <w:rsid w:val="003E75FB"/>
    <w:rsid w:val="005178BF"/>
    <w:rsid w:val="005A71DD"/>
    <w:rsid w:val="006F7CE3"/>
    <w:rsid w:val="00722058"/>
    <w:rsid w:val="00804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5ED6"/>
  <w15:chartTrackingRefBased/>
  <w15:docId w15:val="{6E009BBA-1395-4436-B707-B2470BE28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DD"/>
  </w:style>
  <w:style w:type="paragraph" w:styleId="Heading1">
    <w:name w:val="heading 1"/>
    <w:basedOn w:val="Normal"/>
    <w:next w:val="Normal"/>
    <w:link w:val="Heading1Char"/>
    <w:uiPriority w:val="9"/>
    <w:qFormat/>
    <w:rsid w:val="005A71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1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1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1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1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1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1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1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1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1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1DD"/>
    <w:rPr>
      <w:rFonts w:eastAsiaTheme="majorEastAsia" w:cstheme="majorBidi"/>
      <w:color w:val="272727" w:themeColor="text1" w:themeTint="D8"/>
    </w:rPr>
  </w:style>
  <w:style w:type="paragraph" w:styleId="Title">
    <w:name w:val="Title"/>
    <w:basedOn w:val="Normal"/>
    <w:next w:val="Normal"/>
    <w:link w:val="TitleChar"/>
    <w:uiPriority w:val="10"/>
    <w:qFormat/>
    <w:rsid w:val="005A7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1DD"/>
    <w:pPr>
      <w:spacing w:before="160"/>
      <w:jc w:val="center"/>
    </w:pPr>
    <w:rPr>
      <w:i/>
      <w:iCs/>
      <w:color w:val="404040" w:themeColor="text1" w:themeTint="BF"/>
    </w:rPr>
  </w:style>
  <w:style w:type="character" w:customStyle="1" w:styleId="QuoteChar">
    <w:name w:val="Quote Char"/>
    <w:basedOn w:val="DefaultParagraphFont"/>
    <w:link w:val="Quote"/>
    <w:uiPriority w:val="29"/>
    <w:rsid w:val="005A71DD"/>
    <w:rPr>
      <w:i/>
      <w:iCs/>
      <w:color w:val="404040" w:themeColor="text1" w:themeTint="BF"/>
    </w:rPr>
  </w:style>
  <w:style w:type="paragraph" w:styleId="ListParagraph">
    <w:name w:val="List Paragraph"/>
    <w:basedOn w:val="Normal"/>
    <w:uiPriority w:val="34"/>
    <w:qFormat/>
    <w:rsid w:val="005A71DD"/>
    <w:pPr>
      <w:ind w:left="720"/>
      <w:contextualSpacing/>
    </w:pPr>
  </w:style>
  <w:style w:type="character" w:styleId="IntenseEmphasis">
    <w:name w:val="Intense Emphasis"/>
    <w:basedOn w:val="DefaultParagraphFont"/>
    <w:uiPriority w:val="21"/>
    <w:qFormat/>
    <w:rsid w:val="005A71DD"/>
    <w:rPr>
      <w:i/>
      <w:iCs/>
      <w:color w:val="2F5496" w:themeColor="accent1" w:themeShade="BF"/>
    </w:rPr>
  </w:style>
  <w:style w:type="paragraph" w:styleId="IntenseQuote">
    <w:name w:val="Intense Quote"/>
    <w:basedOn w:val="Normal"/>
    <w:next w:val="Normal"/>
    <w:link w:val="IntenseQuoteChar"/>
    <w:uiPriority w:val="30"/>
    <w:qFormat/>
    <w:rsid w:val="005A71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1DD"/>
    <w:rPr>
      <w:i/>
      <w:iCs/>
      <w:color w:val="2F5496" w:themeColor="accent1" w:themeShade="BF"/>
    </w:rPr>
  </w:style>
  <w:style w:type="character" w:styleId="IntenseReference">
    <w:name w:val="Intense Reference"/>
    <w:basedOn w:val="DefaultParagraphFont"/>
    <w:uiPriority w:val="32"/>
    <w:qFormat/>
    <w:rsid w:val="005A71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306</Words>
  <Characters>1745</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cp:revision>
  <dcterms:created xsi:type="dcterms:W3CDTF">2026-07-19T13:16:00Z</dcterms:created>
  <dcterms:modified xsi:type="dcterms:W3CDTF">2026-09-30T05:43:00Z</dcterms:modified>
</cp:coreProperties>
</file>