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1F3A5F"/>
          <w:sz w:val="48"/>
          <w:szCs w:val="48"/>
        </w:rPr>
        <w:t xml:space="preserve">RADIANTILYK AESTHETIC</w:t>
      </w:r>
    </w:p>
    <w:p>
      <w:pPr>
        <w:pBdr>
          <w:bottom w:val="single" w:color="B8860B" w:sz="12" w:space="4"/>
        </w:pBdr>
        <w:spacing w:after="600" w:before="0"/>
        <w:jc w:val="center"/>
      </w:pPr>
      <w:r>
        <w:rPr>
          <w:rFonts w:ascii="Calibri" w:cs="Calibri" w:eastAsia="Calibri" w:hAnsi="Calibri"/>
          <w:i/>
          <w:iCs/>
          <w:color w:val="666666"/>
          <w:sz w:val="22"/>
          <w:szCs w:val="22"/>
        </w:rPr>
        <w:t xml:space="preserve">Clinical Protocol · Practice Reference Document</w:t>
      </w:r>
    </w:p>
    <w:p>
      <w:pPr>
        <w:spacing w:after="100" w:before="1200"/>
        <w:jc w:val="center"/>
      </w:pPr>
      <w:r>
        <w:rPr>
          <w:rFonts w:ascii="Calibri" w:cs="Calibri" w:eastAsia="Calibri" w:hAnsi="Calibri"/>
          <w:b/>
          <w:bCs/>
          <w:color w:val="8B0000"/>
          <w:sz w:val="64"/>
          <w:szCs w:val="64"/>
        </w:rPr>
        <w:t xml:space="preserve">VASCULAR OCCLUSION</w:t>
      </w:r>
    </w:p>
    <w:p>
      <w:pPr>
        <w:spacing w:after="200" w:before="0"/>
        <w:jc w:val="center"/>
      </w:pPr>
      <w:r>
        <w:rPr>
          <w:rFonts w:ascii="Calibri" w:cs="Calibri" w:eastAsia="Calibri" w:hAnsi="Calibri"/>
          <w:b/>
          <w:bCs/>
          <w:color w:val="1F3A5F"/>
          <w:sz w:val="32"/>
          <w:szCs w:val="32"/>
        </w:rPr>
        <w:t xml:space="preserve">Recognition, Response &amp; Management Protocol</w:t>
      </w:r>
    </w:p>
    <w:p>
      <w:pPr>
        <w:spacing w:after="1000" w:before="0"/>
        <w:jc w:val="center"/>
      </w:pPr>
      <w:r>
        <w:rPr>
          <w:rFonts w:ascii="Calibri" w:cs="Calibri" w:eastAsia="Calibri" w:hAnsi="Calibri"/>
          <w:i/>
          <w:iCs/>
          <w:color w:val="666666"/>
          <w:sz w:val="24"/>
          <w:szCs w:val="24"/>
        </w:rPr>
        <w:t xml:space="preserve">For Dermal Filler Complications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B8860B" w:sz="12"/>
              <w:left w:val="single" w:color="B8860B" w:sz="12"/>
              <w:bottom w:val="single" w:color="B8860B" w:sz="12"/>
              <w:right w:val="single" w:color="B8860B" w:sz="12"/>
            </w:tcBorders>
            <w:shd w:fill="F5F1EA" w:val="clear"/>
            <w:tcMar>
              <w:top w:type="dxa" w:w="240"/>
              <w:left w:type="dxa" w:w="240"/>
              <w:bottom w:type="dxa" w:w="240"/>
              <w:right w:type="dxa" w:w="240"/>
            </w:tcMar>
          </w:tcPr>
          <w:p>
            <w:pPr>
              <w:spacing w:after="120"/>
              <w:jc w:val="center"/>
            </w:pPr>
            <w:r>
              <w:rPr>
                <w:rFonts w:ascii="Calibri" w:cs="Calibri" w:eastAsia="Calibri" w:hAnsi="Calibri"/>
                <w:b/>
                <w:bCs/>
                <w:color w:val="1F3A5F"/>
                <w:sz w:val="20"/>
                <w:szCs w:val="20"/>
              </w:rPr>
              <w:t xml:space="preserve">PROTOCOL AUTHORS</w:t>
            </w:r>
          </w:p>
          <w:p>
            <w:pPr>
              <w:spacing w:after="40" w:before="60"/>
              <w:jc w:val="center"/>
            </w:pPr>
            <w:r>
              <w:rPr>
                <w:rFonts w:ascii="Calibri" w:cs="Calibri" w:eastAsia="Calibri" w:hAnsi="Calibri"/>
                <w:b/>
                <w:bCs/>
                <w:color w:val="2C2C2C"/>
                <w:sz w:val="26"/>
                <w:szCs w:val="26"/>
              </w:rPr>
              <w:t xml:space="preserve">Kiem Vukadinovic, NP</w:t>
            </w:r>
          </w:p>
          <w:p>
            <w:pPr>
              <w:spacing w:after="160" w:before="0"/>
              <w:jc w:val="center"/>
            </w:pPr>
            <w:r>
              <w:rPr>
                <w:rFonts w:ascii="Calibri" w:cs="Calibri" w:eastAsia="Calibri" w:hAnsi="Calibri"/>
                <w:i/>
                <w:iCs/>
                <w:color w:val="666666"/>
                <w:sz w:val="20"/>
                <w:szCs w:val="20"/>
              </w:rPr>
              <w:t xml:space="preserve">Lead Aesthetic Injector</w:t>
            </w:r>
          </w:p>
          <w:p>
            <w:pPr>
              <w:spacing w:after="40" w:before="60"/>
              <w:jc w:val="center"/>
            </w:pPr>
            <w:r>
              <w:rPr>
                <w:rFonts w:ascii="Calibri" w:cs="Calibri" w:eastAsia="Calibri" w:hAnsi="Calibri"/>
                <w:b/>
                <w:bCs/>
                <w:color w:val="2C2C2C"/>
                <w:sz w:val="26"/>
                <w:szCs w:val="26"/>
              </w:rPr>
              <w:t xml:space="preserve">Alyosius Fobi, MD</w:t>
            </w:r>
          </w:p>
          <w:p>
            <w:pPr>
              <w:spacing w:after="60" w:before="0"/>
              <w:jc w:val="center"/>
            </w:pPr>
            <w:r>
              <w:rPr>
                <w:rFonts w:ascii="Calibri" w:cs="Calibri" w:eastAsia="Calibri" w:hAnsi="Calibri"/>
                <w:i/>
                <w:iCs/>
                <w:color w:val="666666"/>
                <w:sz w:val="20"/>
                <w:szCs w:val="20"/>
              </w:rPr>
              <w:t xml:space="preserve">Medical Director</w:t>
            </w:r>
          </w:p>
        </w:tc>
      </w:tr>
    </w:tbl>
    <w:p>
      <w:pPr>
        <w:spacing w:after="0" w:before="1200"/>
        <w:jc w:val="center"/>
      </w:pPr>
      <w:r>
        <w:rPr>
          <w:rFonts w:ascii="Calibri" w:cs="Calibri" w:eastAsia="Calibri" w:hAnsi="Calibri"/>
          <w:color w:val="666666"/>
          <w:sz w:val="20"/>
          <w:szCs w:val="20"/>
        </w:rPr>
        <w:t xml:space="preserve">Version 1.0  ·  Effective: 2026</w:t>
      </w:r>
    </w:p>
    <w:p>
      <w:pPr>
        <w:spacing w:before="60"/>
        <w:jc w:val="center"/>
      </w:pPr>
      <w:r>
        <w:rPr>
          <w:rFonts w:ascii="Calibri" w:cs="Calibri" w:eastAsia="Calibri" w:hAnsi="Calibri"/>
          <w:b/>
          <w:bCs/>
          <w:color w:val="8B0000"/>
          <w:sz w:val="18"/>
          <w:szCs w:val="18"/>
        </w:rPr>
        <w:t xml:space="preserve">CONFIDENTIAL · Internal Clinical Reference</w:t>
      </w:r>
    </w:p>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1. Purpose &amp; Scope</w:t>
      </w:r>
    </w:p>
    <w:p>
      <w:pPr>
        <w:spacing w:after="60" w:before="60" w:line="300"/>
        <w:jc w:val="left"/>
      </w:pPr>
      <w:r>
        <w:rPr>
          <w:rFonts w:ascii="Calibri" w:cs="Calibri" w:eastAsia="Calibri" w:hAnsi="Calibri"/>
          <w:color w:val="2C2C2C"/>
          <w:sz w:val="22"/>
          <w:szCs w:val="22"/>
        </w:rPr>
        <w:t xml:space="preserve">Vascular occlusion (VO) is a </w:t>
      </w:r>
      <w:r>
        <w:rPr>
          <w:rFonts w:ascii="Calibri" w:cs="Calibri" w:eastAsia="Calibri" w:hAnsi="Calibri"/>
          <w:b/>
          <w:bCs/>
          <w:color w:val="8B0000"/>
          <w:sz w:val="22"/>
          <w:szCs w:val="22"/>
        </w:rPr>
        <w:t xml:space="preserve">time-critical medical emergency</w:t>
      </w:r>
      <w:r>
        <w:rPr>
          <w:rFonts w:ascii="Calibri" w:cs="Calibri" w:eastAsia="Calibri" w:hAnsi="Calibri"/>
          <w:color w:val="2C2C2C"/>
          <w:sz w:val="22"/>
          <w:szCs w:val="22"/>
        </w:rPr>
        <w:t xml:space="preserve"> that can occur during or after the injection of any dermal filler. Filler material entering or compressing an artery interrupts perfusion and can lead to tissue necrosis, permanent scarring, blindness, or stroke.</w:t>
      </w:r>
    </w:p>
    <w:p>
      <w:pPr>
        <w:spacing w:after="60" w:before="60" w:line="300"/>
        <w:jc w:val="left"/>
      </w:pPr>
      <w:r>
        <w:rPr>
          <w:rFonts w:ascii="Calibri" w:cs="Calibri" w:eastAsia="Calibri" w:hAnsi="Calibri"/>
          <w:color w:val="2C2C2C"/>
          <w:sz w:val="22"/>
          <w:szCs w:val="22"/>
        </w:rPr>
        <w:t xml:space="preserve">This protocol provides every clinician at </w:t>
      </w:r>
      <w:r>
        <w:rPr>
          <w:rFonts w:ascii="Calibri" w:cs="Calibri" w:eastAsia="Calibri" w:hAnsi="Calibri"/>
          <w:b/>
          <w:bCs/>
          <w:color w:val="1F3A5F"/>
          <w:sz w:val="22"/>
          <w:szCs w:val="22"/>
        </w:rPr>
        <w:t xml:space="preserve">RadiantilyK Aesthetic</w:t>
      </w:r>
      <w:r>
        <w:rPr>
          <w:rFonts w:ascii="Calibri" w:cs="Calibri" w:eastAsia="Calibri" w:hAnsi="Calibri"/>
          <w:color w:val="2C2C2C"/>
          <w:sz w:val="22"/>
          <w:szCs w:val="22"/>
        </w:rPr>
        <w:t xml:space="preserve"> with a standardized, evidence-informed approach to recognition, immediate response, and management of suspected vascular occlusion. Adherence to this protocol is mandatory for all providers who perform soft-tissue augmentation in our practice.</w:t>
      </w:r>
    </w:p>
    <w:p>
      <w:pPr>
        <w:pStyle w:val="Heading2"/>
        <w:spacing w:after="140" w:before="280"/>
      </w:pPr>
      <w:r>
        <w:rPr>
          <w:rFonts w:ascii="Calibri" w:cs="Calibri" w:eastAsia="Calibri" w:hAnsi="Calibri"/>
          <w:b/>
          <w:bCs/>
          <w:color w:val="1F3A5F"/>
          <w:sz w:val="28"/>
          <w:szCs w:val="28"/>
        </w:rPr>
        <w:t xml:space="preserve">1.1 Scope of Application</w:t>
      </w:r>
    </w:p>
    <w:p>
      <w:pPr>
        <w:pStyle w:val="ListParagraph"/>
        <w:numPr>
          <w:ilvl w:val="0"/>
          <w:numId w:val="2"/>
        </w:numPr>
        <w:spacing w:after="40" w:before="40" w:line="280"/>
      </w:pPr>
      <w:r>
        <w:rPr>
          <w:rFonts w:ascii="Calibri" w:cs="Calibri" w:eastAsia="Calibri" w:hAnsi="Calibri"/>
          <w:color w:val="2C2C2C"/>
          <w:sz w:val="22"/>
          <w:szCs w:val="22"/>
        </w:rPr>
        <w:t xml:space="preserve">All hyaluronic acid (HA) and non-HA dermal filler procedures</w:t>
      </w:r>
    </w:p>
    <w:p>
      <w:pPr>
        <w:pStyle w:val="ListParagraph"/>
        <w:numPr>
          <w:ilvl w:val="0"/>
          <w:numId w:val="2"/>
        </w:numPr>
        <w:spacing w:after="40" w:before="40" w:line="280"/>
      </w:pPr>
      <w:r>
        <w:rPr>
          <w:rFonts w:ascii="Calibri" w:cs="Calibri" w:eastAsia="Calibri" w:hAnsi="Calibri"/>
          <w:color w:val="2C2C2C"/>
          <w:sz w:val="22"/>
          <w:szCs w:val="22"/>
        </w:rPr>
        <w:t xml:space="preserve">All injection sites, with heightened vigilance in defined high-risk zones</w:t>
      </w:r>
    </w:p>
    <w:p>
      <w:pPr>
        <w:pStyle w:val="ListParagraph"/>
        <w:numPr>
          <w:ilvl w:val="0"/>
          <w:numId w:val="2"/>
        </w:numPr>
        <w:spacing w:after="40" w:before="40" w:line="280"/>
      </w:pPr>
      <w:r>
        <w:rPr>
          <w:rFonts w:ascii="Calibri" w:cs="Calibri" w:eastAsia="Calibri" w:hAnsi="Calibri"/>
          <w:color w:val="2C2C2C"/>
          <w:sz w:val="22"/>
          <w:szCs w:val="22"/>
        </w:rPr>
        <w:t xml:space="preserve">All licensed providers, support staff, and on-call coverage</w:t>
      </w:r>
    </w:p>
    <w:p>
      <w:pPr>
        <w:pStyle w:val="ListParagraph"/>
        <w:numPr>
          <w:ilvl w:val="0"/>
          <w:numId w:val="2"/>
        </w:numPr>
        <w:spacing w:after="40" w:before="40" w:line="280"/>
      </w:pPr>
      <w:r>
        <w:rPr>
          <w:rFonts w:ascii="Calibri" w:cs="Calibri" w:eastAsia="Calibri" w:hAnsi="Calibri"/>
          <w:color w:val="2C2C2C"/>
          <w:sz w:val="22"/>
          <w:szCs w:val="22"/>
        </w:rPr>
        <w:t xml:space="preserve">Both intra-procedural and post-procedural complications</w:t>
      </w:r>
    </w:p>
    <w:p>
      <w:pPr>
        <w:pStyle w:val="Heading2"/>
        <w:spacing w:after="140" w:before="280"/>
      </w:pPr>
      <w:r>
        <w:rPr>
          <w:rFonts w:ascii="Calibri" w:cs="Calibri" w:eastAsia="Calibri" w:hAnsi="Calibri"/>
          <w:b/>
          <w:bCs/>
          <w:color w:val="1F3A5F"/>
          <w:sz w:val="28"/>
          <w:szCs w:val="28"/>
        </w:rPr>
        <w:t xml:space="preserve">1.2 Goals</w:t>
      </w:r>
    </w:p>
    <w:p>
      <w:pPr>
        <w:pStyle w:val="ListParagraph"/>
        <w:numPr>
          <w:ilvl w:val="0"/>
          <w:numId w:val="3"/>
        </w:numPr>
        <w:spacing w:after="60" w:before="60" w:line="280"/>
      </w:pPr>
      <w:r>
        <w:rPr>
          <w:rFonts w:ascii="Calibri" w:cs="Calibri" w:eastAsia="Calibri" w:hAnsi="Calibri"/>
          <w:color w:val="2C2C2C"/>
          <w:sz w:val="22"/>
          <w:szCs w:val="22"/>
        </w:rPr>
        <w:t xml:space="preserve">Rapid recognition of vascular compromise within minutes of onset</w:t>
      </w:r>
    </w:p>
    <w:p>
      <w:pPr>
        <w:pStyle w:val="ListParagraph"/>
        <w:numPr>
          <w:ilvl w:val="0"/>
          <w:numId w:val="3"/>
        </w:numPr>
        <w:spacing w:after="60" w:before="60" w:line="280"/>
      </w:pPr>
      <w:r>
        <w:rPr>
          <w:rFonts w:ascii="Calibri" w:cs="Calibri" w:eastAsia="Calibri" w:hAnsi="Calibri"/>
          <w:color w:val="2C2C2C"/>
          <w:sz w:val="22"/>
          <w:szCs w:val="22"/>
        </w:rPr>
        <w:t xml:space="preserve">Initiation of hyaluronidase therapy within 60–90 minutes for HA fillers</w:t>
      </w:r>
    </w:p>
    <w:p>
      <w:pPr>
        <w:pStyle w:val="ListParagraph"/>
        <w:numPr>
          <w:ilvl w:val="0"/>
          <w:numId w:val="3"/>
        </w:numPr>
        <w:spacing w:after="60" w:before="60" w:line="280"/>
      </w:pPr>
      <w:r>
        <w:rPr>
          <w:rFonts w:ascii="Calibri" w:cs="Calibri" w:eastAsia="Calibri" w:hAnsi="Calibri"/>
          <w:color w:val="2C2C2C"/>
          <w:sz w:val="22"/>
          <w:szCs w:val="22"/>
        </w:rPr>
        <w:t xml:space="preserve">Prevention of tissue necrosis, blindness, and stroke</w:t>
      </w:r>
    </w:p>
    <w:p>
      <w:pPr>
        <w:pStyle w:val="ListParagraph"/>
        <w:numPr>
          <w:ilvl w:val="0"/>
          <w:numId w:val="3"/>
        </w:numPr>
        <w:spacing w:after="60" w:before="60" w:line="280"/>
      </w:pPr>
      <w:r>
        <w:rPr>
          <w:rFonts w:ascii="Calibri" w:cs="Calibri" w:eastAsia="Calibri" w:hAnsi="Calibri"/>
          <w:color w:val="2C2C2C"/>
          <w:sz w:val="22"/>
          <w:szCs w:val="22"/>
        </w:rPr>
        <w:t xml:space="preserve">Consistent documentation and follow-up across all providers</w:t>
      </w:r>
    </w:p>
    <w:p>
      <w:pPr>
        <w:pStyle w:val="ListParagraph"/>
        <w:numPr>
          <w:ilvl w:val="0"/>
          <w:numId w:val="3"/>
        </w:numPr>
        <w:spacing w:after="60" w:before="60" w:line="280"/>
      </w:pPr>
      <w:r>
        <w:rPr>
          <w:rFonts w:ascii="Calibri" w:cs="Calibri" w:eastAsia="Calibri" w:hAnsi="Calibri"/>
          <w:color w:val="2C2C2C"/>
          <w:sz w:val="22"/>
          <w:szCs w:val="22"/>
        </w:rPr>
        <w:t xml:space="preserve">Clear escalation pathway including emergency transfer when indicated</w:t>
      </w:r>
    </w:p>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2. Facial Vascular Anatomy &amp; Risk Zones</w:t>
      </w:r>
    </w:p>
    <w:p>
      <w:pPr>
        <w:spacing w:after="60" w:before="60" w:line="300"/>
        <w:jc w:val="left"/>
      </w:pPr>
      <w:r>
        <w:rPr>
          <w:rFonts w:ascii="Calibri" w:cs="Calibri" w:eastAsia="Calibri" w:hAnsi="Calibri"/>
          <w:color w:val="2C2C2C"/>
          <w:sz w:val="22"/>
          <w:szCs w:val="22"/>
        </w:rPr>
        <w:t xml:space="preserve">A thorough understanding of facial arterial anatomy is the single most important factor in preventing vascular occlusion. The arteries below are end-arterial or have rich anastomoses with the ophthalmic system — embolization can travel retrograde and reach the retinal or cerebral circulation.</w:t>
      </w:r>
    </w:p>
    <w:p>
      <w:pPr>
        <w:spacing w:after="160" w:before="160"/>
        <w:jc w:val="center"/>
      </w:pPr>
      <w:r>
        <w:drawing>
          <wp:inline distT="0" distB="0" distL="0" distR="0">
            <wp:extent cx="45720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524500"/>
                    </a:xfrm>
                    <a:prstGeom prst="rect">
                      <a:avLst/>
                    </a:prstGeom>
                  </pic:spPr>
                </pic:pic>
              </a:graphicData>
            </a:graphic>
          </wp:inline>
        </w:drawing>
      </w:r>
    </w:p>
    <w:p>
      <w:pPr>
        <w:spacing w:after="240" w:before="0"/>
        <w:jc w:val="center"/>
      </w:pPr>
      <w:r>
        <w:rPr>
          <w:rFonts w:ascii="Calibri" w:cs="Calibri" w:eastAsia="Calibri" w:hAnsi="Calibri"/>
          <w:i/>
          <w:iCs/>
          <w:color w:val="666666"/>
          <w:sz w:val="18"/>
          <w:szCs w:val="18"/>
        </w:rPr>
        <w:t xml:space="preserve">Figure 1. Facial vascular anatomy with high-risk and moderate-risk injection zones.</w:t>
      </w:r>
    </w:p>
    <w:p>
      <w:pPr>
        <w:pStyle w:val="Heading2"/>
        <w:spacing w:after="140" w:before="280"/>
      </w:pPr>
      <w:r>
        <w:rPr>
          <w:rFonts w:ascii="Calibri" w:cs="Calibri" w:eastAsia="Calibri" w:hAnsi="Calibri"/>
          <w:b/>
          <w:bCs/>
          <w:color w:val="1F3A5F"/>
          <w:sz w:val="28"/>
          <w:szCs w:val="28"/>
        </w:rPr>
        <w:t xml:space="preserve">2.1 High-Risk Zones (HIGHEST 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Zone</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Key Artery</w:t>
            </w:r>
          </w:p>
        </w:tc>
        <w:tc>
          <w:tcPr>
            <w:tcW w:type="dxa" w:w="40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Catastrophic Risk</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Glabella</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Supratrochlear / supraorbital aa.</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Blindness, forehead/scalp necrosis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Nasal dorsum &amp; tip</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Dorsal nasal, lateral nasal aa.</w:t>
            </w:r>
          </w:p>
        </w:tc>
        <w:tc>
          <w:tcPr>
            <w:tcW w:type="dxa" w:w="40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Tip necrosis, blindness via retrograde flow</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Nasolabial fold</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Angular artery (terminal facial a.)</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Mid-face necrosis, blindness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Forehead (deep)</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Frontal branch of supratrochlear</w:t>
            </w:r>
          </w:p>
        </w:tc>
        <w:tc>
          <w:tcPr>
            <w:tcW w:type="dxa" w:w="40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Blindness, scalp necrosis</w:t>
            </w:r>
          </w:p>
        </w:tc>
      </w:tr>
    </w:tbl>
    <w:p>
      <w:pPr>
        <w:pStyle w:val="Heading2"/>
        <w:spacing w:after="140" w:before="280"/>
      </w:pPr>
      <w:r>
        <w:rPr>
          <w:rFonts w:ascii="Calibri" w:cs="Calibri" w:eastAsia="Calibri" w:hAnsi="Calibri"/>
          <w:b/>
          <w:bCs/>
          <w:color w:val="1F3A5F"/>
          <w:sz w:val="28"/>
          <w:szCs w:val="28"/>
        </w:rPr>
        <w:t xml:space="preserve">2.2 Moderate-Risk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Zone</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Key Artery</w:t>
            </w:r>
          </w:p>
        </w:tc>
        <w:tc>
          <w:tcPr>
            <w:tcW w:type="dxa" w:w="40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Complication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Temple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Superficial temporal a., middle temporal vein</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Necrosis, hematoma, blindness (rare)</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Lips</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Superior / inferior labial aa.</w:t>
            </w:r>
          </w:p>
        </w:tc>
        <w:tc>
          <w:tcPr>
            <w:tcW w:type="dxa" w:w="40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Lip necrosis, scarring</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Cheek / midface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Transverse facial, infraorbital a.</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Cheek necrosis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Chin</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Mental artery</w:t>
            </w:r>
          </w:p>
        </w:tc>
        <w:tc>
          <w:tcPr>
            <w:tcW w:type="dxa" w:w="40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Lower-lip / chin necrosis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6"/>
              <w:left w:val="single" w:color="1565C0" w:sz="16"/>
              <w:bottom w:val="single" w:color="1565C0" w:sz="16"/>
              <w:right w:val="single" w:color="1565C0" w:sz="16"/>
            </w:tcBorders>
            <w:shd w:fill="E3F2FD" w:val="clear"/>
            <w:tcMar>
              <w:top w:type="dxa" w:w="160"/>
              <w:left w:type="dxa" w:w="200"/>
              <w:bottom w:type="dxa" w:w="160"/>
              <w:right w:type="dxa" w:w="200"/>
            </w:tcMar>
          </w:tcPr>
          <w:p>
            <w:pPr>
              <w:spacing w:after="80" w:before="60"/>
            </w:pPr>
            <w:r>
              <w:rPr>
                <w:rFonts w:ascii="Calibri" w:cs="Calibri" w:eastAsia="Calibri" w:hAnsi="Calibri"/>
                <w:b/>
                <w:bCs/>
                <w:color w:val="0D47A1"/>
                <w:sz w:val="24"/>
                <w:szCs w:val="24"/>
              </w:rPr>
              <w:t xml:space="preserve">ℹ Pearl: Aspirate Before You Inject</w:t>
            </w:r>
          </w:p>
          <w:p>
            <w:pPr>
              <w:spacing w:after="40" w:before="40" w:line="280"/>
            </w:pPr>
            <w:r>
              <w:rPr>
                <w:rFonts w:ascii="Calibri" w:cs="Calibri" w:eastAsia="Calibri" w:hAnsi="Calibri"/>
                <w:color w:val="2C2C2C"/>
                <w:sz w:val="22"/>
                <w:szCs w:val="22"/>
              </w:rPr>
              <w:t xml:space="preserve">Pull back on the plunger for 5–10 seconds before each bolus.</w:t>
            </w:r>
          </w:p>
          <w:p>
            <w:pPr>
              <w:spacing w:after="40" w:before="40" w:line="280"/>
            </w:pPr>
            <w:r>
              <w:rPr>
                <w:rFonts w:ascii="Calibri" w:cs="Calibri" w:eastAsia="Calibri" w:hAnsi="Calibri"/>
                <w:color w:val="2C2C2C"/>
                <w:sz w:val="22"/>
                <w:szCs w:val="22"/>
              </w:rPr>
              <w:t xml:space="preserve">A negative aspiration does NOT exclude intravascular placement, but a positive one absolutely confirms it.</w:t>
            </w:r>
          </w:p>
          <w:p>
            <w:pPr>
              <w:spacing w:after="40" w:before="40" w:line="280"/>
            </w:pPr>
            <w:r>
              <w:rPr>
                <w:rFonts w:ascii="Calibri" w:cs="Calibri" w:eastAsia="Calibri" w:hAnsi="Calibri"/>
                <w:color w:val="2C2C2C"/>
                <w:sz w:val="22"/>
                <w:szCs w:val="22"/>
              </w:rPr>
              <w:t xml:space="preserve">Use cannulas (≥25G blunt-tip) in high-risk zones whenever feasible.</w:t>
            </w:r>
          </w:p>
          <w:p>
            <w:pPr>
              <w:spacing w:after="40" w:before="40" w:line="280"/>
            </w:pPr>
            <w:r>
              <w:rPr>
                <w:rFonts w:ascii="Calibri" w:cs="Calibri" w:eastAsia="Calibri" w:hAnsi="Calibri"/>
                <w:color w:val="2C2C2C"/>
                <w:sz w:val="22"/>
                <w:szCs w:val="22"/>
              </w:rPr>
              <w:t xml:space="preserve">Inject slowly (&lt; 0.3 mL per site), with low pressure, in retrograde fashion.</w:t>
            </w:r>
          </w:p>
        </w:tc>
      </w:tr>
    </w:tbl>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3. Recognition: Signs &amp; Symptoms</w:t>
      </w:r>
    </w:p>
    <w:p>
      <w:pPr>
        <w:spacing w:after="60" w:before="60" w:line="300"/>
        <w:jc w:val="left"/>
      </w:pPr>
      <w:r>
        <w:rPr>
          <w:rFonts w:ascii="Calibri" w:cs="Calibri" w:eastAsia="Calibri" w:hAnsi="Calibri"/>
          <w:color w:val="2C2C2C"/>
          <w:sz w:val="22"/>
          <w:szCs w:val="22"/>
        </w:rPr>
        <w:t xml:space="preserve">Vascular occlusion can present immediately during injection or up to 24–48 hours later. Maintain a high index of suspicion any time the clinical picture is not what you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6"/>
              <w:left w:val="single" w:color="C62828" w:sz="16"/>
              <w:bottom w:val="single" w:color="C62828" w:sz="16"/>
              <w:right w:val="single" w:color="C62828" w:sz="16"/>
            </w:tcBorders>
            <w:shd w:fill="FFEBEE" w:val="clear"/>
            <w:tcMar>
              <w:top w:type="dxa" w:w="160"/>
              <w:left w:type="dxa" w:w="200"/>
              <w:bottom w:type="dxa" w:w="160"/>
              <w:right w:type="dxa" w:w="200"/>
            </w:tcMar>
          </w:tcPr>
          <w:p>
            <w:pPr>
              <w:spacing w:after="80" w:before="60"/>
            </w:pPr>
            <w:r>
              <w:rPr>
                <w:rFonts w:ascii="Calibri" w:cs="Calibri" w:eastAsia="Calibri" w:hAnsi="Calibri"/>
                <w:b/>
                <w:bCs/>
                <w:color w:val="B71C1C"/>
                <w:sz w:val="24"/>
                <w:szCs w:val="24"/>
              </w:rPr>
              <w:t xml:space="preserve">⚠ Cardinal Signs — Any ONE of these mandates immediate action</w:t>
            </w:r>
          </w:p>
          <w:p>
            <w:pPr>
              <w:spacing w:after="40" w:before="40" w:line="280"/>
            </w:pPr>
            <w:r>
              <w:rPr>
                <w:rFonts w:ascii="Calibri" w:cs="Calibri" w:eastAsia="Calibri" w:hAnsi="Calibri"/>
                <w:color w:val="2C2C2C"/>
                <w:sz w:val="22"/>
                <w:szCs w:val="22"/>
              </w:rPr>
              <w:t xml:space="preserve">1.  Pain disproportionate to procedure (severe, burning, persistent)</w:t>
            </w:r>
          </w:p>
          <w:p>
            <w:pPr>
              <w:spacing w:after="40" w:before="40" w:line="280"/>
            </w:pPr>
            <w:r>
              <w:rPr>
                <w:rFonts w:ascii="Calibri" w:cs="Calibri" w:eastAsia="Calibri" w:hAnsi="Calibri"/>
                <w:color w:val="2C2C2C"/>
                <w:sz w:val="22"/>
                <w:szCs w:val="22"/>
              </w:rPr>
              <w:t xml:space="preserve">2.  Blanching of skin in arterial distribution (white, pale)</w:t>
            </w:r>
          </w:p>
          <w:p>
            <w:pPr>
              <w:spacing w:after="40" w:before="40" w:line="280"/>
            </w:pPr>
            <w:r>
              <w:rPr>
                <w:rFonts w:ascii="Calibri" w:cs="Calibri" w:eastAsia="Calibri" w:hAnsi="Calibri"/>
                <w:color w:val="2C2C2C"/>
                <w:sz w:val="22"/>
                <w:szCs w:val="22"/>
              </w:rPr>
              <w:t xml:space="preserve">3.  Livedo reticularis — mottled, dusky, lace-like discoloration</w:t>
            </w:r>
          </w:p>
          <w:p>
            <w:pPr>
              <w:spacing w:after="40" w:before="40" w:line="280"/>
            </w:pPr>
            <w:r>
              <w:rPr>
                <w:rFonts w:ascii="Calibri" w:cs="Calibri" w:eastAsia="Calibri" w:hAnsi="Calibri"/>
                <w:color w:val="2C2C2C"/>
                <w:sz w:val="22"/>
                <w:szCs w:val="22"/>
              </w:rPr>
              <w:t xml:space="preserve">4.  Delayed capillary refill (&gt; 3 seconds) compared to contralateral side</w:t>
            </w:r>
          </w:p>
          <w:p>
            <w:pPr>
              <w:spacing w:after="40" w:before="40" w:line="280"/>
            </w:pPr>
            <w:r>
              <w:rPr>
                <w:rFonts w:ascii="Calibri" w:cs="Calibri" w:eastAsia="Calibri" w:hAnsi="Calibri"/>
                <w:color w:val="2C2C2C"/>
                <w:sz w:val="22"/>
                <w:szCs w:val="22"/>
              </w:rPr>
              <w:t xml:space="preserve">5.  Skin that is cool to the touch in the affected zone</w:t>
            </w:r>
          </w:p>
          <w:p>
            <w:pPr>
              <w:spacing w:after="40" w:before="40" w:line="280"/>
            </w:pPr>
            <w:r>
              <w:rPr>
                <w:rFonts w:ascii="Calibri" w:cs="Calibri" w:eastAsia="Calibri" w:hAnsi="Calibri"/>
                <w:color w:val="2C2C2C"/>
                <w:sz w:val="22"/>
                <w:szCs w:val="22"/>
              </w:rPr>
              <w:t xml:space="preserve">6.  Any visual changes — blurred vision, partial vision loss, eye pain, ptosis</w:t>
            </w:r>
          </w:p>
        </w:tc>
      </w:tr>
    </w:tbl>
    <w:p>
      <w:pPr>
        <w:pStyle w:val="Heading2"/>
        <w:spacing w:after="140" w:before="280"/>
      </w:pPr>
      <w:r>
        <w:rPr>
          <w:rFonts w:ascii="Calibri" w:cs="Calibri" w:eastAsia="Calibri" w:hAnsi="Calibri"/>
          <w:b/>
          <w:bCs/>
          <w:color w:val="1F3A5F"/>
          <w:sz w:val="28"/>
          <w:szCs w:val="28"/>
        </w:rPr>
        <w:t xml:space="preserve">3.1 Clinical Progression</w:t>
      </w:r>
    </w:p>
    <w:p>
      <w:pPr>
        <w:spacing w:after="60" w:before="60" w:line="300"/>
        <w:jc w:val="left"/>
      </w:pPr>
      <w:r>
        <w:rPr>
          <w:rFonts w:ascii="Calibri" w:cs="Calibri" w:eastAsia="Calibri" w:hAnsi="Calibri"/>
          <w:color w:val="2C2C2C"/>
          <w:sz w:val="22"/>
          <w:szCs w:val="22"/>
        </w:rPr>
        <w:t xml:space="preserve">If untreated, vascular occlusion follows a predictable progression. Each stage represents an opportunity for intervention, but the window narrows rapidly.</w:t>
      </w:r>
    </w:p>
    <w:p>
      <w:pPr>
        <w:spacing w:after="160" w:before="16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86000"/>
                    </a:xfrm>
                    <a:prstGeom prst="rect">
                      <a:avLst/>
                    </a:prstGeom>
                  </pic:spPr>
                </pic:pic>
              </a:graphicData>
            </a:graphic>
          </wp:inline>
        </w:drawing>
      </w:r>
    </w:p>
    <w:p>
      <w:pPr>
        <w:spacing w:after="240" w:before="0"/>
        <w:jc w:val="center"/>
      </w:pPr>
      <w:r>
        <w:rPr>
          <w:rFonts w:ascii="Calibri" w:cs="Calibri" w:eastAsia="Calibri" w:hAnsi="Calibri"/>
          <w:i/>
          <w:iCs/>
          <w:color w:val="666666"/>
          <w:sz w:val="18"/>
          <w:szCs w:val="18"/>
        </w:rPr>
        <w:t xml:space="preserve">Figure 2. Clinical progression of vascular occlusion across four stages.</w:t>
      </w:r>
    </w:p>
    <w:p>
      <w:pPr>
        <w:pStyle w:val="Heading2"/>
        <w:spacing w:after="140" w:before="280"/>
      </w:pPr>
      <w:r>
        <w:rPr>
          <w:rFonts w:ascii="Calibri" w:cs="Calibri" w:eastAsia="Calibri" w:hAnsi="Calibri"/>
          <w:b/>
          <w:bCs/>
          <w:color w:val="1F3A5F"/>
          <w:sz w:val="28"/>
          <w:szCs w:val="28"/>
        </w:rPr>
        <w:t xml:space="preserve">3.2 Red Flags — Vision-Threatening / Stroke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0000" w:sz="16"/>
              <w:left w:val="single" w:color="7F0000" w:sz="16"/>
              <w:bottom w:val="single" w:color="7F0000" w:sz="16"/>
              <w:right w:val="single" w:color="7F0000" w:sz="16"/>
            </w:tcBorders>
            <w:shd w:fill="8B0000" w:val="clear"/>
            <w:tcMar>
              <w:top w:type="dxa" w:w="160"/>
              <w:left w:type="dxa" w:w="200"/>
              <w:bottom w:type="dxa" w:w="160"/>
              <w:right w:type="dxa" w:w="200"/>
            </w:tcMar>
          </w:tcPr>
          <w:p>
            <w:pPr>
              <w:spacing w:after="80" w:before="60"/>
            </w:pPr>
            <w:r>
              <w:rPr>
                <w:rFonts w:ascii="Calibri" w:cs="Calibri" w:eastAsia="Calibri" w:hAnsi="Calibri"/>
                <w:b/>
                <w:bCs/>
                <w:color w:val="FFFFFF"/>
                <w:sz w:val="24"/>
                <w:szCs w:val="24"/>
              </w:rPr>
              <w:t xml:space="preserve">🚨 CALL 911 IMMEDIATELY if ANY of the following develop</w:t>
            </w:r>
          </w:p>
          <w:p>
            <w:pPr>
              <w:spacing w:after="40" w:before="40" w:line="280"/>
            </w:pPr>
            <w:r>
              <w:rPr>
                <w:rFonts w:ascii="Calibri" w:cs="Calibri" w:eastAsia="Calibri" w:hAnsi="Calibri"/>
                <w:color w:val="FFFFFF"/>
                <w:sz w:val="22"/>
                <w:szCs w:val="22"/>
              </w:rPr>
              <w:t xml:space="preserve">Sudden vision loss, blurring, double vision, or visual-field defect</w:t>
            </w:r>
          </w:p>
          <w:p>
            <w:pPr>
              <w:spacing w:after="40" w:before="40" w:line="280"/>
            </w:pPr>
            <w:r>
              <w:rPr>
                <w:rFonts w:ascii="Calibri" w:cs="Calibri" w:eastAsia="Calibri" w:hAnsi="Calibri"/>
                <w:color w:val="FFFFFF"/>
                <w:sz w:val="22"/>
                <w:szCs w:val="22"/>
              </w:rPr>
              <w:t xml:space="preserve">Eye pain, ptosis, ophthalmoplegia, or proptosis</w:t>
            </w:r>
          </w:p>
          <w:p>
            <w:pPr>
              <w:spacing w:after="40" w:before="40" w:line="280"/>
            </w:pPr>
            <w:r>
              <w:rPr>
                <w:rFonts w:ascii="Calibri" w:cs="Calibri" w:eastAsia="Calibri" w:hAnsi="Calibri"/>
                <w:color w:val="FFFFFF"/>
                <w:sz w:val="22"/>
                <w:szCs w:val="22"/>
              </w:rPr>
              <w:t xml:space="preserve">Severe one-sided headache disproportionate to procedure</w:t>
            </w:r>
          </w:p>
          <w:p>
            <w:pPr>
              <w:spacing w:after="40" w:before="40" w:line="280"/>
            </w:pPr>
            <w:r>
              <w:rPr>
                <w:rFonts w:ascii="Calibri" w:cs="Calibri" w:eastAsia="Calibri" w:hAnsi="Calibri"/>
                <w:color w:val="FFFFFF"/>
                <w:sz w:val="22"/>
                <w:szCs w:val="22"/>
              </w:rPr>
              <w:t xml:space="preserve">Facial droop, slurred speech, weakness, altered mental status</w:t>
            </w:r>
          </w:p>
          <w:p>
            <w:pPr>
              <w:spacing w:after="40" w:before="40" w:line="280"/>
            </w:pPr>
            <w:r>
              <w:rPr>
                <w:rFonts w:ascii="Calibri" w:cs="Calibri" w:eastAsia="Calibri" w:hAnsi="Calibri"/>
                <w:color w:val="FFFFFF"/>
                <w:sz w:val="22"/>
                <w:szCs w:val="22"/>
              </w:rPr>
              <w:t xml:space="preserve">Nausea, vomiting accompanying any neurologic finding</w:t>
            </w:r>
          </w:p>
        </w:tc>
      </w:tr>
    </w:tbl>
    <w:p>
      <w:pPr>
        <w:pStyle w:val="Heading2"/>
        <w:spacing w:after="140" w:before="280"/>
      </w:pPr>
      <w:r>
        <w:rPr>
          <w:rFonts w:ascii="Calibri" w:cs="Calibri" w:eastAsia="Calibri" w:hAnsi="Calibri"/>
          <w:b/>
          <w:bCs/>
          <w:color w:val="1F3A5F"/>
          <w:sz w:val="28"/>
          <w:szCs w:val="28"/>
        </w:rPr>
        <w:t xml:space="preserve">3.3 Differential Considerations</w:t>
      </w:r>
    </w:p>
    <w:p>
      <w:pPr>
        <w:spacing w:after="60" w:before="60" w:line="300"/>
        <w:jc w:val="left"/>
      </w:pPr>
      <w:r>
        <w:rPr>
          <w:rFonts w:ascii="Calibri" w:cs="Calibri" w:eastAsia="Calibri" w:hAnsi="Calibri"/>
          <w:color w:val="2C2C2C"/>
          <w:sz w:val="22"/>
          <w:szCs w:val="22"/>
        </w:rPr>
        <w:t xml:space="preserve">Several findings can mimic vascular occlusion. When in doubt, treat as VO until proven otherwise — under-treatment is more dangerous than unnecessary hyaluronidase.</w:t>
      </w:r>
    </w:p>
    <w:p>
      <w:pPr>
        <w:pStyle w:val="ListParagraph"/>
        <w:numPr>
          <w:ilvl w:val="0"/>
          <w:numId w:val="2"/>
        </w:numPr>
        <w:spacing w:after="40" w:before="40" w:line="280"/>
      </w:pPr>
      <w:r>
        <w:rPr>
          <w:rFonts w:ascii="Calibri" w:cs="Calibri" w:eastAsia="Calibri" w:hAnsi="Calibri"/>
          <w:b/>
          <w:bCs/>
          <w:color w:val="2C2C2C"/>
          <w:sz w:val="22"/>
          <w:szCs w:val="22"/>
        </w:rPr>
        <w:t xml:space="preserve">Vasovagal reaction: </w:t>
      </w:r>
      <w:r>
        <w:rPr>
          <w:rFonts w:ascii="Calibri" w:cs="Calibri" w:eastAsia="Calibri" w:hAnsi="Calibri"/>
          <w:color w:val="2C2C2C"/>
          <w:sz w:val="22"/>
          <w:szCs w:val="22"/>
        </w:rPr>
        <w:t xml:space="preserve">pallor with bradycardia/diaphoresis, resolves with positioning</w:t>
      </w:r>
    </w:p>
    <w:p>
      <w:pPr>
        <w:pStyle w:val="ListParagraph"/>
        <w:numPr>
          <w:ilvl w:val="0"/>
          <w:numId w:val="2"/>
        </w:numPr>
        <w:spacing w:after="40" w:before="40" w:line="280"/>
      </w:pPr>
      <w:r>
        <w:rPr>
          <w:rFonts w:ascii="Calibri" w:cs="Calibri" w:eastAsia="Calibri" w:hAnsi="Calibri"/>
          <w:b/>
          <w:bCs/>
          <w:color w:val="2C2C2C"/>
          <w:sz w:val="22"/>
          <w:szCs w:val="22"/>
        </w:rPr>
        <w:t xml:space="preserve">Bruising / hematoma: </w:t>
      </w:r>
      <w:r>
        <w:rPr>
          <w:rFonts w:ascii="Calibri" w:cs="Calibri" w:eastAsia="Calibri" w:hAnsi="Calibri"/>
          <w:color w:val="2C2C2C"/>
          <w:sz w:val="22"/>
          <w:szCs w:val="22"/>
        </w:rPr>
        <w:t xml:space="preserve">soft, purple, conforming, not in arterial distribution</w:t>
      </w:r>
    </w:p>
    <w:p>
      <w:pPr>
        <w:pStyle w:val="ListParagraph"/>
        <w:numPr>
          <w:ilvl w:val="0"/>
          <w:numId w:val="2"/>
        </w:numPr>
        <w:spacing w:after="40" w:before="40" w:line="280"/>
      </w:pPr>
      <w:r>
        <w:rPr>
          <w:rFonts w:ascii="Calibri" w:cs="Calibri" w:eastAsia="Calibri" w:hAnsi="Calibri"/>
          <w:b/>
          <w:bCs/>
          <w:color w:val="2C2C2C"/>
          <w:sz w:val="22"/>
          <w:szCs w:val="22"/>
        </w:rPr>
        <w:t xml:space="preserve">Inflammatory reaction: </w:t>
      </w:r>
      <w:r>
        <w:rPr>
          <w:rFonts w:ascii="Calibri" w:cs="Calibri" w:eastAsia="Calibri" w:hAnsi="Calibri"/>
          <w:color w:val="2C2C2C"/>
          <w:sz w:val="22"/>
          <w:szCs w:val="22"/>
        </w:rPr>
        <w:t xml:space="preserve">delayed (days–weeks), warm and tender, not blanched</w:t>
      </w:r>
    </w:p>
    <w:p>
      <w:pPr>
        <w:pStyle w:val="ListParagraph"/>
        <w:numPr>
          <w:ilvl w:val="0"/>
          <w:numId w:val="2"/>
        </w:numPr>
        <w:spacing w:after="40" w:before="40" w:line="280"/>
      </w:pPr>
      <w:r>
        <w:rPr>
          <w:rFonts w:ascii="Calibri" w:cs="Calibri" w:eastAsia="Calibri" w:hAnsi="Calibri"/>
          <w:b/>
          <w:bCs/>
          <w:color w:val="2C2C2C"/>
          <w:sz w:val="22"/>
          <w:szCs w:val="22"/>
        </w:rPr>
        <w:t xml:space="preserve">Compression ischemia: </w:t>
      </w:r>
      <w:r>
        <w:rPr>
          <w:rFonts w:ascii="Calibri" w:cs="Calibri" w:eastAsia="Calibri" w:hAnsi="Calibri"/>
          <w:color w:val="2C2C2C"/>
          <w:sz w:val="22"/>
          <w:szCs w:val="22"/>
        </w:rPr>
        <w:t xml:space="preserve">from product volume — may resolve with massage; manage as VO if persistent</w:t>
      </w:r>
    </w:p>
    <w:p>
      <w:r>
        <w:br w:type="page"/>
      </w:r>
    </w:p>
    <w:p>
      <w:pPr>
        <w:pStyle w:val="Heading1"/>
        <w:pBdr>
          <w:bottom w:val="single" w:color="8B0000" w:sz="12" w:space="4"/>
        </w:pBdr>
        <w:spacing w:after="180" w:before="360"/>
      </w:pPr>
      <w:r>
        <w:rPr>
          <w:rFonts w:ascii="Calibri" w:cs="Calibri" w:eastAsia="Calibri" w:hAnsi="Calibri"/>
          <w:b/>
          <w:bCs/>
          <w:color w:val="8B0000"/>
          <w:sz w:val="36"/>
          <w:szCs w:val="36"/>
        </w:rPr>
        <w:t xml:space="preserve">4. Emergency Response Algorithm</w:t>
      </w:r>
    </w:p>
    <w:p>
      <w:pPr>
        <w:spacing w:after="60" w:before="60" w:line="300"/>
        <w:jc w:val="left"/>
      </w:pPr>
      <w:r>
        <w:rPr>
          <w:rFonts w:ascii="Calibri" w:cs="Calibri" w:eastAsia="Calibri" w:hAnsi="Calibri"/>
          <w:color w:val="2C2C2C"/>
          <w:sz w:val="22"/>
          <w:szCs w:val="22"/>
        </w:rPr>
        <w:t xml:space="preserve">The moment vascular occlusion is suspected, every member of the team has a defined role. </w:t>
      </w:r>
      <w:r>
        <w:rPr>
          <w:rFonts w:ascii="Calibri" w:cs="Calibri" w:eastAsia="Calibri" w:hAnsi="Calibri"/>
          <w:b/>
          <w:bCs/>
          <w:color w:val="8B0000"/>
          <w:sz w:val="22"/>
          <w:szCs w:val="22"/>
        </w:rPr>
        <w:t xml:space="preserve">Time is tissue.</w:t>
      </w:r>
      <w:r>
        <w:rPr>
          <w:rFonts w:ascii="Calibri" w:cs="Calibri" w:eastAsia="Calibri" w:hAnsi="Calibri"/>
          <w:color w:val="2C2C2C"/>
          <w:sz w:val="22"/>
          <w:szCs w:val="22"/>
        </w:rPr>
        <w:t xml:space="preserve"> Begin hyaluronidase administration within 60–90 minutes for optimal outcomes; for periocular involvement, treat immediately.</w:t>
      </w:r>
    </w:p>
    <w:p>
      <w:pPr>
        <w:spacing w:after="160" w:before="160"/>
        <w:jc w:val="center"/>
      </w:pPr>
      <w:r>
        <w:drawing>
          <wp:inline distT="0" distB="0" distL="0" distR="0">
            <wp:extent cx="5143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667500"/>
                    </a:xfrm>
                    <a:prstGeom prst="rect">
                      <a:avLst/>
                    </a:prstGeom>
                  </pic:spPr>
                </pic:pic>
              </a:graphicData>
            </a:graphic>
          </wp:inline>
        </w:drawing>
      </w:r>
    </w:p>
    <w:p>
      <w:pPr>
        <w:spacing w:after="240" w:before="0"/>
        <w:jc w:val="center"/>
      </w:pPr>
      <w:r>
        <w:rPr>
          <w:rFonts w:ascii="Calibri" w:cs="Calibri" w:eastAsia="Calibri" w:hAnsi="Calibri"/>
          <w:i/>
          <w:iCs/>
          <w:color w:val="666666"/>
          <w:sz w:val="18"/>
          <w:szCs w:val="18"/>
        </w:rPr>
        <w:t xml:space="preserve">Figure 3. Step-by-step response algorithm for suspected vascular occlusion.</w:t>
      </w:r>
    </w:p>
    <w:p>
      <w:r>
        <w:br w:type="page"/>
      </w:r>
    </w:p>
    <w:p>
      <w:pPr>
        <w:pStyle w:val="Heading2"/>
        <w:spacing w:after="140" w:before="280"/>
      </w:pPr>
      <w:r>
        <w:rPr>
          <w:rFonts w:ascii="Calibri" w:cs="Calibri" w:eastAsia="Calibri" w:hAnsi="Calibri"/>
          <w:b/>
          <w:bCs/>
          <w:color w:val="1F3A5F"/>
          <w:sz w:val="28"/>
          <w:szCs w:val="28"/>
        </w:rPr>
        <w:t xml:space="preserve">4.1 Step-by-Step Response</w:t>
      </w:r>
    </w:p>
    <w:p>
      <w:pPr>
        <w:pStyle w:val="Heading3"/>
        <w:spacing w:after="100" w:before="200"/>
      </w:pPr>
      <w:r>
        <w:rPr>
          <w:rFonts w:ascii="Calibri" w:cs="Calibri" w:eastAsia="Calibri" w:hAnsi="Calibri"/>
          <w:b/>
          <w:bCs/>
          <w:color w:val="8B0000"/>
          <w:sz w:val="24"/>
          <w:szCs w:val="24"/>
        </w:rPr>
        <w:t xml:space="preserve">Step 1 — Recognize</w:t>
      </w:r>
    </w:p>
    <w:p>
      <w:pPr>
        <w:spacing w:after="60" w:before="60" w:line="300"/>
        <w:jc w:val="left"/>
      </w:pPr>
      <w:r>
        <w:rPr>
          <w:rFonts w:ascii="Calibri" w:cs="Calibri" w:eastAsia="Calibri" w:hAnsi="Calibri"/>
          <w:color w:val="2C2C2C"/>
          <w:sz w:val="22"/>
          <w:szCs w:val="22"/>
        </w:rPr>
        <w:t xml:space="preserve">At first sign of disproportionate pain, blanching, livedo, or delayed capillary refill, verbalize the concern. Speaking it aloud activates the team.</w:t>
      </w:r>
    </w:p>
    <w:p>
      <w:pPr>
        <w:pStyle w:val="Heading3"/>
        <w:spacing w:after="100" w:before="200"/>
      </w:pPr>
      <w:r>
        <w:rPr>
          <w:rFonts w:ascii="Calibri" w:cs="Calibri" w:eastAsia="Calibri" w:hAnsi="Calibri"/>
          <w:b/>
          <w:bCs/>
          <w:color w:val="8B0000"/>
          <w:sz w:val="24"/>
          <w:szCs w:val="24"/>
        </w:rPr>
        <w:t xml:space="preserve">Step 2 — Stop &amp; Notify</w:t>
      </w:r>
    </w:p>
    <w:p>
      <w:pPr>
        <w:pStyle w:val="ListParagraph"/>
        <w:numPr>
          <w:ilvl w:val="0"/>
          <w:numId w:val="2"/>
        </w:numPr>
        <w:spacing w:after="40" w:before="40" w:line="280"/>
      </w:pPr>
      <w:r>
        <w:rPr>
          <w:rFonts w:ascii="Calibri" w:cs="Calibri" w:eastAsia="Calibri" w:hAnsi="Calibri"/>
          <w:color w:val="2C2C2C"/>
          <w:sz w:val="22"/>
          <w:szCs w:val="22"/>
        </w:rPr>
        <w:t xml:space="preserve">Stop the injection immediately. Withdraw the needle/cannula.</w:t>
      </w:r>
    </w:p>
    <w:p>
      <w:pPr>
        <w:pStyle w:val="ListParagraph"/>
        <w:numPr>
          <w:ilvl w:val="0"/>
          <w:numId w:val="2"/>
        </w:numPr>
        <w:spacing w:after="40" w:before="40" w:line="280"/>
      </w:pPr>
      <w:r>
        <w:rPr>
          <w:rFonts w:ascii="Calibri" w:cs="Calibri" w:eastAsia="Calibri" w:hAnsi="Calibri"/>
          <w:color w:val="2C2C2C"/>
          <w:sz w:val="22"/>
          <w:szCs w:val="22"/>
        </w:rPr>
        <w:t xml:space="preserve">Notify the Medical Director (Dr. Fobi) and assign a team member to document timeline.</w:t>
      </w:r>
    </w:p>
    <w:p>
      <w:pPr>
        <w:pStyle w:val="ListParagraph"/>
        <w:numPr>
          <w:ilvl w:val="0"/>
          <w:numId w:val="2"/>
        </w:numPr>
        <w:spacing w:after="40" w:before="40" w:line="280"/>
      </w:pPr>
      <w:r>
        <w:rPr>
          <w:rFonts w:ascii="Calibri" w:cs="Calibri" w:eastAsia="Calibri" w:hAnsi="Calibri"/>
          <w:color w:val="2C2C2C"/>
          <w:sz w:val="22"/>
          <w:szCs w:val="22"/>
        </w:rPr>
        <w:t xml:space="preserve">Position patient supine; ensure airway, breathing, circulation.</w:t>
      </w:r>
    </w:p>
    <w:p>
      <w:pPr>
        <w:pStyle w:val="ListParagraph"/>
        <w:numPr>
          <w:ilvl w:val="0"/>
          <w:numId w:val="2"/>
        </w:numPr>
        <w:spacing w:after="40" w:before="40" w:line="280"/>
      </w:pPr>
      <w:r>
        <w:rPr>
          <w:rFonts w:ascii="Calibri" w:cs="Calibri" w:eastAsia="Calibri" w:hAnsi="Calibri"/>
          <w:color w:val="2C2C2C"/>
          <w:sz w:val="22"/>
          <w:szCs w:val="22"/>
        </w:rPr>
        <w:t xml:space="preserve">Bring the VO Emergency Kit to bedside.</w:t>
      </w:r>
    </w:p>
    <w:p>
      <w:pPr>
        <w:pStyle w:val="Heading3"/>
        <w:spacing w:after="100" w:before="200"/>
      </w:pPr>
      <w:r>
        <w:rPr>
          <w:rFonts w:ascii="Calibri" w:cs="Calibri" w:eastAsia="Calibri" w:hAnsi="Calibri"/>
          <w:b/>
          <w:bCs/>
          <w:color w:val="8B0000"/>
          <w:sz w:val="24"/>
          <w:szCs w:val="24"/>
        </w:rPr>
        <w:t xml:space="preserve">Step 3 — Initial Maneuvers</w:t>
      </w:r>
    </w:p>
    <w:p>
      <w:pPr>
        <w:pStyle w:val="ListParagraph"/>
        <w:numPr>
          <w:ilvl w:val="0"/>
          <w:numId w:val="2"/>
        </w:numPr>
        <w:spacing w:after="40" w:before="40" w:line="280"/>
      </w:pPr>
      <w:r>
        <w:rPr>
          <w:rFonts w:ascii="Calibri" w:cs="Calibri" w:eastAsia="Calibri" w:hAnsi="Calibri"/>
          <w:color w:val="2C2C2C"/>
          <w:sz w:val="22"/>
          <w:szCs w:val="22"/>
        </w:rPr>
        <w:t xml:space="preserve">Attempt aspiration through the existing needle/cannula.</w:t>
      </w:r>
    </w:p>
    <w:p>
      <w:pPr>
        <w:pStyle w:val="ListParagraph"/>
        <w:numPr>
          <w:ilvl w:val="0"/>
          <w:numId w:val="2"/>
        </w:numPr>
        <w:spacing w:after="40" w:before="40" w:line="280"/>
      </w:pPr>
      <w:r>
        <w:rPr>
          <w:rFonts w:ascii="Calibri" w:cs="Calibri" w:eastAsia="Calibri" w:hAnsi="Calibri"/>
          <w:color w:val="2C2C2C"/>
          <w:sz w:val="22"/>
          <w:szCs w:val="22"/>
        </w:rPr>
        <w:t xml:space="preserve">Apply firm massage to the affected area for 5 minutes to attempt to dislodge or fragment the embolus.</w:t>
      </w:r>
    </w:p>
    <w:p>
      <w:pPr>
        <w:pStyle w:val="ListParagraph"/>
        <w:numPr>
          <w:ilvl w:val="0"/>
          <w:numId w:val="2"/>
        </w:numPr>
        <w:spacing w:after="40" w:before="40" w:line="280"/>
      </w:pPr>
      <w:r>
        <w:rPr>
          <w:rFonts w:ascii="Calibri" w:cs="Calibri" w:eastAsia="Calibri" w:hAnsi="Calibri"/>
          <w:color w:val="2C2C2C"/>
          <w:sz w:val="22"/>
          <w:szCs w:val="22"/>
        </w:rPr>
        <w:t xml:space="preserve">Apply warm compress (not hot) to promote vasodilation.</w:t>
      </w:r>
    </w:p>
    <w:p>
      <w:pPr>
        <w:pStyle w:val="ListParagraph"/>
        <w:numPr>
          <w:ilvl w:val="0"/>
          <w:numId w:val="2"/>
        </w:numPr>
        <w:spacing w:after="40" w:before="40" w:line="280"/>
      </w:pPr>
      <w:r>
        <w:rPr>
          <w:rFonts w:ascii="Calibri" w:cs="Calibri" w:eastAsia="Calibri" w:hAnsi="Calibri"/>
          <w:color w:val="2C2C2C"/>
          <w:sz w:val="22"/>
          <w:szCs w:val="22"/>
        </w:rPr>
        <w:t xml:space="preserve">Tap the area firmly with a fingertip — gentle percussion may help mobilize product.</w:t>
      </w:r>
    </w:p>
    <w:p>
      <w:pPr>
        <w:pStyle w:val="Heading3"/>
        <w:spacing w:after="100" w:before="200"/>
      </w:pPr>
      <w:r>
        <w:rPr>
          <w:rFonts w:ascii="Calibri" w:cs="Calibri" w:eastAsia="Calibri" w:hAnsi="Calibri"/>
          <w:b/>
          <w:bCs/>
          <w:color w:val="8B0000"/>
          <w:sz w:val="24"/>
          <w:szCs w:val="24"/>
        </w:rPr>
        <w:t xml:space="preserve">Step 4 — Hyaluronidase (HA Fillers)</w:t>
      </w:r>
    </w:p>
    <w:p>
      <w:pPr>
        <w:spacing w:after="60" w:before="60" w:line="300"/>
        <w:jc w:val="left"/>
      </w:pPr>
      <w:r>
        <w:rPr>
          <w:rFonts w:ascii="Calibri" w:cs="Calibri" w:eastAsia="Calibri" w:hAnsi="Calibri"/>
          <w:color w:val="2C2C2C"/>
          <w:sz w:val="22"/>
          <w:szCs w:val="22"/>
        </w:rPr>
        <w:t xml:space="preserve">Hyaluronidase is the cornerstone of management for HA-filler occlusion. It is safe, fast-acting, and underdosing is the most common mistake.</w:t>
      </w:r>
    </w:p>
    <w:p>
      <w:pPr>
        <w:spacing w:after="160" w:before="16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spacing w:after="240" w:before="0"/>
        <w:jc w:val="center"/>
      </w:pPr>
      <w:r>
        <w:rPr>
          <w:rFonts w:ascii="Calibri" w:cs="Calibri" w:eastAsia="Calibri" w:hAnsi="Calibri"/>
          <w:i/>
          <w:iCs/>
          <w:color w:val="666666"/>
          <w:sz w:val="18"/>
          <w:szCs w:val="18"/>
        </w:rPr>
        <w:t xml:space="preserve">Figure 4. Hyaluronidase "flooding" technique across the entire vascular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6C00" w:sz="16"/>
              <w:left w:val="single" w:color="EF6C00" w:sz="16"/>
              <w:bottom w:val="single" w:color="EF6C00" w:sz="16"/>
              <w:right w:val="single" w:color="EF6C00" w:sz="16"/>
            </w:tcBorders>
            <w:shd w:fill="FFF3E0" w:val="clear"/>
            <w:tcMar>
              <w:top w:type="dxa" w:w="160"/>
              <w:left w:type="dxa" w:w="200"/>
              <w:bottom w:type="dxa" w:w="160"/>
              <w:right w:type="dxa" w:w="200"/>
            </w:tcMar>
          </w:tcPr>
          <w:p>
            <w:pPr>
              <w:spacing w:after="80" w:before="60"/>
            </w:pPr>
            <w:r>
              <w:rPr>
                <w:rFonts w:ascii="Calibri" w:cs="Calibri" w:eastAsia="Calibri" w:hAnsi="Calibri"/>
                <w:b/>
                <w:bCs/>
                <w:color w:val="BF360C"/>
                <w:sz w:val="24"/>
                <w:szCs w:val="24"/>
              </w:rPr>
              <w:t xml:space="preserve">⚡ Hyaluronidase Dosing (per session)</w:t>
            </w:r>
          </w:p>
          <w:p>
            <w:pPr>
              <w:spacing w:after="40" w:before="40" w:line="280"/>
            </w:pPr>
            <w:r>
              <w:rPr>
                <w:rFonts w:ascii="Calibri" w:cs="Calibri" w:eastAsia="Calibri" w:hAnsi="Calibri"/>
                <w:color w:val="2C2C2C"/>
                <w:sz w:val="22"/>
                <w:szCs w:val="22"/>
              </w:rPr>
              <w:t xml:space="preserve">Small territory (lips, single NLF): 150–300 units</w:t>
            </w:r>
          </w:p>
          <w:p>
            <w:pPr>
              <w:spacing w:after="40" w:before="40" w:line="280"/>
            </w:pPr>
            <w:r>
              <w:rPr>
                <w:rFonts w:ascii="Calibri" w:cs="Calibri" w:eastAsia="Calibri" w:hAnsi="Calibri"/>
                <w:color w:val="2C2C2C"/>
                <w:sz w:val="22"/>
                <w:szCs w:val="22"/>
              </w:rPr>
              <w:t xml:space="preserve">Large territory (cheek, jawline, forehead): 450–600 units</w:t>
            </w:r>
          </w:p>
          <w:p>
            <w:pPr>
              <w:spacing w:after="40" w:before="40" w:line="280"/>
            </w:pPr>
            <w:r>
              <w:rPr>
                <w:rFonts w:ascii="Calibri" w:cs="Calibri" w:eastAsia="Calibri" w:hAnsi="Calibri"/>
                <w:color w:val="2C2C2C"/>
                <w:sz w:val="22"/>
                <w:szCs w:val="22"/>
              </w:rPr>
              <w:t xml:space="preserve">Periocular or nasal involvement: 500–1,500 units, high-dose pulsed</w:t>
            </w:r>
          </w:p>
          <w:p>
            <w:pPr>
              <w:spacing w:after="40" w:before="40" w:line="280"/>
            </w:pPr>
            <w:r>
              <w:rPr>
                <w:rFonts w:ascii="Calibri" w:cs="Calibri" w:eastAsia="Calibri" w:hAnsi="Calibri"/>
                <w:color w:val="2C2C2C"/>
                <w:sz w:val="22"/>
                <w:szCs w:val="22"/>
              </w:rPr>
              <w:t xml:space="preserve">Inject ~10–30 units per point, every 0.5–1 cm across the entire ischemic territory</w:t>
            </w:r>
          </w:p>
          <w:p>
            <w:pPr>
              <w:spacing w:after="40" w:before="40" w:line="280"/>
            </w:pPr>
            <w:r>
              <w:rPr>
                <w:rFonts w:ascii="Calibri" w:cs="Calibri" w:eastAsia="Calibri" w:hAnsi="Calibri"/>
                <w:color w:val="2C2C2C"/>
                <w:sz w:val="22"/>
                <w:szCs w:val="22"/>
              </w:rPr>
              <w:t xml:space="preserve">Massage vigorously after each pass to distribute the enzyme</w:t>
            </w:r>
          </w:p>
          <w:p>
            <w:pPr>
              <w:spacing w:after="40" w:before="40" w:line="280"/>
            </w:pPr>
            <w:r>
              <w:rPr>
                <w:rFonts w:ascii="Calibri" w:cs="Calibri" w:eastAsia="Calibri" w:hAnsi="Calibri"/>
                <w:color w:val="2C2C2C"/>
                <w:sz w:val="22"/>
                <w:szCs w:val="22"/>
              </w:rPr>
              <w:t xml:space="preserve">Reassess every 60–90 minutes; repeat dosing until perfusion is restored</w:t>
            </w:r>
          </w:p>
          <w:p>
            <w:pPr>
              <w:spacing w:after="40" w:before="40" w:line="280"/>
            </w:pPr>
            <w:r>
              <w:rPr>
                <w:rFonts w:ascii="Calibri" w:cs="Calibri" w:eastAsia="Calibri" w:hAnsi="Calibri"/>
                <w:color w:val="2C2C2C"/>
                <w:sz w:val="22"/>
                <w:szCs w:val="22"/>
              </w:rPr>
              <w:t xml:space="preserve">No maximum daily dose has been established in acute VO management</w:t>
            </w:r>
          </w:p>
        </w:tc>
      </w:tr>
    </w:tbl>
    <w:p>
      <w:pPr>
        <w:pStyle w:val="Heading3"/>
        <w:spacing w:after="100" w:before="200"/>
      </w:pPr>
      <w:r>
        <w:rPr>
          <w:rFonts w:ascii="Calibri" w:cs="Calibri" w:eastAsia="Calibri" w:hAnsi="Calibri"/>
          <w:b/>
          <w:bCs/>
          <w:color w:val="8B0000"/>
          <w:sz w:val="24"/>
          <w:szCs w:val="24"/>
        </w:rPr>
        <w:t xml:space="preserve">Step 5 — Adjunctive Therapy</w:t>
      </w:r>
    </w:p>
    <w:p>
      <w:pPr>
        <w:pStyle w:val="ListParagraph"/>
        <w:numPr>
          <w:ilvl w:val="0"/>
          <w:numId w:val="2"/>
        </w:numPr>
        <w:spacing w:after="40" w:before="40" w:line="280"/>
      </w:pPr>
      <w:r>
        <w:rPr>
          <w:rFonts w:ascii="Calibri" w:cs="Calibri" w:eastAsia="Calibri" w:hAnsi="Calibri"/>
          <w:b/>
          <w:bCs/>
          <w:color w:val="2C2C2C"/>
          <w:sz w:val="22"/>
          <w:szCs w:val="22"/>
        </w:rPr>
        <w:t xml:space="preserve">Aspirin 325 mg PO </w:t>
      </w:r>
      <w:r>
        <w:rPr>
          <w:rFonts w:ascii="Calibri" w:cs="Calibri" w:eastAsia="Calibri" w:hAnsi="Calibri"/>
          <w:color w:val="2C2C2C"/>
          <w:sz w:val="22"/>
          <w:szCs w:val="22"/>
        </w:rPr>
        <w:t xml:space="preserve">× 1, then 81 mg daily × 7 days (if no contraindication — confirm no bleeding disorder, no pregnancy, no NSAID allergy)</w:t>
      </w:r>
    </w:p>
    <w:p>
      <w:pPr>
        <w:pStyle w:val="ListParagraph"/>
        <w:numPr>
          <w:ilvl w:val="0"/>
          <w:numId w:val="2"/>
        </w:numPr>
        <w:spacing w:after="40" w:before="40" w:line="280"/>
      </w:pPr>
      <w:r>
        <w:rPr>
          <w:rFonts w:ascii="Calibri" w:cs="Calibri" w:eastAsia="Calibri" w:hAnsi="Calibri"/>
          <w:b/>
          <w:bCs/>
          <w:color w:val="2C2C2C"/>
          <w:sz w:val="22"/>
          <w:szCs w:val="22"/>
        </w:rPr>
        <w:t xml:space="preserve">Warm compress: </w:t>
      </w:r>
      <w:r>
        <w:rPr>
          <w:rFonts w:ascii="Calibri" w:cs="Calibri" w:eastAsia="Calibri" w:hAnsi="Calibri"/>
          <w:color w:val="2C2C2C"/>
          <w:sz w:val="22"/>
          <w:szCs w:val="22"/>
        </w:rPr>
        <w:t xml:space="preserve">15 minutes every hour while awake × 48 hours</w:t>
      </w:r>
    </w:p>
    <w:p>
      <w:pPr>
        <w:pStyle w:val="ListParagraph"/>
        <w:numPr>
          <w:ilvl w:val="0"/>
          <w:numId w:val="2"/>
        </w:numPr>
        <w:spacing w:after="40" w:before="40" w:line="280"/>
      </w:pPr>
      <w:r>
        <w:rPr>
          <w:rFonts w:ascii="Calibri" w:cs="Calibri" w:eastAsia="Calibri" w:hAnsi="Calibri"/>
          <w:b/>
          <w:bCs/>
          <w:color w:val="2C2C2C"/>
          <w:sz w:val="22"/>
          <w:szCs w:val="22"/>
        </w:rPr>
        <w:t xml:space="preserve">Nitroglycerin paste 2%: </w:t>
      </w:r>
      <w:r>
        <w:rPr>
          <w:rFonts w:ascii="Calibri" w:cs="Calibri" w:eastAsia="Calibri" w:hAnsi="Calibri"/>
          <w:color w:val="2C2C2C"/>
          <w:sz w:val="22"/>
          <w:szCs w:val="22"/>
        </w:rPr>
        <w:t xml:space="preserve">evidence is mixed. May be considered in select cases but is not first-line; consult Medical Director before use.</w:t>
      </w:r>
    </w:p>
    <w:p>
      <w:pPr>
        <w:pStyle w:val="ListParagraph"/>
        <w:numPr>
          <w:ilvl w:val="0"/>
          <w:numId w:val="2"/>
        </w:numPr>
        <w:spacing w:after="40" w:before="40" w:line="280"/>
      </w:pPr>
      <w:r>
        <w:rPr>
          <w:rFonts w:ascii="Calibri" w:cs="Calibri" w:eastAsia="Calibri" w:hAnsi="Calibri"/>
          <w:b/>
          <w:bCs/>
          <w:color w:val="2C2C2C"/>
          <w:sz w:val="22"/>
          <w:szCs w:val="22"/>
        </w:rPr>
        <w:t xml:space="preserve">Sildenafil: </w:t>
      </w:r>
      <w:r>
        <w:rPr>
          <w:rFonts w:ascii="Calibri" w:cs="Calibri" w:eastAsia="Calibri" w:hAnsi="Calibri"/>
          <w:color w:val="2C2C2C"/>
          <w:sz w:val="22"/>
          <w:szCs w:val="22"/>
        </w:rPr>
        <w:t xml:space="preserve">some protocols include for vasodilation — physician decision</w:t>
      </w:r>
    </w:p>
    <w:p>
      <w:pPr>
        <w:pStyle w:val="ListParagraph"/>
        <w:numPr>
          <w:ilvl w:val="0"/>
          <w:numId w:val="2"/>
        </w:numPr>
        <w:spacing w:after="40" w:before="40" w:line="280"/>
      </w:pPr>
      <w:r>
        <w:rPr>
          <w:rFonts w:ascii="Calibri" w:cs="Calibri" w:eastAsia="Calibri" w:hAnsi="Calibri"/>
          <w:b/>
          <w:bCs/>
          <w:color w:val="2C2C2C"/>
          <w:sz w:val="22"/>
          <w:szCs w:val="22"/>
        </w:rPr>
        <w:t xml:space="preserve">Hyperbaric oxygen therapy: </w:t>
      </w:r>
      <w:r>
        <w:rPr>
          <w:rFonts w:ascii="Calibri" w:cs="Calibri" w:eastAsia="Calibri" w:hAnsi="Calibri"/>
          <w:color w:val="2C2C2C"/>
          <w:sz w:val="22"/>
          <w:szCs w:val="22"/>
        </w:rPr>
        <w:t xml:space="preserve">consider referral if necrosis develops despite hyaluronidase</w:t>
      </w:r>
    </w:p>
    <w:p>
      <w:pPr>
        <w:pStyle w:val="ListParagraph"/>
        <w:numPr>
          <w:ilvl w:val="0"/>
          <w:numId w:val="2"/>
        </w:numPr>
        <w:spacing w:after="40" w:before="40" w:line="280"/>
      </w:pPr>
      <w:r>
        <w:rPr>
          <w:rFonts w:ascii="Calibri" w:cs="Calibri" w:eastAsia="Calibri" w:hAnsi="Calibri"/>
          <w:b/>
          <w:bCs/>
          <w:color w:val="2C2C2C"/>
          <w:sz w:val="22"/>
          <w:szCs w:val="22"/>
        </w:rPr>
        <w:t xml:space="preserve">Antibiotic coverage: </w:t>
      </w:r>
      <w:r>
        <w:rPr>
          <w:rFonts w:ascii="Calibri" w:cs="Calibri" w:eastAsia="Calibri" w:hAnsi="Calibri"/>
          <w:color w:val="2C2C2C"/>
          <w:sz w:val="22"/>
          <w:szCs w:val="22"/>
        </w:rPr>
        <w:t xml:space="preserve">if skin compromise — cephalexin 500 mg QID × 7 days (or alternative if PCN-allergic)</w:t>
      </w:r>
    </w:p>
    <w:p>
      <w:pPr>
        <w:pStyle w:val="Heading3"/>
        <w:spacing w:after="100" w:before="200"/>
      </w:pPr>
      <w:r>
        <w:rPr>
          <w:rFonts w:ascii="Calibri" w:cs="Calibri" w:eastAsia="Calibri" w:hAnsi="Calibri"/>
          <w:b/>
          <w:bCs/>
          <w:color w:val="8B0000"/>
          <w:sz w:val="24"/>
          <w:szCs w:val="24"/>
        </w:rPr>
        <w:t xml:space="preserve">Step 6 — Reassess</w:t>
      </w:r>
    </w:p>
    <w:p>
      <w:pPr>
        <w:pStyle w:val="ListParagraph"/>
        <w:numPr>
          <w:ilvl w:val="0"/>
          <w:numId w:val="2"/>
        </w:numPr>
        <w:spacing w:after="40" w:before="40" w:line="280"/>
      </w:pPr>
      <w:r>
        <w:rPr>
          <w:rFonts w:ascii="Calibri" w:cs="Calibri" w:eastAsia="Calibri" w:hAnsi="Calibri"/>
          <w:color w:val="2C2C2C"/>
          <w:sz w:val="22"/>
          <w:szCs w:val="22"/>
        </w:rPr>
        <w:t xml:space="preserve">Reassess at 60 minutes after first dose: capillary refill, color, pain.</w:t>
      </w:r>
    </w:p>
    <w:p>
      <w:pPr>
        <w:pStyle w:val="ListParagraph"/>
        <w:numPr>
          <w:ilvl w:val="0"/>
          <w:numId w:val="2"/>
        </w:numPr>
        <w:spacing w:after="40" w:before="40" w:line="280"/>
      </w:pPr>
      <w:r>
        <w:rPr>
          <w:rFonts w:ascii="Calibri" w:cs="Calibri" w:eastAsia="Calibri" w:hAnsi="Calibri"/>
          <w:color w:val="2C2C2C"/>
          <w:sz w:val="22"/>
          <w:szCs w:val="22"/>
        </w:rPr>
        <w:t xml:space="preserve">If improving — continue monitoring; document hourly × first 4 hours, then q4h × 24 h.</w:t>
      </w:r>
    </w:p>
    <w:p>
      <w:pPr>
        <w:pStyle w:val="ListParagraph"/>
        <w:numPr>
          <w:ilvl w:val="0"/>
          <w:numId w:val="2"/>
        </w:numPr>
        <w:spacing w:after="40" w:before="40" w:line="280"/>
      </w:pPr>
      <w:r>
        <w:rPr>
          <w:rFonts w:ascii="Calibri" w:cs="Calibri" w:eastAsia="Calibri" w:hAnsi="Calibri"/>
          <w:color w:val="2C2C2C"/>
          <w:sz w:val="22"/>
          <w:szCs w:val="22"/>
        </w:rPr>
        <w:t xml:space="preserve">If NOT improving — repeat hyaluronidase, escalate dose, escalate care.</w:t>
      </w:r>
    </w:p>
    <w:p>
      <w:pPr>
        <w:pStyle w:val="ListParagraph"/>
        <w:numPr>
          <w:ilvl w:val="0"/>
          <w:numId w:val="2"/>
        </w:numPr>
        <w:spacing w:after="40" w:before="40" w:line="280"/>
      </w:pPr>
      <w:r>
        <w:rPr>
          <w:rFonts w:ascii="Calibri" w:cs="Calibri" w:eastAsia="Calibri" w:hAnsi="Calibri"/>
          <w:color w:val="2C2C2C"/>
          <w:sz w:val="22"/>
          <w:szCs w:val="22"/>
        </w:rPr>
        <w:t xml:space="preserve">Persistent or progressive findings after 2 doses warrant emergency referral.</w:t>
      </w:r>
    </w:p>
    <w:p>
      <w:pPr>
        <w:pStyle w:val="Heading3"/>
        <w:spacing w:after="100" w:before="200"/>
      </w:pPr>
      <w:r>
        <w:rPr>
          <w:rFonts w:ascii="Calibri" w:cs="Calibri" w:eastAsia="Calibri" w:hAnsi="Calibri"/>
          <w:b/>
          <w:bCs/>
          <w:color w:val="8B0000"/>
          <w:sz w:val="24"/>
          <w:szCs w:val="24"/>
        </w:rPr>
        <w:t xml:space="preserve">Step 7 — Document &amp; Follow Up</w:t>
      </w:r>
    </w:p>
    <w:p>
      <w:pPr>
        <w:pStyle w:val="ListParagraph"/>
        <w:numPr>
          <w:ilvl w:val="0"/>
          <w:numId w:val="2"/>
        </w:numPr>
        <w:spacing w:after="40" w:before="40" w:line="280"/>
      </w:pPr>
      <w:r>
        <w:rPr>
          <w:rFonts w:ascii="Calibri" w:cs="Calibri" w:eastAsia="Calibri" w:hAnsi="Calibri"/>
          <w:color w:val="2C2C2C"/>
          <w:sz w:val="22"/>
          <w:szCs w:val="22"/>
        </w:rPr>
        <w:t xml:space="preserve">Photograph at recognition, then at 1 h, 4 h, 24 h, 48 h, 72 h, and 1 week.</w:t>
      </w:r>
    </w:p>
    <w:p>
      <w:pPr>
        <w:pStyle w:val="ListParagraph"/>
        <w:numPr>
          <w:ilvl w:val="0"/>
          <w:numId w:val="2"/>
        </w:numPr>
        <w:spacing w:after="40" w:before="40" w:line="280"/>
      </w:pPr>
      <w:r>
        <w:rPr>
          <w:rFonts w:ascii="Calibri" w:cs="Calibri" w:eastAsia="Calibri" w:hAnsi="Calibri"/>
          <w:color w:val="2C2C2C"/>
          <w:sz w:val="22"/>
          <w:szCs w:val="22"/>
        </w:rPr>
        <w:t xml:space="preserve">Document every dose, time, location, and clinical response.</w:t>
      </w:r>
    </w:p>
    <w:p>
      <w:pPr>
        <w:pStyle w:val="ListParagraph"/>
        <w:numPr>
          <w:ilvl w:val="0"/>
          <w:numId w:val="2"/>
        </w:numPr>
        <w:spacing w:after="40" w:before="40" w:line="280"/>
      </w:pPr>
      <w:r>
        <w:rPr>
          <w:rFonts w:ascii="Calibri" w:cs="Calibri" w:eastAsia="Calibri" w:hAnsi="Calibri"/>
          <w:color w:val="2C2C2C"/>
          <w:sz w:val="22"/>
          <w:szCs w:val="22"/>
        </w:rPr>
        <w:t xml:space="preserve">Re-evaluate in clinic at 24 h, 48 h, 72 h, and 1 week minimum.</w:t>
      </w:r>
    </w:p>
    <w:p>
      <w:pPr>
        <w:pStyle w:val="ListParagraph"/>
        <w:numPr>
          <w:ilvl w:val="0"/>
          <w:numId w:val="2"/>
        </w:numPr>
        <w:spacing w:after="40" w:before="40" w:line="280"/>
      </w:pPr>
      <w:r>
        <w:rPr>
          <w:rFonts w:ascii="Calibri" w:cs="Calibri" w:eastAsia="Calibri" w:hAnsi="Calibri"/>
          <w:color w:val="2C2C2C"/>
          <w:sz w:val="22"/>
          <w:szCs w:val="22"/>
        </w:rPr>
        <w:t xml:space="preserve">Refer to plastic surgery / wound care if any necrosis develops.</w:t>
      </w:r>
    </w:p>
    <w:p>
      <w:pPr>
        <w:pStyle w:val="ListParagraph"/>
        <w:numPr>
          <w:ilvl w:val="0"/>
          <w:numId w:val="2"/>
        </w:numPr>
        <w:spacing w:after="40" w:before="40" w:line="280"/>
      </w:pPr>
      <w:r>
        <w:rPr>
          <w:rFonts w:ascii="Calibri" w:cs="Calibri" w:eastAsia="Calibri" w:hAnsi="Calibri"/>
          <w:color w:val="2C2C2C"/>
          <w:sz w:val="22"/>
          <w:szCs w:val="22"/>
        </w:rPr>
        <w:t xml:space="preserve">File incident report and notify carrier per practice policy.</w:t>
      </w:r>
    </w:p>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5. Hyaluronidase: Drug &amp; Technique Reference</w:t>
      </w:r>
    </w:p>
    <w:p>
      <w:pPr>
        <w:pStyle w:val="Heading2"/>
        <w:spacing w:after="140" w:before="280"/>
      </w:pPr>
      <w:r>
        <w:rPr>
          <w:rFonts w:ascii="Calibri" w:cs="Calibri" w:eastAsia="Calibri" w:hAnsi="Calibri"/>
          <w:b/>
          <w:bCs/>
          <w:color w:val="1F3A5F"/>
          <w:sz w:val="28"/>
          <w:szCs w:val="28"/>
        </w:rPr>
        <w:t xml:space="preserve">5.1 Product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Property</w:t>
            </w:r>
          </w:p>
        </w:tc>
        <w:tc>
          <w:tcPr>
            <w:tcW w:type="dxa" w:w="6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Brand names</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Hylenex (recombinant) · Vitrase · Amphadase · Wydase</w:t>
            </w:r>
          </w:p>
        </w:tc>
      </w:tr>
      <w:tr>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Concentration</w:t>
            </w:r>
          </w:p>
        </w:tc>
        <w:tc>
          <w:tcPr>
            <w:tcW w:type="dxa" w:w="6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Typically 150 units/mL (reconstituted)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Onset of action</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&lt; 5 minutes (peak at 24–48 hours)</w:t>
            </w:r>
          </w:p>
        </w:tc>
      </w:tr>
      <w:tr>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Half-life</w:t>
            </w:r>
          </w:p>
        </w:tc>
        <w:tc>
          <w:tcPr>
            <w:tcW w:type="dxa" w:w="6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Approximately 2 minutes (rapidly degraded)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Storage</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Refrigerate 2–8°C; protect from light; do not freeze</w:t>
            </w:r>
          </w:p>
        </w:tc>
      </w:tr>
      <w:tr>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Stability after reconstitution</w:t>
            </w:r>
          </w:p>
        </w:tc>
        <w:tc>
          <w:tcPr>
            <w:tcW w:type="dxa" w:w="6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Use within 6 hours; do not retain unused product</w:t>
            </w:r>
          </w:p>
        </w:tc>
      </w:tr>
    </w:tbl>
    <w:p>
      <w:pPr>
        <w:pStyle w:val="Heading2"/>
        <w:spacing w:after="140" w:before="280"/>
      </w:pPr>
      <w:r>
        <w:rPr>
          <w:rFonts w:ascii="Calibri" w:cs="Calibri" w:eastAsia="Calibri" w:hAnsi="Calibri"/>
          <w:b/>
          <w:bCs/>
          <w:color w:val="1F3A5F"/>
          <w:sz w:val="28"/>
          <w:szCs w:val="28"/>
        </w:rPr>
        <w:t xml:space="preserve">5.2 Reconstitution &amp; Preparation</w:t>
      </w:r>
    </w:p>
    <w:p>
      <w:pPr>
        <w:pStyle w:val="ListParagraph"/>
        <w:numPr>
          <w:ilvl w:val="0"/>
          <w:numId w:val="3"/>
        </w:numPr>
        <w:spacing w:after="60" w:before="60" w:line="280"/>
      </w:pPr>
      <w:r>
        <w:rPr>
          <w:rFonts w:ascii="Calibri" w:cs="Calibri" w:eastAsia="Calibri" w:hAnsi="Calibri"/>
          <w:b w:val="false"/>
          <w:bCs w:val="false"/>
          <w:color w:val="2C2C2C"/>
          <w:sz w:val="22"/>
          <w:szCs w:val="22"/>
        </w:rPr>
        <w:t xml:space="preserve">Verify expiration date and lot number; document both.</w:t>
      </w:r>
    </w:p>
    <w:p>
      <w:pPr>
        <w:pStyle w:val="ListParagraph"/>
        <w:numPr>
          <w:ilvl w:val="0"/>
          <w:numId w:val="3"/>
        </w:numPr>
        <w:spacing w:after="60" w:before="60" w:line="280"/>
      </w:pPr>
      <w:r>
        <w:rPr>
          <w:rFonts w:ascii="Calibri" w:cs="Calibri" w:eastAsia="Calibri" w:hAnsi="Calibri"/>
          <w:color w:val="2C2C2C"/>
          <w:sz w:val="22"/>
          <w:szCs w:val="22"/>
        </w:rPr>
        <w:t xml:space="preserve">Reconstitute per manufacturer instructions (typically 1 mL bacteriostatic saline per 150-unit vial unless otherwise specified).</w:t>
      </w:r>
    </w:p>
    <w:p>
      <w:pPr>
        <w:pStyle w:val="ListParagraph"/>
        <w:numPr>
          <w:ilvl w:val="0"/>
          <w:numId w:val="3"/>
        </w:numPr>
        <w:spacing w:after="60" w:before="60" w:line="280"/>
      </w:pPr>
      <w:r>
        <w:rPr>
          <w:rFonts w:ascii="Calibri" w:cs="Calibri" w:eastAsia="Calibri" w:hAnsi="Calibri"/>
          <w:color w:val="2C2C2C"/>
          <w:sz w:val="22"/>
          <w:szCs w:val="22"/>
        </w:rPr>
        <w:t xml:space="preserve">Mix by gentle inversion — do NOT shake (denatures enzyme).</w:t>
      </w:r>
    </w:p>
    <w:p>
      <w:pPr>
        <w:pStyle w:val="ListParagraph"/>
        <w:numPr>
          <w:ilvl w:val="0"/>
          <w:numId w:val="3"/>
        </w:numPr>
        <w:spacing w:after="60" w:before="60" w:line="280"/>
      </w:pPr>
      <w:r>
        <w:rPr>
          <w:rFonts w:ascii="Calibri" w:cs="Calibri" w:eastAsia="Calibri" w:hAnsi="Calibri"/>
          <w:color w:val="2C2C2C"/>
          <w:sz w:val="22"/>
          <w:szCs w:val="22"/>
        </w:rPr>
        <w:t xml:space="preserve">Draw into 1 mL syringes with 30G needles for delivery.</w:t>
      </w:r>
    </w:p>
    <w:p>
      <w:pPr>
        <w:pStyle w:val="ListParagraph"/>
        <w:numPr>
          <w:ilvl w:val="0"/>
          <w:numId w:val="3"/>
        </w:numPr>
        <w:spacing w:after="60" w:before="60" w:line="280"/>
      </w:pPr>
      <w:r>
        <w:rPr>
          <w:rFonts w:ascii="Calibri" w:cs="Calibri" w:eastAsia="Calibri" w:hAnsi="Calibri"/>
          <w:color w:val="2C2C2C"/>
          <w:sz w:val="22"/>
          <w:szCs w:val="22"/>
        </w:rPr>
        <w:t xml:space="preserve">Label syringes with concentration and time of reconstitution.</w:t>
      </w:r>
    </w:p>
    <w:p>
      <w:pPr>
        <w:pStyle w:val="Heading2"/>
        <w:spacing w:after="140" w:before="280"/>
      </w:pPr>
      <w:r>
        <w:rPr>
          <w:rFonts w:ascii="Calibri" w:cs="Calibri" w:eastAsia="Calibri" w:hAnsi="Calibri"/>
          <w:b/>
          <w:bCs/>
          <w:color w:val="1F3A5F"/>
          <w:sz w:val="28"/>
          <w:szCs w:val="28"/>
        </w:rPr>
        <w:t xml:space="preserve">5.3 Allergy &amp; Safety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6"/>
              <w:left w:val="single" w:color="1565C0" w:sz="16"/>
              <w:bottom w:val="single" w:color="1565C0" w:sz="16"/>
              <w:right w:val="single" w:color="1565C0" w:sz="16"/>
            </w:tcBorders>
            <w:shd w:fill="E3F2FD" w:val="clear"/>
            <w:tcMar>
              <w:top w:type="dxa" w:w="160"/>
              <w:left w:type="dxa" w:w="200"/>
              <w:bottom w:type="dxa" w:w="160"/>
              <w:right w:type="dxa" w:w="200"/>
            </w:tcMar>
          </w:tcPr>
          <w:p>
            <w:pPr>
              <w:spacing w:after="80" w:before="60"/>
            </w:pPr>
            <w:r>
              <w:rPr>
                <w:rFonts w:ascii="Calibri" w:cs="Calibri" w:eastAsia="Calibri" w:hAnsi="Calibri"/>
                <w:b/>
                <w:bCs/>
                <w:color w:val="0D47A1"/>
                <w:sz w:val="24"/>
                <w:szCs w:val="24"/>
              </w:rPr>
              <w:t xml:space="preserve">ℹ Pre-Treatment Allergy Screen</w:t>
            </w:r>
          </w:p>
          <w:p>
            <w:pPr>
              <w:spacing w:after="40" w:before="40" w:line="280"/>
            </w:pPr>
            <w:r>
              <w:rPr>
                <w:rFonts w:ascii="Calibri" w:cs="Calibri" w:eastAsia="Calibri" w:hAnsi="Calibri"/>
                <w:color w:val="2C2C2C"/>
                <w:sz w:val="22"/>
                <w:szCs w:val="22"/>
              </w:rPr>
              <w:t xml:space="preserve">Document any prior reaction to hyaluronidase, bee/wasp venom, or hymenoptera stings.</w:t>
            </w:r>
          </w:p>
          <w:p>
            <w:pPr>
              <w:spacing w:after="40" w:before="40" w:line="280"/>
            </w:pPr>
            <w:r>
              <w:rPr>
                <w:rFonts w:ascii="Calibri" w:cs="Calibri" w:eastAsia="Calibri" w:hAnsi="Calibri"/>
                <w:color w:val="2C2C2C"/>
                <w:sz w:val="22"/>
                <w:szCs w:val="22"/>
              </w:rPr>
              <w:t xml:space="preserve">True hypersensitivity is rare (&lt; 0.1%) but can be anaphylactic.</w:t>
            </w:r>
          </w:p>
          <w:p>
            <w:pPr>
              <w:spacing w:after="40" w:before="40" w:line="280"/>
            </w:pPr>
            <w:r>
              <w:rPr>
                <w:rFonts w:ascii="Calibri" w:cs="Calibri" w:eastAsia="Calibri" w:hAnsi="Calibri"/>
                <w:color w:val="2C2C2C"/>
                <w:sz w:val="22"/>
                <w:szCs w:val="22"/>
              </w:rPr>
              <w:t xml:space="preserve">In a true vascular emergency, the risk of withholding hyaluronidase exceeds the risk of allergic reaction in nearly all patients.</w:t>
            </w:r>
          </w:p>
          <w:p>
            <w:pPr>
              <w:spacing w:after="40" w:before="40" w:line="280"/>
            </w:pPr>
            <w:r>
              <w:rPr>
                <w:rFonts w:ascii="Calibri" w:cs="Calibri" w:eastAsia="Calibri" w:hAnsi="Calibri"/>
                <w:color w:val="2C2C2C"/>
                <w:sz w:val="22"/>
                <w:szCs w:val="22"/>
              </w:rPr>
              <w:t xml:space="preserve">Have epinephrine (1:1000 IM), diphenhydramine 50 mg, and oxygen immediately available.</w:t>
            </w:r>
          </w:p>
          <w:p>
            <w:pPr>
              <w:spacing w:after="40" w:before="40" w:line="280"/>
            </w:pPr>
            <w:r>
              <w:rPr>
                <w:rFonts w:ascii="Calibri" w:cs="Calibri" w:eastAsia="Calibri" w:hAnsi="Calibri"/>
                <w:color w:val="2C2C2C"/>
                <w:sz w:val="22"/>
                <w:szCs w:val="22"/>
              </w:rPr>
              <w:t xml:space="preserve">Skin testing (intradermal 3 units) may be considered for elective dissolutions but NOT for active VO.</w:t>
            </w:r>
          </w:p>
        </w:tc>
      </w:tr>
    </w:tbl>
    <w:p>
      <w:pPr>
        <w:pStyle w:val="Heading2"/>
        <w:spacing w:after="140" w:before="280"/>
      </w:pPr>
      <w:r>
        <w:rPr>
          <w:rFonts w:ascii="Calibri" w:cs="Calibri" w:eastAsia="Calibri" w:hAnsi="Calibri"/>
          <w:b/>
          <w:bCs/>
          <w:color w:val="1F3A5F"/>
          <w:sz w:val="28"/>
          <w:szCs w:val="28"/>
        </w:rPr>
        <w:t xml:space="preserve">5.4 Injection Technique</w:t>
      </w:r>
    </w:p>
    <w:p>
      <w:pPr>
        <w:pStyle w:val="ListParagraph"/>
        <w:numPr>
          <w:ilvl w:val="0"/>
          <w:numId w:val="2"/>
        </w:numPr>
        <w:spacing w:after="40" w:before="40" w:line="280"/>
      </w:pPr>
      <w:r>
        <w:rPr>
          <w:rFonts w:ascii="Calibri" w:cs="Calibri" w:eastAsia="Calibri" w:hAnsi="Calibri"/>
          <w:color w:val="2C2C2C"/>
          <w:sz w:val="22"/>
          <w:szCs w:val="22"/>
        </w:rPr>
        <w:t xml:space="preserve">Use 30G needle (or 27G for high-volume sessions).</w:t>
      </w:r>
    </w:p>
    <w:p>
      <w:pPr>
        <w:pStyle w:val="ListParagraph"/>
        <w:numPr>
          <w:ilvl w:val="0"/>
          <w:numId w:val="2"/>
        </w:numPr>
        <w:spacing w:after="40" w:before="40" w:line="280"/>
      </w:pPr>
      <w:r>
        <w:rPr>
          <w:rFonts w:ascii="Calibri" w:cs="Calibri" w:eastAsia="Calibri" w:hAnsi="Calibri"/>
          <w:color w:val="2C2C2C"/>
          <w:sz w:val="22"/>
          <w:szCs w:val="22"/>
        </w:rPr>
        <w:t xml:space="preserve">Inject directly into the affected ischemic tissue — do NOT inject only at the original entry site.</w:t>
      </w:r>
    </w:p>
    <w:p>
      <w:pPr>
        <w:pStyle w:val="ListParagraph"/>
        <w:numPr>
          <w:ilvl w:val="0"/>
          <w:numId w:val="2"/>
        </w:numPr>
        <w:spacing w:after="40" w:before="40" w:line="280"/>
      </w:pPr>
      <w:r>
        <w:rPr>
          <w:rFonts w:ascii="Calibri" w:cs="Calibri" w:eastAsia="Calibri" w:hAnsi="Calibri"/>
          <w:color w:val="2C2C2C"/>
          <w:sz w:val="22"/>
          <w:szCs w:val="22"/>
        </w:rPr>
        <w:t xml:space="preserve">Cover the entire vascular distribution of the suspected occluded artery, not just the visible blanched area.</w:t>
      </w:r>
    </w:p>
    <w:p>
      <w:pPr>
        <w:pStyle w:val="ListParagraph"/>
        <w:numPr>
          <w:ilvl w:val="0"/>
          <w:numId w:val="2"/>
        </w:numPr>
        <w:spacing w:after="40" w:before="40" w:line="280"/>
      </w:pPr>
      <w:r>
        <w:rPr>
          <w:rFonts w:ascii="Calibri" w:cs="Calibri" w:eastAsia="Calibri" w:hAnsi="Calibri"/>
          <w:color w:val="2C2C2C"/>
          <w:sz w:val="22"/>
          <w:szCs w:val="22"/>
        </w:rPr>
        <w:t xml:space="preserve">Use multiple small injection points (10–30 units each) spaced 0.5–1 cm apart.</w:t>
      </w:r>
    </w:p>
    <w:p>
      <w:pPr>
        <w:pStyle w:val="ListParagraph"/>
        <w:numPr>
          <w:ilvl w:val="0"/>
          <w:numId w:val="2"/>
        </w:numPr>
        <w:spacing w:after="40" w:before="40" w:line="280"/>
      </w:pPr>
      <w:r>
        <w:rPr>
          <w:rFonts w:ascii="Calibri" w:cs="Calibri" w:eastAsia="Calibri" w:hAnsi="Calibri"/>
          <w:color w:val="2C2C2C"/>
          <w:sz w:val="22"/>
          <w:szCs w:val="22"/>
        </w:rPr>
        <w:t xml:space="preserve">Aspirate before each bolus (especially in high-risk zones such as glabella).</w:t>
      </w:r>
    </w:p>
    <w:p>
      <w:pPr>
        <w:pStyle w:val="ListParagraph"/>
        <w:numPr>
          <w:ilvl w:val="0"/>
          <w:numId w:val="2"/>
        </w:numPr>
        <w:spacing w:after="40" w:before="40" w:line="280"/>
      </w:pPr>
      <w:r>
        <w:rPr>
          <w:rFonts w:ascii="Calibri" w:cs="Calibri" w:eastAsia="Calibri" w:hAnsi="Calibri"/>
          <w:color w:val="2C2C2C"/>
          <w:sz w:val="22"/>
          <w:szCs w:val="22"/>
        </w:rPr>
        <w:t xml:space="preserve">Massage vigorously for 1–2 minutes after each pass to facilitate enzyme diffusion.</w:t>
      </w:r>
    </w:p>
    <w:p>
      <w:pPr>
        <w:pStyle w:val="ListParagraph"/>
        <w:numPr>
          <w:ilvl w:val="0"/>
          <w:numId w:val="2"/>
        </w:numPr>
        <w:spacing w:after="40" w:before="40" w:line="280"/>
      </w:pPr>
      <w:r>
        <w:rPr>
          <w:rFonts w:ascii="Calibri" w:cs="Calibri" w:eastAsia="Calibri" w:hAnsi="Calibri"/>
          <w:color w:val="2C2C2C"/>
          <w:sz w:val="22"/>
          <w:szCs w:val="22"/>
        </w:rPr>
        <w:t xml:space="preserve">Reassess perfusion; repeat the entire flood every 60–90 minutes until restored.</w:t>
      </w:r>
    </w:p>
    <w:p>
      <w:pPr>
        <w:pStyle w:val="Heading2"/>
        <w:spacing w:after="140" w:before="280"/>
      </w:pPr>
      <w:r>
        <w:rPr>
          <w:rFonts w:ascii="Calibri" w:cs="Calibri" w:eastAsia="Calibri" w:hAnsi="Calibri"/>
          <w:b/>
          <w:bCs/>
          <w:color w:val="1F3A5F"/>
          <w:sz w:val="28"/>
          <w:szCs w:val="28"/>
        </w:rPr>
        <w:t xml:space="preserve">5.5 Periocular / Suspected Ocular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0000" w:sz="16"/>
              <w:left w:val="single" w:color="7F0000" w:sz="16"/>
              <w:bottom w:val="single" w:color="7F0000" w:sz="16"/>
              <w:right w:val="single" w:color="7F0000" w:sz="16"/>
            </w:tcBorders>
            <w:shd w:fill="8B0000" w:val="clear"/>
            <w:tcMar>
              <w:top w:type="dxa" w:w="160"/>
              <w:left w:type="dxa" w:w="200"/>
              <w:bottom w:type="dxa" w:w="160"/>
              <w:right w:type="dxa" w:w="200"/>
            </w:tcMar>
          </w:tcPr>
          <w:p>
            <w:pPr>
              <w:spacing w:after="80" w:before="60"/>
            </w:pPr>
            <w:r>
              <w:rPr>
                <w:rFonts w:ascii="Calibri" w:cs="Calibri" w:eastAsia="Calibri" w:hAnsi="Calibri"/>
                <w:b/>
                <w:bCs/>
                <w:color w:val="FFFFFF"/>
                <w:sz w:val="24"/>
                <w:szCs w:val="24"/>
              </w:rPr>
              <w:t xml:space="preserve">🚨 Visual Symptoms = Ophthalmologic Emergency</w:t>
            </w:r>
          </w:p>
          <w:p>
            <w:pPr>
              <w:spacing w:after="40" w:before="40" w:line="280"/>
            </w:pPr>
            <w:r>
              <w:rPr>
                <w:rFonts w:ascii="Calibri" w:cs="Calibri" w:eastAsia="Calibri" w:hAnsi="Calibri"/>
                <w:color w:val="FFFFFF"/>
                <w:sz w:val="22"/>
                <w:szCs w:val="22"/>
              </w:rPr>
              <w:t xml:space="preserve">Activate EMS (911) immediately. Transport to a center with on-call ophthalmology.</w:t>
            </w:r>
          </w:p>
          <w:p>
            <w:pPr>
              <w:spacing w:after="40" w:before="40" w:line="280"/>
            </w:pPr>
            <w:r>
              <w:rPr>
                <w:rFonts w:ascii="Calibri" w:cs="Calibri" w:eastAsia="Calibri" w:hAnsi="Calibri"/>
                <w:color w:val="FFFFFF"/>
                <w:sz w:val="22"/>
                <w:szCs w:val="22"/>
              </w:rPr>
              <w:t xml:space="preserve">Do NOT wait for symptoms to progress. The window for retinal salvage is &lt; 90 minutes.</w:t>
            </w:r>
          </w:p>
          <w:p>
            <w:pPr>
              <w:spacing w:after="40" w:before="40" w:line="280"/>
            </w:pPr>
            <w:r>
              <w:rPr>
                <w:rFonts w:ascii="Calibri" w:cs="Calibri" w:eastAsia="Calibri" w:hAnsi="Calibri"/>
                <w:color w:val="FFFFFF"/>
                <w:sz w:val="22"/>
                <w:szCs w:val="22"/>
              </w:rPr>
              <w:t xml:space="preserve">En route: continue retrobulbar/peribulbar hyaluronidase ONLY if you are trained and credentialed; otherwise, manage as transport priority.</w:t>
            </w:r>
          </w:p>
          <w:p>
            <w:pPr>
              <w:spacing w:after="40" w:before="40" w:line="280"/>
            </w:pPr>
            <w:r>
              <w:rPr>
                <w:rFonts w:ascii="Calibri" w:cs="Calibri" w:eastAsia="Calibri" w:hAnsi="Calibri"/>
                <w:color w:val="FFFFFF"/>
                <w:sz w:val="22"/>
                <w:szCs w:val="22"/>
              </w:rPr>
              <w:t xml:space="preserve">Reduce intraocular pressure: digital ocular massage, breathe into a paper bag (mild hypercapnia), consider acetazolamide if available.</w:t>
            </w:r>
          </w:p>
          <w:p>
            <w:pPr>
              <w:spacing w:after="40" w:before="40" w:line="280"/>
            </w:pPr>
            <w:r>
              <w:rPr>
                <w:rFonts w:ascii="Calibri" w:cs="Calibri" w:eastAsia="Calibri" w:hAnsi="Calibri"/>
                <w:color w:val="FFFFFF"/>
                <w:sz w:val="22"/>
                <w:szCs w:val="22"/>
              </w:rPr>
              <w:t xml:space="preserve">Lay patient supine; loosen any restrictive clothing.</w:t>
            </w:r>
          </w:p>
          <w:p>
            <w:pPr>
              <w:spacing w:after="40" w:before="40" w:line="280"/>
            </w:pPr>
            <w:r>
              <w:rPr>
                <w:rFonts w:ascii="Calibri" w:cs="Calibri" w:eastAsia="Calibri" w:hAnsi="Calibri"/>
                <w:color w:val="FFFFFF"/>
                <w:sz w:val="22"/>
                <w:szCs w:val="22"/>
              </w:rPr>
              <w:t xml:space="preserve">Notify receiving facility en route with full timeline and doses administered.</w:t>
            </w:r>
          </w:p>
        </w:tc>
      </w:tr>
    </w:tbl>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6. Vascular Occlusion Emergency Kit</w:t>
      </w:r>
    </w:p>
    <w:p>
      <w:pPr>
        <w:spacing w:after="60" w:before="60" w:line="300"/>
        <w:jc w:val="left"/>
      </w:pPr>
      <w:r>
        <w:rPr>
          <w:rFonts w:ascii="Calibri" w:cs="Calibri" w:eastAsia="Calibri" w:hAnsi="Calibri"/>
          <w:color w:val="2C2C2C"/>
          <w:sz w:val="22"/>
          <w:szCs w:val="22"/>
        </w:rPr>
        <w:t xml:space="preserve">A dedicated VO kit must be checked weekly and immediately accessible in every treatment room. The Medical Director or designee is responsible for kit integrity.</w:t>
      </w:r>
    </w:p>
    <w:p>
      <w:pPr>
        <w:pStyle w:val="Heading2"/>
        <w:spacing w:after="140" w:before="280"/>
      </w:pPr>
      <w:r>
        <w:rPr>
          <w:rFonts w:ascii="Calibri" w:cs="Calibri" w:eastAsia="Calibri" w:hAnsi="Calibri"/>
          <w:b/>
          <w:bCs/>
          <w:color w:val="1F3A5F"/>
          <w:sz w:val="28"/>
          <w:szCs w:val="28"/>
        </w:rPr>
        <w:t xml:space="preserve">6.1 Required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Item</w:t>
            </w:r>
          </w:p>
        </w:tc>
        <w:tc>
          <w:tcPr>
            <w:tcW w:type="dxa" w:w="2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Quantity</w:t>
            </w:r>
          </w:p>
        </w:tc>
        <w:tc>
          <w:tcPr>
            <w:tcW w:type="dxa" w:w="2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Expiration Check</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Hyaluronidase (Hylenex 150 U vials)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Minimum 10 vials (1,500 U total)</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Bacteriostatic saline (for reconstitution)</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10 × 1 mL ampules</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 mL syringes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20</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30G needles</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30</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Aspirin 325 mg</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10 tablets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Quarterly</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Nitroglycerin paste 2%</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 tube</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Epinephrine 1:1000 IM auto-injector</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2</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Diphenhydramine 50 mg PO/IM</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10 doses</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Quarterly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Pulse oximeter</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 (battery)</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BP cuff</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Warm compress / instant hot pack</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4</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Penlight</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Monthly (battery)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Protocol laminate (this document, abbreviated)</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Incident report form</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5 copies</w:t>
            </w:r>
          </w:p>
        </w:tc>
        <w:tc>
          <w:tcPr>
            <w:tcW w:type="dxa" w:w="2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w:t>
            </w:r>
          </w:p>
        </w:tc>
      </w:tr>
    </w:tbl>
    <w:p>
      <w:pPr>
        <w:pStyle w:val="Heading2"/>
        <w:spacing w:after="140" w:before="280"/>
      </w:pPr>
      <w:r>
        <w:rPr>
          <w:rFonts w:ascii="Calibri" w:cs="Calibri" w:eastAsia="Calibri" w:hAnsi="Calibri"/>
          <w:b/>
          <w:bCs/>
          <w:color w:val="1F3A5F"/>
          <w:sz w:val="28"/>
          <w:szCs w:val="28"/>
        </w:rPr>
        <w:t xml:space="preserve">6.2 Weekly Kit Verification</w:t>
      </w:r>
    </w:p>
    <w:p>
      <w:pPr>
        <w:pStyle w:val="ListParagraph"/>
        <w:numPr>
          <w:ilvl w:val="0"/>
          <w:numId w:val="2"/>
        </w:numPr>
        <w:spacing w:after="40" w:before="40" w:line="280"/>
      </w:pPr>
      <w:r>
        <w:rPr>
          <w:rFonts w:ascii="Calibri" w:cs="Calibri" w:eastAsia="Calibri" w:hAnsi="Calibri"/>
          <w:color w:val="2C2C2C"/>
          <w:sz w:val="22"/>
          <w:szCs w:val="22"/>
        </w:rPr>
        <w:t xml:space="preserve">Designated staff member checks kit every Monday; signs and dates the verification log.</w:t>
      </w:r>
    </w:p>
    <w:p>
      <w:pPr>
        <w:pStyle w:val="ListParagraph"/>
        <w:numPr>
          <w:ilvl w:val="0"/>
          <w:numId w:val="2"/>
        </w:numPr>
        <w:spacing w:after="40" w:before="40" w:line="280"/>
      </w:pPr>
      <w:r>
        <w:rPr>
          <w:rFonts w:ascii="Calibri" w:cs="Calibri" w:eastAsia="Calibri" w:hAnsi="Calibri"/>
          <w:color w:val="2C2C2C"/>
          <w:sz w:val="22"/>
          <w:szCs w:val="22"/>
        </w:rPr>
        <w:t xml:space="preserve">Medical Director audits kit monthly.</w:t>
      </w:r>
    </w:p>
    <w:p>
      <w:pPr>
        <w:pStyle w:val="ListParagraph"/>
        <w:numPr>
          <w:ilvl w:val="0"/>
          <w:numId w:val="2"/>
        </w:numPr>
        <w:spacing w:after="40" w:before="40" w:line="280"/>
      </w:pPr>
      <w:r>
        <w:rPr>
          <w:rFonts w:ascii="Calibri" w:cs="Calibri" w:eastAsia="Calibri" w:hAnsi="Calibri"/>
          <w:color w:val="2C2C2C"/>
          <w:sz w:val="22"/>
          <w:szCs w:val="22"/>
        </w:rPr>
        <w:t xml:space="preserve">Any item used or expired is replaced within 24 hours.</w:t>
      </w:r>
    </w:p>
    <w:p>
      <w:pPr>
        <w:pStyle w:val="ListParagraph"/>
        <w:numPr>
          <w:ilvl w:val="0"/>
          <w:numId w:val="2"/>
        </w:numPr>
        <w:spacing w:after="40" w:before="40" w:line="280"/>
      </w:pPr>
      <w:r>
        <w:rPr>
          <w:rFonts w:ascii="Calibri" w:cs="Calibri" w:eastAsia="Calibri" w:hAnsi="Calibri"/>
          <w:color w:val="2C2C2C"/>
          <w:sz w:val="22"/>
          <w:szCs w:val="22"/>
        </w:rPr>
        <w:t xml:space="preserve">Hyaluronidase stock must never fall below 1,500 units total.</w:t>
      </w:r>
    </w:p>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7. Prevention</w:t>
      </w:r>
    </w:p>
    <w:p>
      <w:pPr>
        <w:spacing w:after="60" w:before="60" w:line="300"/>
        <w:jc w:val="left"/>
      </w:pPr>
      <w:r>
        <w:rPr>
          <w:rFonts w:ascii="Calibri" w:cs="Calibri" w:eastAsia="Calibri" w:hAnsi="Calibri"/>
          <w:color w:val="2C2C2C"/>
          <w:sz w:val="22"/>
          <w:szCs w:val="22"/>
        </w:rPr>
        <w:t xml:space="preserve">The best vascular occlusion is the one that never happens. The following techniques significantly reduce — but never eliminate — risk.</w:t>
      </w:r>
    </w:p>
    <w:p>
      <w:pPr>
        <w:pStyle w:val="Heading2"/>
        <w:spacing w:after="140" w:before="280"/>
      </w:pPr>
      <w:r>
        <w:rPr>
          <w:rFonts w:ascii="Calibri" w:cs="Calibri" w:eastAsia="Calibri" w:hAnsi="Calibri"/>
          <w:b/>
          <w:bCs/>
          <w:color w:val="1F3A5F"/>
          <w:sz w:val="28"/>
          <w:szCs w:val="28"/>
        </w:rPr>
        <w:t xml:space="preserve">7.1 Pre-Procedure</w:t>
      </w:r>
    </w:p>
    <w:p>
      <w:pPr>
        <w:pStyle w:val="ListParagraph"/>
        <w:numPr>
          <w:ilvl w:val="0"/>
          <w:numId w:val="2"/>
        </w:numPr>
        <w:spacing w:after="40" w:before="40" w:line="280"/>
      </w:pPr>
      <w:r>
        <w:rPr>
          <w:rFonts w:ascii="Calibri" w:cs="Calibri" w:eastAsia="Calibri" w:hAnsi="Calibri"/>
          <w:color w:val="2C2C2C"/>
          <w:sz w:val="22"/>
          <w:szCs w:val="22"/>
        </w:rPr>
        <w:t xml:space="preserve">Comprehensive consultation including specific consent for VO risk.</w:t>
      </w:r>
    </w:p>
    <w:p>
      <w:pPr>
        <w:pStyle w:val="ListParagraph"/>
        <w:numPr>
          <w:ilvl w:val="0"/>
          <w:numId w:val="2"/>
        </w:numPr>
        <w:spacing w:after="40" w:before="40" w:line="280"/>
      </w:pPr>
      <w:r>
        <w:rPr>
          <w:rFonts w:ascii="Calibri" w:cs="Calibri" w:eastAsia="Calibri" w:hAnsi="Calibri"/>
          <w:color w:val="2C2C2C"/>
          <w:sz w:val="22"/>
          <w:szCs w:val="22"/>
        </w:rPr>
        <w:t xml:space="preserve">Photographic documentation of pre-treatment anatomy.</w:t>
      </w:r>
    </w:p>
    <w:p>
      <w:pPr>
        <w:pStyle w:val="ListParagraph"/>
        <w:numPr>
          <w:ilvl w:val="0"/>
          <w:numId w:val="2"/>
        </w:numPr>
        <w:spacing w:after="40" w:before="40" w:line="280"/>
      </w:pPr>
      <w:r>
        <w:rPr>
          <w:rFonts w:ascii="Calibri" w:cs="Calibri" w:eastAsia="Calibri" w:hAnsi="Calibri"/>
          <w:color w:val="2C2C2C"/>
          <w:sz w:val="22"/>
          <w:szCs w:val="22"/>
        </w:rPr>
        <w:t xml:space="preserve">Review of medications: anticoagulants, NSAIDs, immunosuppressants.</w:t>
      </w:r>
    </w:p>
    <w:p>
      <w:pPr>
        <w:pStyle w:val="ListParagraph"/>
        <w:numPr>
          <w:ilvl w:val="0"/>
          <w:numId w:val="2"/>
        </w:numPr>
        <w:spacing w:after="40" w:before="40" w:line="280"/>
      </w:pPr>
      <w:r>
        <w:rPr>
          <w:rFonts w:ascii="Calibri" w:cs="Calibri" w:eastAsia="Calibri" w:hAnsi="Calibri"/>
          <w:color w:val="2C2C2C"/>
          <w:sz w:val="22"/>
          <w:szCs w:val="22"/>
        </w:rPr>
        <w:t xml:space="preserve">Verify no active infection, herpes simplex outbreak, or recent dental work in field.</w:t>
      </w:r>
    </w:p>
    <w:p>
      <w:pPr>
        <w:pStyle w:val="ListParagraph"/>
        <w:numPr>
          <w:ilvl w:val="0"/>
          <w:numId w:val="2"/>
        </w:numPr>
        <w:spacing w:after="40" w:before="40" w:line="280"/>
      </w:pPr>
      <w:r>
        <w:rPr>
          <w:rFonts w:ascii="Calibri" w:cs="Calibri" w:eastAsia="Calibri" w:hAnsi="Calibri"/>
          <w:color w:val="2C2C2C"/>
          <w:sz w:val="22"/>
          <w:szCs w:val="22"/>
        </w:rPr>
        <w:t xml:space="preserve">Patient education on warning signs to report (any pain, color change, or vision change).</w:t>
      </w:r>
    </w:p>
    <w:p>
      <w:pPr>
        <w:pStyle w:val="ListParagraph"/>
        <w:numPr>
          <w:ilvl w:val="0"/>
          <w:numId w:val="2"/>
        </w:numPr>
        <w:spacing w:after="40" w:before="40" w:line="280"/>
      </w:pPr>
      <w:r>
        <w:rPr>
          <w:rFonts w:ascii="Calibri" w:cs="Calibri" w:eastAsia="Calibri" w:hAnsi="Calibri"/>
          <w:color w:val="2C2C2C"/>
          <w:sz w:val="22"/>
          <w:szCs w:val="22"/>
        </w:rPr>
        <w:t xml:space="preserve">Confirm product, lot, expiration; mark site; review anatomy.</w:t>
      </w:r>
    </w:p>
    <w:p>
      <w:pPr>
        <w:pStyle w:val="Heading2"/>
        <w:spacing w:after="140" w:before="280"/>
      </w:pPr>
      <w:r>
        <w:rPr>
          <w:rFonts w:ascii="Calibri" w:cs="Calibri" w:eastAsia="Calibri" w:hAnsi="Calibri"/>
          <w:b/>
          <w:bCs/>
          <w:color w:val="1F3A5F"/>
          <w:sz w:val="28"/>
          <w:szCs w:val="28"/>
        </w:rPr>
        <w:t xml:space="preserve">7.2 Intra-Procedure — Best Practices</w:t>
      </w:r>
    </w:p>
    <w:p>
      <w:pPr>
        <w:pStyle w:val="ListParagraph"/>
        <w:numPr>
          <w:ilvl w:val="0"/>
          <w:numId w:val="2"/>
        </w:numPr>
        <w:spacing w:after="40" w:before="40" w:line="280"/>
      </w:pPr>
      <w:r>
        <w:rPr>
          <w:rFonts w:ascii="Calibri" w:cs="Calibri" w:eastAsia="Calibri" w:hAnsi="Calibri"/>
          <w:b/>
          <w:bCs/>
          <w:color w:val="2C2C2C"/>
          <w:sz w:val="22"/>
          <w:szCs w:val="22"/>
        </w:rPr>
        <w:t xml:space="preserve">Know the anatomy. </w:t>
      </w:r>
      <w:r>
        <w:rPr>
          <w:rFonts w:ascii="Calibri" w:cs="Calibri" w:eastAsia="Calibri" w:hAnsi="Calibri"/>
          <w:color w:val="2C2C2C"/>
          <w:sz w:val="22"/>
          <w:szCs w:val="22"/>
        </w:rPr>
        <w:t xml:space="preserve">Map vessels mentally before every injection.</w:t>
      </w:r>
    </w:p>
    <w:p>
      <w:pPr>
        <w:pStyle w:val="ListParagraph"/>
        <w:numPr>
          <w:ilvl w:val="0"/>
          <w:numId w:val="2"/>
        </w:numPr>
        <w:spacing w:after="40" w:before="40" w:line="280"/>
      </w:pPr>
      <w:r>
        <w:rPr>
          <w:rFonts w:ascii="Calibri" w:cs="Calibri" w:eastAsia="Calibri" w:hAnsi="Calibri"/>
          <w:b/>
          <w:bCs/>
          <w:color w:val="2C2C2C"/>
          <w:sz w:val="22"/>
          <w:szCs w:val="22"/>
        </w:rPr>
        <w:t xml:space="preserve">Use cannulas (25G blunt) </w:t>
      </w:r>
      <w:r>
        <w:rPr>
          <w:rFonts w:ascii="Calibri" w:cs="Calibri" w:eastAsia="Calibri" w:hAnsi="Calibri"/>
          <w:color w:val="2C2C2C"/>
          <w:sz w:val="22"/>
          <w:szCs w:val="22"/>
        </w:rPr>
        <w:t xml:space="preserve">in all high-risk zones whenever feasible.</w:t>
      </w:r>
    </w:p>
    <w:p>
      <w:pPr>
        <w:pStyle w:val="ListParagraph"/>
        <w:numPr>
          <w:ilvl w:val="0"/>
          <w:numId w:val="2"/>
        </w:numPr>
        <w:spacing w:after="40" w:before="40" w:line="280"/>
      </w:pPr>
      <w:r>
        <w:rPr>
          <w:rFonts w:ascii="Calibri" w:cs="Calibri" w:eastAsia="Calibri" w:hAnsi="Calibri"/>
          <w:b/>
          <w:bCs/>
          <w:color w:val="2C2C2C"/>
          <w:sz w:val="22"/>
          <w:szCs w:val="22"/>
        </w:rPr>
        <w:t xml:space="preserve">Aspirate </w:t>
      </w:r>
      <w:r>
        <w:rPr>
          <w:rFonts w:ascii="Calibri" w:cs="Calibri" w:eastAsia="Calibri" w:hAnsi="Calibri"/>
          <w:color w:val="2C2C2C"/>
          <w:sz w:val="22"/>
          <w:szCs w:val="22"/>
        </w:rPr>
        <w:t xml:space="preserve">for 5–10 seconds before every bolus; negative aspiration is reassuring but not definitive.</w:t>
      </w:r>
    </w:p>
    <w:p>
      <w:pPr>
        <w:pStyle w:val="ListParagraph"/>
        <w:numPr>
          <w:ilvl w:val="0"/>
          <w:numId w:val="2"/>
        </w:numPr>
        <w:spacing w:after="40" w:before="40" w:line="280"/>
      </w:pPr>
      <w:r>
        <w:rPr>
          <w:rFonts w:ascii="Calibri" w:cs="Calibri" w:eastAsia="Calibri" w:hAnsi="Calibri"/>
          <w:b/>
          <w:bCs/>
          <w:color w:val="2C2C2C"/>
          <w:sz w:val="22"/>
          <w:szCs w:val="22"/>
        </w:rPr>
        <w:t xml:space="preserve">Inject slowly: </w:t>
      </w:r>
      <w:r>
        <w:rPr>
          <w:rFonts w:ascii="Calibri" w:cs="Calibri" w:eastAsia="Calibri" w:hAnsi="Calibri"/>
          <w:color w:val="2C2C2C"/>
          <w:sz w:val="22"/>
          <w:szCs w:val="22"/>
        </w:rPr>
        <w:t xml:space="preserve">&lt; 0.3 mL per pass, low pressure.</w:t>
      </w:r>
    </w:p>
    <w:p>
      <w:pPr>
        <w:pStyle w:val="ListParagraph"/>
        <w:numPr>
          <w:ilvl w:val="0"/>
          <w:numId w:val="2"/>
        </w:numPr>
        <w:spacing w:after="40" w:before="40" w:line="280"/>
      </w:pPr>
      <w:r>
        <w:rPr>
          <w:rFonts w:ascii="Calibri" w:cs="Calibri" w:eastAsia="Calibri" w:hAnsi="Calibri"/>
          <w:b/>
          <w:bCs/>
          <w:color w:val="2C2C2C"/>
          <w:sz w:val="22"/>
          <w:szCs w:val="22"/>
        </w:rPr>
        <w:t xml:space="preserve">Inject in motion </w:t>
      </w:r>
      <w:r>
        <w:rPr>
          <w:rFonts w:ascii="Calibri" w:cs="Calibri" w:eastAsia="Calibri" w:hAnsi="Calibri"/>
          <w:color w:val="2C2C2C"/>
          <w:sz w:val="22"/>
          <w:szCs w:val="22"/>
        </w:rPr>
        <w:t xml:space="preserve">with retrograde technique (sharp needle) or fanning (cannula).</w:t>
      </w:r>
    </w:p>
    <w:p>
      <w:pPr>
        <w:pStyle w:val="ListParagraph"/>
        <w:numPr>
          <w:ilvl w:val="0"/>
          <w:numId w:val="2"/>
        </w:numPr>
        <w:spacing w:after="40" w:before="40" w:line="280"/>
      </w:pPr>
      <w:r>
        <w:rPr>
          <w:rFonts w:ascii="Calibri" w:cs="Calibri" w:eastAsia="Calibri" w:hAnsi="Calibri"/>
          <w:b/>
          <w:bCs/>
          <w:color w:val="2C2C2C"/>
          <w:sz w:val="22"/>
          <w:szCs w:val="22"/>
        </w:rPr>
        <w:t xml:space="preserve">Use the smallest effective volume </w:t>
      </w:r>
      <w:r>
        <w:rPr>
          <w:rFonts w:ascii="Calibri" w:cs="Calibri" w:eastAsia="Calibri" w:hAnsi="Calibri"/>
          <w:color w:val="2C2C2C"/>
          <w:sz w:val="22"/>
          <w:szCs w:val="22"/>
        </w:rPr>
        <w:t xml:space="preserve">— more is rarely better in high-risk zones.</w:t>
      </w:r>
    </w:p>
    <w:p>
      <w:pPr>
        <w:pStyle w:val="ListParagraph"/>
        <w:numPr>
          <w:ilvl w:val="0"/>
          <w:numId w:val="2"/>
        </w:numPr>
        <w:spacing w:after="40" w:before="40" w:line="280"/>
      </w:pPr>
      <w:r>
        <w:rPr>
          <w:rFonts w:ascii="Calibri" w:cs="Calibri" w:eastAsia="Calibri" w:hAnsi="Calibri"/>
          <w:b/>
          <w:bCs/>
          <w:color w:val="2C2C2C"/>
          <w:sz w:val="22"/>
          <w:szCs w:val="22"/>
        </w:rPr>
        <w:t xml:space="preserve">Stay in the correct plane: </w:t>
      </w:r>
      <w:r>
        <w:rPr>
          <w:rFonts w:ascii="Calibri" w:cs="Calibri" w:eastAsia="Calibri" w:hAnsi="Calibri"/>
          <w:color w:val="2C2C2C"/>
          <w:sz w:val="22"/>
          <w:szCs w:val="22"/>
        </w:rPr>
        <w:t xml:space="preserve">supraperiosteal in midface, subdermal in lips, never deep glabella.</w:t>
      </w:r>
    </w:p>
    <w:p>
      <w:pPr>
        <w:pStyle w:val="ListParagraph"/>
        <w:numPr>
          <w:ilvl w:val="0"/>
          <w:numId w:val="2"/>
        </w:numPr>
        <w:spacing w:after="40" w:before="40" w:line="280"/>
      </w:pPr>
      <w:r>
        <w:rPr>
          <w:rFonts w:ascii="Calibri" w:cs="Calibri" w:eastAsia="Calibri" w:hAnsi="Calibri"/>
          <w:b/>
          <w:bCs/>
          <w:color w:val="2C2C2C"/>
          <w:sz w:val="22"/>
          <w:szCs w:val="22"/>
        </w:rPr>
        <w:t xml:space="preserve">Maintain visual contact with the skin </w:t>
      </w:r>
      <w:r>
        <w:rPr>
          <w:rFonts w:ascii="Calibri" w:cs="Calibri" w:eastAsia="Calibri" w:hAnsi="Calibri"/>
          <w:color w:val="2C2C2C"/>
          <w:sz w:val="22"/>
          <w:szCs w:val="22"/>
        </w:rPr>
        <w:t xml:space="preserve">throughout the injection — blanching is detected by looking.</w:t>
      </w:r>
    </w:p>
    <w:p>
      <w:pPr>
        <w:pStyle w:val="ListParagraph"/>
        <w:numPr>
          <w:ilvl w:val="0"/>
          <w:numId w:val="2"/>
        </w:numPr>
        <w:spacing w:after="40" w:before="40" w:line="280"/>
      </w:pPr>
      <w:r>
        <w:rPr>
          <w:rFonts w:ascii="Calibri" w:cs="Calibri" w:eastAsia="Calibri" w:hAnsi="Calibri"/>
          <w:b/>
          <w:bCs/>
          <w:color w:val="2C2C2C"/>
          <w:sz w:val="22"/>
          <w:szCs w:val="22"/>
        </w:rPr>
        <w:t xml:space="preserve">Reposition or aspirate </w:t>
      </w:r>
      <w:r>
        <w:rPr>
          <w:rFonts w:ascii="Calibri" w:cs="Calibri" w:eastAsia="Calibri" w:hAnsi="Calibri"/>
          <w:color w:val="2C2C2C"/>
          <w:sz w:val="22"/>
          <w:szCs w:val="22"/>
        </w:rPr>
        <w:t xml:space="preserve">if you feel any resistance change or the patient reports pain.</w:t>
      </w:r>
    </w:p>
    <w:p>
      <w:pPr>
        <w:pStyle w:val="Heading2"/>
        <w:spacing w:after="140" w:before="280"/>
      </w:pPr>
      <w:r>
        <w:rPr>
          <w:rFonts w:ascii="Calibri" w:cs="Calibri" w:eastAsia="Calibri" w:hAnsi="Calibri"/>
          <w:b/>
          <w:bCs/>
          <w:color w:val="1F3A5F"/>
          <w:sz w:val="28"/>
          <w:szCs w:val="28"/>
        </w:rPr>
        <w:t xml:space="preserve">7.3 Post-Procedure</w:t>
      </w:r>
    </w:p>
    <w:p>
      <w:pPr>
        <w:pStyle w:val="ListParagraph"/>
        <w:numPr>
          <w:ilvl w:val="0"/>
          <w:numId w:val="2"/>
        </w:numPr>
        <w:spacing w:after="40" w:before="40" w:line="280"/>
      </w:pPr>
      <w:r>
        <w:rPr>
          <w:rFonts w:ascii="Calibri" w:cs="Calibri" w:eastAsia="Calibri" w:hAnsi="Calibri"/>
          <w:color w:val="2C2C2C"/>
          <w:sz w:val="22"/>
          <w:szCs w:val="22"/>
        </w:rPr>
        <w:t xml:space="preserve">Inspect the entire treated area for blanching and asymmetric color before patient is discharged.</w:t>
      </w:r>
    </w:p>
    <w:p>
      <w:pPr>
        <w:pStyle w:val="ListParagraph"/>
        <w:numPr>
          <w:ilvl w:val="0"/>
          <w:numId w:val="2"/>
        </w:numPr>
        <w:spacing w:after="40" w:before="40" w:line="280"/>
      </w:pPr>
      <w:r>
        <w:rPr>
          <w:rFonts w:ascii="Calibri" w:cs="Calibri" w:eastAsia="Calibri" w:hAnsi="Calibri"/>
          <w:color w:val="2C2C2C"/>
          <w:sz w:val="22"/>
          <w:szCs w:val="22"/>
        </w:rPr>
        <w:t xml:space="preserve">Provide written aftercare with VO warning signs in plain language.</w:t>
      </w:r>
    </w:p>
    <w:p>
      <w:pPr>
        <w:pStyle w:val="ListParagraph"/>
        <w:numPr>
          <w:ilvl w:val="0"/>
          <w:numId w:val="2"/>
        </w:numPr>
        <w:spacing w:after="40" w:before="40" w:line="280"/>
      </w:pPr>
      <w:r>
        <w:rPr>
          <w:rFonts w:ascii="Calibri" w:cs="Calibri" w:eastAsia="Calibri" w:hAnsi="Calibri"/>
          <w:color w:val="2C2C2C"/>
          <w:sz w:val="22"/>
          <w:szCs w:val="22"/>
        </w:rPr>
        <w:t xml:space="preserve">Patient must have 24-hour direct contact number for clinical concerns.</w:t>
      </w:r>
    </w:p>
    <w:p>
      <w:pPr>
        <w:pStyle w:val="ListParagraph"/>
        <w:numPr>
          <w:ilvl w:val="0"/>
          <w:numId w:val="2"/>
        </w:numPr>
        <w:spacing w:after="40" w:before="40" w:line="280"/>
      </w:pPr>
      <w:r>
        <w:rPr>
          <w:rFonts w:ascii="Calibri" w:cs="Calibri" w:eastAsia="Calibri" w:hAnsi="Calibri"/>
          <w:color w:val="2C2C2C"/>
          <w:sz w:val="22"/>
          <w:szCs w:val="22"/>
        </w:rPr>
        <w:t xml:space="preserve">Schedule follow-up call within 24–48 hours for higher-risk treatments.</w:t>
      </w:r>
    </w:p>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8. Documentation Requirements</w:t>
      </w:r>
    </w:p>
    <w:p>
      <w:pPr>
        <w:spacing w:after="60" w:before="60" w:line="300"/>
        <w:jc w:val="left"/>
      </w:pPr>
      <w:r>
        <w:rPr>
          <w:rFonts w:ascii="Calibri" w:cs="Calibri" w:eastAsia="Calibri" w:hAnsi="Calibri"/>
          <w:color w:val="2C2C2C"/>
          <w:sz w:val="22"/>
          <w:szCs w:val="22"/>
        </w:rPr>
        <w:t xml:space="preserve">Complete documentation is essential for clinical care, quality improvement, and medico-legal protection. The following must be completed for every VO event.</w:t>
      </w:r>
    </w:p>
    <w:p>
      <w:pPr>
        <w:pStyle w:val="Heading2"/>
        <w:spacing w:after="140" w:before="280"/>
      </w:pPr>
      <w:r>
        <w:rPr>
          <w:rFonts w:ascii="Calibri" w:cs="Calibri" w:eastAsia="Calibri" w:hAnsi="Calibri"/>
          <w:b/>
          <w:bCs/>
          <w:color w:val="1F3A5F"/>
          <w:sz w:val="28"/>
          <w:szCs w:val="28"/>
        </w:rPr>
        <w:t xml:space="preserve">8.1 Required Elements</w:t>
      </w:r>
    </w:p>
    <w:p>
      <w:pPr>
        <w:pStyle w:val="ListParagraph"/>
        <w:numPr>
          <w:ilvl w:val="0"/>
          <w:numId w:val="3"/>
        </w:numPr>
        <w:spacing w:after="60" w:before="60" w:line="280"/>
      </w:pPr>
      <w:r>
        <w:rPr>
          <w:rFonts w:ascii="Calibri" w:cs="Calibri" w:eastAsia="Calibri" w:hAnsi="Calibri"/>
          <w:color w:val="2C2C2C"/>
          <w:sz w:val="22"/>
          <w:szCs w:val="22"/>
        </w:rPr>
        <w:t xml:space="preserve">Date, time of onset, and time of recognition (separately).</w:t>
      </w:r>
    </w:p>
    <w:p>
      <w:pPr>
        <w:pStyle w:val="ListParagraph"/>
        <w:numPr>
          <w:ilvl w:val="0"/>
          <w:numId w:val="3"/>
        </w:numPr>
        <w:spacing w:after="60" w:before="60" w:line="280"/>
      </w:pPr>
      <w:r>
        <w:rPr>
          <w:rFonts w:ascii="Calibri" w:cs="Calibri" w:eastAsia="Calibri" w:hAnsi="Calibri"/>
          <w:color w:val="2C2C2C"/>
          <w:sz w:val="22"/>
          <w:szCs w:val="22"/>
        </w:rPr>
        <w:t xml:space="preserve">Procedure details: product, lot number, volume, location, needle vs cannula.</w:t>
      </w:r>
    </w:p>
    <w:p>
      <w:pPr>
        <w:pStyle w:val="ListParagraph"/>
        <w:numPr>
          <w:ilvl w:val="0"/>
          <w:numId w:val="3"/>
        </w:numPr>
        <w:spacing w:after="60" w:before="60" w:line="280"/>
      </w:pPr>
      <w:r>
        <w:rPr>
          <w:rFonts w:ascii="Calibri" w:cs="Calibri" w:eastAsia="Calibri" w:hAnsi="Calibri"/>
          <w:color w:val="2C2C2C"/>
          <w:sz w:val="22"/>
          <w:szCs w:val="22"/>
        </w:rPr>
        <w:t xml:space="preserve">Clinical findings at recognition (photo, narrative, location, distribution).</w:t>
      </w:r>
    </w:p>
    <w:p>
      <w:pPr>
        <w:pStyle w:val="ListParagraph"/>
        <w:numPr>
          <w:ilvl w:val="0"/>
          <w:numId w:val="3"/>
        </w:numPr>
        <w:spacing w:after="60" w:before="60" w:line="280"/>
      </w:pPr>
      <w:r>
        <w:rPr>
          <w:rFonts w:ascii="Calibri" w:cs="Calibri" w:eastAsia="Calibri" w:hAnsi="Calibri"/>
          <w:color w:val="2C2C2C"/>
          <w:sz w:val="22"/>
          <w:szCs w:val="22"/>
        </w:rPr>
        <w:t xml:space="preserve">All interventions with time stamps: dose of hyaluronidase, sites, additional therapies.</w:t>
      </w:r>
    </w:p>
    <w:p>
      <w:pPr>
        <w:pStyle w:val="ListParagraph"/>
        <w:numPr>
          <w:ilvl w:val="0"/>
          <w:numId w:val="3"/>
        </w:numPr>
        <w:spacing w:after="60" w:before="60" w:line="280"/>
      </w:pPr>
      <w:r>
        <w:rPr>
          <w:rFonts w:ascii="Calibri" w:cs="Calibri" w:eastAsia="Calibri" w:hAnsi="Calibri"/>
          <w:color w:val="2C2C2C"/>
          <w:sz w:val="22"/>
          <w:szCs w:val="22"/>
        </w:rPr>
        <w:t xml:space="preserve">Response to each intervention at 60 minutes.</w:t>
      </w:r>
    </w:p>
    <w:p>
      <w:pPr>
        <w:pStyle w:val="ListParagraph"/>
        <w:numPr>
          <w:ilvl w:val="0"/>
          <w:numId w:val="3"/>
        </w:numPr>
        <w:spacing w:after="60" w:before="60" w:line="280"/>
      </w:pPr>
      <w:r>
        <w:rPr>
          <w:rFonts w:ascii="Calibri" w:cs="Calibri" w:eastAsia="Calibri" w:hAnsi="Calibri"/>
          <w:color w:val="2C2C2C"/>
          <w:sz w:val="22"/>
          <w:szCs w:val="22"/>
        </w:rPr>
        <w:t xml:space="preserve">Communications: Medical Director notified at [time], patient consent for treatment, family notification, EMS activation if applicable.</w:t>
      </w:r>
    </w:p>
    <w:p>
      <w:pPr>
        <w:pStyle w:val="ListParagraph"/>
        <w:numPr>
          <w:ilvl w:val="0"/>
          <w:numId w:val="3"/>
        </w:numPr>
        <w:spacing w:after="60" w:before="60" w:line="280"/>
      </w:pPr>
      <w:r>
        <w:rPr>
          <w:rFonts w:ascii="Calibri" w:cs="Calibri" w:eastAsia="Calibri" w:hAnsi="Calibri"/>
          <w:color w:val="2C2C2C"/>
          <w:sz w:val="22"/>
          <w:szCs w:val="22"/>
        </w:rPr>
        <w:t xml:space="preserve">Disposition: discharged home, transferred to ER, admitted.</w:t>
      </w:r>
    </w:p>
    <w:p>
      <w:pPr>
        <w:pStyle w:val="ListParagraph"/>
        <w:numPr>
          <w:ilvl w:val="0"/>
          <w:numId w:val="3"/>
        </w:numPr>
        <w:spacing w:after="60" w:before="60" w:line="280"/>
      </w:pPr>
      <w:r>
        <w:rPr>
          <w:rFonts w:ascii="Calibri" w:cs="Calibri" w:eastAsia="Calibri" w:hAnsi="Calibri"/>
          <w:color w:val="2C2C2C"/>
          <w:sz w:val="22"/>
          <w:szCs w:val="22"/>
        </w:rPr>
        <w:t xml:space="preserve">Follow-up plan with appointments scheduled.</w:t>
      </w:r>
    </w:p>
    <w:p>
      <w:pPr>
        <w:pStyle w:val="Heading2"/>
        <w:spacing w:after="140" w:before="280"/>
      </w:pPr>
      <w:r>
        <w:rPr>
          <w:rFonts w:ascii="Calibri" w:cs="Calibri" w:eastAsia="Calibri" w:hAnsi="Calibri"/>
          <w:b/>
          <w:bCs/>
          <w:color w:val="1F3A5F"/>
          <w:sz w:val="28"/>
          <w:szCs w:val="28"/>
        </w:rPr>
        <w:t xml:space="preserve">8.2 Photography Standards</w:t>
      </w:r>
    </w:p>
    <w:p>
      <w:pPr>
        <w:pStyle w:val="ListParagraph"/>
        <w:numPr>
          <w:ilvl w:val="0"/>
          <w:numId w:val="2"/>
        </w:numPr>
        <w:spacing w:after="40" w:before="40" w:line="280"/>
      </w:pPr>
      <w:r>
        <w:rPr>
          <w:rFonts w:ascii="Calibri" w:cs="Calibri" w:eastAsia="Calibri" w:hAnsi="Calibri"/>
          <w:color w:val="2C2C2C"/>
          <w:sz w:val="22"/>
          <w:szCs w:val="22"/>
        </w:rPr>
        <w:t xml:space="preserve">Standardized lighting, distance, and angle.</w:t>
      </w:r>
    </w:p>
    <w:p>
      <w:pPr>
        <w:pStyle w:val="ListParagraph"/>
        <w:numPr>
          <w:ilvl w:val="0"/>
          <w:numId w:val="2"/>
        </w:numPr>
        <w:spacing w:after="40" w:before="40" w:line="280"/>
      </w:pPr>
      <w:r>
        <w:rPr>
          <w:rFonts w:ascii="Calibri" w:cs="Calibri" w:eastAsia="Calibri" w:hAnsi="Calibri"/>
          <w:color w:val="2C2C2C"/>
          <w:sz w:val="22"/>
          <w:szCs w:val="22"/>
        </w:rPr>
        <w:t xml:space="preserve">Include date/time stamp and patient identifier.</w:t>
      </w:r>
    </w:p>
    <w:p>
      <w:pPr>
        <w:pStyle w:val="ListParagraph"/>
        <w:numPr>
          <w:ilvl w:val="0"/>
          <w:numId w:val="2"/>
        </w:numPr>
        <w:spacing w:after="40" w:before="40" w:line="280"/>
      </w:pPr>
      <w:r>
        <w:rPr>
          <w:rFonts w:ascii="Calibri" w:cs="Calibri" w:eastAsia="Calibri" w:hAnsi="Calibri"/>
          <w:color w:val="2C2C2C"/>
          <w:sz w:val="22"/>
          <w:szCs w:val="22"/>
        </w:rPr>
        <w:t xml:space="preserve">Capture affected area + contralateral side for comparison.</w:t>
      </w:r>
    </w:p>
    <w:p>
      <w:pPr>
        <w:pStyle w:val="ListParagraph"/>
        <w:numPr>
          <w:ilvl w:val="0"/>
          <w:numId w:val="2"/>
        </w:numPr>
        <w:spacing w:after="40" w:before="40" w:line="280"/>
      </w:pPr>
      <w:r>
        <w:rPr>
          <w:rFonts w:ascii="Calibri" w:cs="Calibri" w:eastAsia="Calibri" w:hAnsi="Calibri"/>
          <w:color w:val="2C2C2C"/>
          <w:sz w:val="22"/>
          <w:szCs w:val="22"/>
        </w:rPr>
        <w:t xml:space="preserve">Photographs at minimum: recognition, 1 h, 4 h, 24 h, 48 h, 72 h, 1 week.</w:t>
      </w:r>
    </w:p>
    <w:p>
      <w:pPr>
        <w:pStyle w:val="ListParagraph"/>
        <w:numPr>
          <w:ilvl w:val="0"/>
          <w:numId w:val="2"/>
        </w:numPr>
        <w:spacing w:after="40" w:before="40" w:line="280"/>
      </w:pPr>
      <w:r>
        <w:rPr>
          <w:rFonts w:ascii="Calibri" w:cs="Calibri" w:eastAsia="Calibri" w:hAnsi="Calibri"/>
          <w:color w:val="2C2C2C"/>
          <w:sz w:val="22"/>
          <w:szCs w:val="22"/>
        </w:rPr>
        <w:t xml:space="preserve">Store in patient chart with appropriate consent and HIPAA safeguards.</w:t>
      </w:r>
    </w:p>
    <w:p>
      <w:pPr>
        <w:pStyle w:val="Heading2"/>
        <w:spacing w:after="140" w:before="280"/>
      </w:pPr>
      <w:r>
        <w:rPr>
          <w:rFonts w:ascii="Calibri" w:cs="Calibri" w:eastAsia="Calibri" w:hAnsi="Calibri"/>
          <w:b/>
          <w:bCs/>
          <w:color w:val="1F3A5F"/>
          <w:sz w:val="28"/>
          <w:szCs w:val="28"/>
        </w:rPr>
        <w:t xml:space="preserve">8.3 Incident Report</w:t>
      </w:r>
    </w:p>
    <w:p>
      <w:pPr>
        <w:spacing w:after="60" w:before="60" w:line="300"/>
        <w:jc w:val="left"/>
      </w:pPr>
      <w:r>
        <w:rPr>
          <w:rFonts w:ascii="Calibri" w:cs="Calibri" w:eastAsia="Calibri" w:hAnsi="Calibri"/>
          <w:color w:val="2C2C2C"/>
          <w:sz w:val="22"/>
          <w:szCs w:val="22"/>
        </w:rPr>
        <w:t xml:space="preserve">An internal incident report is required within 24 hours of any suspected VO event, regardless of outcome. Reports support quality improvement and are reviewed in monthly clinical meetings.</w:t>
      </w:r>
    </w:p>
    <w:p>
      <w:r>
        <w:br w:type="page"/>
      </w:r>
    </w:p>
    <w:p>
      <w:pPr>
        <w:pStyle w:val="Heading1"/>
        <w:pBdr>
          <w:bottom w:val="single" w:color="8B0000" w:sz="12" w:space="4"/>
        </w:pBdr>
        <w:spacing w:after="180" w:before="360"/>
      </w:pPr>
      <w:r>
        <w:rPr>
          <w:rFonts w:ascii="Calibri" w:cs="Calibri" w:eastAsia="Calibri" w:hAnsi="Calibri"/>
          <w:b/>
          <w:bCs/>
          <w:color w:val="8B0000"/>
          <w:sz w:val="36"/>
          <w:szCs w:val="36"/>
        </w:rPr>
        <w:t xml:space="preserve">9.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0000" w:sz="16"/>
              <w:left w:val="single" w:color="7F0000" w:sz="16"/>
              <w:bottom w:val="single" w:color="7F0000" w:sz="16"/>
              <w:right w:val="single" w:color="7F0000" w:sz="16"/>
            </w:tcBorders>
            <w:shd w:fill="8B0000" w:val="clear"/>
            <w:tcMar>
              <w:top w:type="dxa" w:w="160"/>
              <w:left w:type="dxa" w:w="200"/>
              <w:bottom w:type="dxa" w:w="160"/>
              <w:right w:type="dxa" w:w="200"/>
            </w:tcMar>
          </w:tcPr>
          <w:p>
            <w:pPr>
              <w:spacing w:after="80" w:before="60"/>
            </w:pPr>
            <w:r>
              <w:rPr>
                <w:rFonts w:ascii="Calibri" w:cs="Calibri" w:eastAsia="Calibri" w:hAnsi="Calibri"/>
                <w:b/>
                <w:bCs/>
                <w:color w:val="FFFFFF"/>
                <w:sz w:val="24"/>
                <w:szCs w:val="24"/>
              </w:rPr>
              <w:t xml:space="preserve">🚨 Activate EMS for any suspected stroke, vision loss, or anaphylaxis</w:t>
            </w:r>
          </w:p>
          <w:p>
            <w:pPr>
              <w:spacing w:after="40" w:before="40" w:line="280"/>
            </w:pPr>
            <w:r>
              <w:rPr>
                <w:rFonts w:ascii="Calibri" w:cs="Calibri" w:eastAsia="Calibri" w:hAnsi="Calibri"/>
                <w:color w:val="FFFFFF"/>
                <w:sz w:val="22"/>
                <w:szCs w:val="22"/>
              </w:rPr>
              <w:t xml:space="preserve">Call 911 — Identify yourself, location, and the words "vascular emergency, possible filler embolism."</w:t>
            </w:r>
          </w:p>
        </w:tc>
      </w:tr>
    </w:tbl>
    <w:p>
      <w:pPr>
        <w:pStyle w:val="Heading2"/>
        <w:spacing w:after="140" w:before="280"/>
      </w:pPr>
      <w:r>
        <w:rPr>
          <w:rFonts w:ascii="Calibri" w:cs="Calibri" w:eastAsia="Calibri" w:hAnsi="Calibri"/>
          <w:b/>
          <w:bCs/>
          <w:color w:val="1F3A5F"/>
          <w:sz w:val="28"/>
          <w:szCs w:val="28"/>
        </w:rPr>
        <w:t xml:space="preserve">9.1 Internal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Role</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Name</w:t>
            </w:r>
          </w:p>
        </w:tc>
        <w:tc>
          <w:tcPr>
            <w:tcW w:type="dxa" w:w="39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Contact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Medical Director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Alyosius Fobi, MD</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[Mobile] · [Email]</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Lead Injector</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Kiem Vukadinovic, NP</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[Mobile] · [Email]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Practice Manager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[Name]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[Mobile] · [Email]</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On-call Nurse Line</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24/7</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[Number]</w:t>
            </w:r>
          </w:p>
        </w:tc>
      </w:tr>
    </w:tbl>
    <w:p>
      <w:pPr>
        <w:pStyle w:val="Heading2"/>
        <w:spacing w:after="140" w:before="280"/>
      </w:pPr>
      <w:r>
        <w:rPr>
          <w:rFonts w:ascii="Calibri" w:cs="Calibri" w:eastAsia="Calibri" w:hAnsi="Calibri"/>
          <w:b/>
          <w:bCs/>
          <w:color w:val="1F3A5F"/>
          <w:sz w:val="28"/>
          <w:szCs w:val="28"/>
        </w:rPr>
        <w:t xml:space="preserve">9.2 External Referrals — San Jose &amp; San Mateo Locations</w:t>
      </w:r>
    </w:p>
    <w:p>
      <w:pPr>
        <w:spacing w:after="60" w:before="60" w:line="300"/>
        <w:jc w:val="left"/>
      </w:pPr>
      <w:r>
        <w:rPr>
          <w:rFonts w:ascii="Calibri" w:cs="Calibri" w:eastAsia="Calibri" w:hAnsi="Calibri"/>
          <w:b/>
          <w:bCs/>
          <w:color w:val="2C2C2C"/>
          <w:sz w:val="22"/>
          <w:szCs w:val="22"/>
        </w:rPr>
        <w:t xml:space="preserve">Primary destination for vision-threatening or limb-threatening events: </w:t>
      </w:r>
      <w:r>
        <w:rPr>
          <w:rFonts w:ascii="Calibri" w:cs="Calibri" w:eastAsia="Calibri" w:hAnsi="Calibri"/>
          <w:b/>
          <w:bCs/>
          <w:color w:val="8B0000"/>
          <w:sz w:val="22"/>
          <w:szCs w:val="22"/>
        </w:rPr>
        <w:t xml:space="preserve">Stanford Hospital ED</w:t>
      </w:r>
      <w:r>
        <w:rPr>
          <w:rFonts w:ascii="Calibri" w:cs="Calibri" w:eastAsia="Calibri" w:hAnsi="Calibri"/>
          <w:color w:val="2C2C2C"/>
          <w:sz w:val="22"/>
          <w:szCs w:val="22"/>
        </w:rPr>
        <w:t xml:space="preserve"> — Level 1 Trauma Center co-located with the Byers Eye Institute, serving both San Mateo and Santa Clara counties. Equidistant from both clinic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Service</w:t>
            </w:r>
          </w:p>
        </w:tc>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Facility</w:t>
            </w:r>
          </w:p>
        </w:tc>
        <w:tc>
          <w:tcPr>
            <w:tcW w:type="dxa" w:w="29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Contact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Emergency Dept.</w:t>
            </w:r>
          </w:p>
          <w:p>
            <w:pPr>
              <w:spacing w:after="20" w:before="20"/>
            </w:pPr>
            <w:r>
              <w:rPr>
                <w:rFonts w:ascii="Calibri" w:cs="Calibri" w:eastAsia="Calibri" w:hAnsi="Calibri"/>
                <w:b w:val="false"/>
                <w:bCs w:val="false"/>
                <w:color w:val="2C2C2C"/>
                <w:sz w:val="21"/>
                <w:szCs w:val="21"/>
              </w:rPr>
              <w:t xml:space="preserve">(PRIMARY — has Ophthalmology)</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Stanford Hospital</w:t>
            </w:r>
          </w:p>
          <w:p>
            <w:pPr>
              <w:spacing w:after="20" w:before="20"/>
            </w:pPr>
            <w:r>
              <w:rPr>
                <w:rFonts w:ascii="Calibri" w:cs="Calibri" w:eastAsia="Calibri" w:hAnsi="Calibri"/>
                <w:b w:val="false"/>
                <w:bCs w:val="false"/>
                <w:color w:val="2C2C2C"/>
                <w:sz w:val="21"/>
                <w:szCs w:val="21"/>
              </w:rPr>
              <w:t xml:space="preserve">Marc &amp; Laura Andreessen Adult ED</w:t>
            </w:r>
          </w:p>
          <w:p>
            <w:pPr>
              <w:spacing w:after="20" w:before="20"/>
            </w:pPr>
            <w:r>
              <w:rPr>
                <w:rFonts w:ascii="Calibri" w:cs="Calibri" w:eastAsia="Calibri" w:hAnsi="Calibri"/>
                <w:b w:val="false"/>
                <w:bCs w:val="false"/>
                <w:color w:val="2C2C2C"/>
                <w:sz w:val="21"/>
                <w:szCs w:val="21"/>
              </w:rPr>
              <w:t xml:space="preserve">1199 Welch Rd, Palo Alto, CA 94304</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(650) 723-5111</w:t>
            </w:r>
          </w:p>
          <w:p>
            <w:pPr>
              <w:spacing w:after="20" w:before="20"/>
            </w:pPr>
            <w:r>
              <w:rPr>
                <w:rFonts w:ascii="Calibri" w:cs="Calibri" w:eastAsia="Calibri" w:hAnsi="Calibri"/>
                <w:b w:val="false"/>
                <w:bCs w:val="false"/>
                <w:color w:val="2C2C2C"/>
                <w:sz w:val="21"/>
                <w:szCs w:val="21"/>
              </w:rPr>
              <w:t xml:space="preserve">24/7</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Emergency Dept.</w:t>
            </w:r>
          </w:p>
          <w:p>
            <w:pPr>
              <w:spacing w:after="20" w:before="20"/>
            </w:pPr>
            <w:r>
              <w:rPr>
                <w:rFonts w:ascii="Calibri" w:cs="Calibri" w:eastAsia="Calibri" w:hAnsi="Calibri"/>
                <w:b w:val="false"/>
                <w:bCs w:val="false"/>
                <w:color w:val="2C2C2C"/>
                <w:sz w:val="21"/>
                <w:szCs w:val="21"/>
              </w:rPr>
              <w:t xml:space="preserve">(San Mateo backup)</w:t>
            </w:r>
          </w:p>
        </w:tc>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Mills-Peninsula Medical Center</w:t>
            </w:r>
          </w:p>
          <w:p>
            <w:pPr>
              <w:spacing w:after="20" w:before="20"/>
            </w:pPr>
            <w:r>
              <w:rPr>
                <w:rFonts w:ascii="Calibri" w:cs="Calibri" w:eastAsia="Calibri" w:hAnsi="Calibri"/>
                <w:b w:val="false"/>
                <w:bCs w:val="false"/>
                <w:color w:val="2C2C2C"/>
                <w:sz w:val="21"/>
                <w:szCs w:val="21"/>
              </w:rPr>
              <w:t xml:space="preserve">1501 Trousdale Dr, Burlingame, CA 94010</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(650) 696-5400</w:t>
            </w:r>
          </w:p>
          <w:p>
            <w:pPr>
              <w:spacing w:after="20" w:before="20"/>
            </w:pPr>
            <w:r>
              <w:rPr>
                <w:rFonts w:ascii="Calibri" w:cs="Calibri" w:eastAsia="Calibri" w:hAnsi="Calibri"/>
                <w:b w:val="false"/>
                <w:bCs w:val="false"/>
                <w:color w:val="2C2C2C"/>
                <w:sz w:val="21"/>
                <w:szCs w:val="21"/>
              </w:rPr>
              <w:t xml:space="preserve">24/7</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Emergency Dept.</w:t>
            </w:r>
          </w:p>
          <w:p>
            <w:pPr>
              <w:spacing w:after="20" w:before="20"/>
            </w:pPr>
            <w:r>
              <w:rPr>
                <w:rFonts w:ascii="Calibri" w:cs="Calibri" w:eastAsia="Calibri" w:hAnsi="Calibri"/>
                <w:b w:val="false"/>
                <w:bCs w:val="false"/>
                <w:color w:val="2C2C2C"/>
                <w:sz w:val="21"/>
                <w:szCs w:val="21"/>
              </w:rPr>
              <w:t xml:space="preserve">(San Jose backup)</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Good Samaritan Hospital</w:t>
            </w:r>
          </w:p>
          <w:p>
            <w:pPr>
              <w:spacing w:after="20" w:before="20"/>
            </w:pPr>
            <w:r>
              <w:rPr>
                <w:rFonts w:ascii="Calibri" w:cs="Calibri" w:eastAsia="Calibri" w:hAnsi="Calibri"/>
                <w:b w:val="false"/>
                <w:bCs w:val="false"/>
                <w:color w:val="2C2C2C"/>
                <w:sz w:val="21"/>
                <w:szCs w:val="21"/>
              </w:rPr>
              <w:t xml:space="preserve">2425 Samaritan Dr, San Jose, CA 95124</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(408) 559-2011</w:t>
            </w:r>
          </w:p>
          <w:p>
            <w:pPr>
              <w:spacing w:after="20" w:before="20"/>
            </w:pPr>
            <w:r>
              <w:rPr>
                <w:rFonts w:ascii="Calibri" w:cs="Calibri" w:eastAsia="Calibri" w:hAnsi="Calibri"/>
                <w:b w:val="false"/>
                <w:bCs w:val="false"/>
                <w:color w:val="2C2C2C"/>
                <w:sz w:val="21"/>
                <w:szCs w:val="21"/>
              </w:rPr>
              <w:t xml:space="preserve">24/7</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Ophthalmology on call</w:t>
            </w:r>
          </w:p>
        </w:tc>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Stanford Byers Eye Institute</w:t>
            </w:r>
          </w:p>
          <w:p>
            <w:pPr>
              <w:spacing w:after="20" w:before="20"/>
            </w:pPr>
            <w:r>
              <w:rPr>
                <w:rFonts w:ascii="Calibri" w:cs="Calibri" w:eastAsia="Calibri" w:hAnsi="Calibri"/>
                <w:b w:val="false"/>
                <w:bCs w:val="false"/>
                <w:color w:val="2C2C2C"/>
                <w:sz w:val="21"/>
                <w:szCs w:val="21"/>
              </w:rPr>
              <w:t xml:space="preserve">2452 Watson Court, Palo Alto, CA 94303</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Business hrs: (650) 723-6995</w:t>
            </w:r>
          </w:p>
          <w:p>
            <w:pPr>
              <w:spacing w:after="20" w:before="20"/>
            </w:pPr>
            <w:r>
              <w:rPr>
                <w:rFonts w:ascii="Calibri" w:cs="Calibri" w:eastAsia="Calibri" w:hAnsi="Calibri"/>
                <w:b w:val="false"/>
                <w:bCs w:val="false"/>
                <w:color w:val="2C2C2C"/>
                <w:sz w:val="21"/>
                <w:szCs w:val="21"/>
              </w:rPr>
              <w:t xml:space="preserve">After-hours page: (650) 732-6661</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Plastic Surgery referral</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Stanford Plastic &amp; Reconstructive Surgery</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Clinic: (650) 723-7001</w:t>
            </w:r>
          </w:p>
          <w:p>
            <w:pPr>
              <w:spacing w:after="20" w:before="20"/>
            </w:pPr>
            <w:r>
              <w:rPr>
                <w:rFonts w:ascii="Calibri" w:cs="Calibri" w:eastAsia="Calibri" w:hAnsi="Calibri"/>
                <w:b w:val="false"/>
                <w:bCs w:val="false"/>
                <w:color w:val="2C2C2C"/>
                <w:sz w:val="21"/>
                <w:szCs w:val="21"/>
              </w:rPr>
              <w:t xml:space="preserve">Transfer Ctr: 1-800-800-1551</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Hyperbaric Oxygen Center</w:t>
            </w:r>
          </w:p>
        </w:tc>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Bay Area Hyperbarics</w:t>
            </w:r>
          </w:p>
          <w:p>
            <w:pPr>
              <w:spacing w:after="20" w:before="20"/>
            </w:pPr>
            <w:r>
              <w:rPr>
                <w:rFonts w:ascii="Calibri" w:cs="Calibri" w:eastAsia="Calibri" w:hAnsi="Calibri"/>
                <w:b w:val="false"/>
                <w:bCs w:val="false"/>
                <w:color w:val="2C2C2C"/>
                <w:sz w:val="21"/>
                <w:szCs w:val="21"/>
              </w:rPr>
              <w:t xml:space="preserve">14589 S Bascom Ave, Los Gatos, CA 95032</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(408) 356-7438</w:t>
            </w:r>
          </w:p>
          <w:p>
            <w:pPr>
              <w:spacing w:after="20" w:before="20"/>
            </w:pPr>
            <w:r>
              <w:rPr>
                <w:rFonts w:ascii="Calibri" w:cs="Calibri" w:eastAsia="Calibri" w:hAnsi="Calibri"/>
                <w:b w:val="false"/>
                <w:bCs w:val="false"/>
                <w:color w:val="2C2C2C"/>
                <w:sz w:val="21"/>
                <w:szCs w:val="21"/>
              </w:rPr>
              <w:t xml:space="preserve">Mon–Fri 5:30a–8p · Sat/Sun 7:30a–4p</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Pharmacy — 24h</w:t>
            </w:r>
          </w:p>
          <w:p>
            <w:pPr>
              <w:spacing w:after="20" w:before="20"/>
            </w:pPr>
            <w:r>
              <w:rPr>
                <w:rFonts w:ascii="Calibri" w:cs="Calibri" w:eastAsia="Calibri" w:hAnsi="Calibri"/>
                <w:b w:val="false"/>
                <w:bCs w:val="false"/>
                <w:color w:val="2C2C2C"/>
                <w:sz w:val="21"/>
                <w:szCs w:val="21"/>
              </w:rPr>
              <w:t xml:space="preserve">(San Jose location)</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Walgreens (24-hour)</w:t>
            </w:r>
          </w:p>
          <w:p>
            <w:pPr>
              <w:spacing w:after="20" w:before="20"/>
            </w:pPr>
            <w:r>
              <w:rPr>
                <w:rFonts w:ascii="Calibri" w:cs="Calibri" w:eastAsia="Calibri" w:hAnsi="Calibri"/>
                <w:b w:val="false"/>
                <w:bCs w:val="false"/>
                <w:color w:val="2C2C2C"/>
                <w:sz w:val="21"/>
                <w:szCs w:val="21"/>
              </w:rPr>
              <w:t xml:space="preserve">440 Blossom Hill Rd, San Jose, CA 95123</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(408) 229-8013</w:t>
            </w:r>
          </w:p>
          <w:p>
            <w:pPr>
              <w:spacing w:after="20" w:before="20"/>
            </w:pPr>
            <w:r>
              <w:rPr>
                <w:rFonts w:ascii="Calibri" w:cs="Calibri" w:eastAsia="Calibri" w:hAnsi="Calibri"/>
                <w:b w:val="false"/>
                <w:bCs w:val="false"/>
                <w:color w:val="2C2C2C"/>
                <w:sz w:val="21"/>
                <w:szCs w:val="21"/>
              </w:rPr>
              <w:t xml:space="preserve">24/7 (closed 1:30–2 a.m.)</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Pharmacy — 24h</w:t>
            </w:r>
          </w:p>
          <w:p>
            <w:pPr>
              <w:spacing w:after="20" w:before="20"/>
            </w:pPr>
            <w:r>
              <w:rPr>
                <w:rFonts w:ascii="Calibri" w:cs="Calibri" w:eastAsia="Calibri" w:hAnsi="Calibri"/>
                <w:b w:val="false"/>
                <w:bCs w:val="false"/>
                <w:color w:val="2C2C2C"/>
                <w:sz w:val="21"/>
                <w:szCs w:val="21"/>
              </w:rPr>
              <w:t xml:space="preserve">(San Mateo location)</w:t>
            </w:r>
          </w:p>
        </w:tc>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Walgreens (24-hour)</w:t>
            </w:r>
          </w:p>
          <w:p>
            <w:pPr>
              <w:spacing w:after="20" w:before="20"/>
            </w:pPr>
            <w:r>
              <w:rPr>
                <w:rFonts w:ascii="Calibri" w:cs="Calibri" w:eastAsia="Calibri" w:hAnsi="Calibri"/>
                <w:b w:val="false"/>
                <w:bCs w:val="false"/>
                <w:color w:val="2C2C2C"/>
                <w:sz w:val="21"/>
                <w:szCs w:val="21"/>
              </w:rPr>
              <w:t xml:space="preserve">1414 El Camino Real, San Carlos, CA 94070</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(650) 637-9777</w:t>
            </w:r>
          </w:p>
          <w:p>
            <w:pPr>
              <w:spacing w:after="20" w:before="20"/>
            </w:pPr>
            <w:r>
              <w:rPr>
                <w:rFonts w:ascii="Calibri" w:cs="Calibri" w:eastAsia="Calibri" w:hAnsi="Calibri"/>
                <w:b w:val="false"/>
                <w:bCs w:val="false"/>
                <w:color w:val="2C2C2C"/>
                <w:sz w:val="21"/>
                <w:szCs w:val="21"/>
              </w:rPr>
              <w:t xml:space="preserve">24/7 (closed 1:30–2 a.m.)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Poison Control</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National Capital Poison Center</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20" w:before="20"/>
            </w:pPr>
            <w:r>
              <w:rPr>
                <w:rFonts w:ascii="Calibri" w:cs="Calibri" w:eastAsia="Calibri" w:hAnsi="Calibri"/>
                <w:b w:val="false"/>
                <w:bCs w:val="false"/>
                <w:color w:val="2C2C2C"/>
                <w:sz w:val="21"/>
                <w:szCs w:val="21"/>
              </w:rPr>
              <w:t xml:space="preserve">1-800-222-1222</w:t>
            </w:r>
          </w:p>
          <w:p>
            <w:pPr>
              <w:spacing w:after="20" w:before="20"/>
            </w:pPr>
            <w:r>
              <w:rPr>
                <w:rFonts w:ascii="Calibri" w:cs="Calibri" w:eastAsia="Calibri" w:hAnsi="Calibri"/>
                <w:b w:val="false"/>
                <w:bCs w:val="false"/>
                <w:color w:val="2C2C2C"/>
                <w:sz w:val="21"/>
                <w:szCs w:val="21"/>
              </w:rPr>
              <w:t xml:space="preserve">24/7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6"/>
              <w:left w:val="single" w:color="1565C0" w:sz="16"/>
              <w:bottom w:val="single" w:color="1565C0" w:sz="16"/>
              <w:right w:val="single" w:color="1565C0" w:sz="16"/>
            </w:tcBorders>
            <w:shd w:fill="E3F2FD" w:val="clear"/>
            <w:tcMar>
              <w:top w:type="dxa" w:w="160"/>
              <w:left w:type="dxa" w:w="200"/>
              <w:bottom w:type="dxa" w:w="160"/>
              <w:right w:type="dxa" w:w="200"/>
            </w:tcMar>
          </w:tcPr>
          <w:p>
            <w:pPr>
              <w:spacing w:after="80" w:before="60"/>
            </w:pPr>
            <w:r>
              <w:rPr>
                <w:rFonts w:ascii="Calibri" w:cs="Calibri" w:eastAsia="Calibri" w:hAnsi="Calibri"/>
                <w:b/>
                <w:bCs/>
                <w:color w:val="0D47A1"/>
                <w:sz w:val="24"/>
                <w:szCs w:val="24"/>
              </w:rPr>
              <w:t xml:space="preserve">ℹ Practice Standard: Hyaluronidase Must Be On-Site</w:t>
            </w:r>
          </w:p>
          <w:p>
            <w:pPr>
              <w:spacing w:after="40" w:before="40" w:line="280"/>
            </w:pPr>
            <w:r>
              <w:rPr>
                <w:rFonts w:ascii="Calibri" w:cs="Calibri" w:eastAsia="Calibri" w:hAnsi="Calibri"/>
                <w:color w:val="2C2C2C"/>
                <w:sz w:val="22"/>
                <w:szCs w:val="22"/>
              </w:rPr>
              <w:t xml:space="preserve">Retail pharmacies do not reliably stock hyaluronidase. The VO Emergency Kit (Section 6) maintains a minimum of 1,500 units on-site at all times.</w:t>
            </w:r>
          </w:p>
          <w:p>
            <w:pPr>
              <w:spacing w:after="40" w:before="40" w:line="280"/>
            </w:pPr>
            <w:r>
              <w:rPr>
                <w:rFonts w:ascii="Calibri" w:cs="Calibri" w:eastAsia="Calibri" w:hAnsi="Calibri"/>
                <w:color w:val="2C2C2C"/>
                <w:sz w:val="22"/>
                <w:szCs w:val="22"/>
              </w:rPr>
              <w:t xml:space="preserve">The 24-hour pharmacies above are for adjunctive medications (aspirin, antibiotics, NTG paste) or emergency hyaluronidase resupply only after Medical Director authorization.</w:t>
            </w:r>
          </w:p>
          <w:p>
            <w:pPr>
              <w:spacing w:after="40" w:before="40" w:line="280"/>
            </w:pPr>
            <w:r>
              <w:rPr>
                <w:rFonts w:ascii="Calibri" w:cs="Calibri" w:eastAsia="Calibri" w:hAnsi="Calibri"/>
                <w:color w:val="2C2C2C"/>
                <w:sz w:val="22"/>
                <w:szCs w:val="22"/>
              </w:rPr>
              <w:t xml:space="preserve">Confirm directly with the receiving pharmacy that hyaluronidase is in stock before sending a courier — call ahead every time.</w:t>
            </w:r>
          </w:p>
        </w:tc>
      </w:tr>
    </w:tbl>
    <w:p>
      <w:pPr>
        <w:pStyle w:val="Heading2"/>
        <w:spacing w:after="140" w:before="280"/>
      </w:pPr>
      <w:r>
        <w:rPr>
          <w:rFonts w:ascii="Calibri" w:cs="Calibri" w:eastAsia="Calibri" w:hAnsi="Calibri"/>
          <w:b/>
          <w:bCs/>
          <w:color w:val="1F3A5F"/>
          <w:sz w:val="28"/>
          <w:szCs w:val="28"/>
        </w:rPr>
        <w:t xml:space="preserve">9.3 Manufacturer / Medical Affairs</w:t>
      </w:r>
    </w:p>
    <w:p>
      <w:pPr>
        <w:pStyle w:val="ListParagraph"/>
        <w:numPr>
          <w:ilvl w:val="0"/>
          <w:numId w:val="2"/>
        </w:numPr>
        <w:spacing w:after="40" w:before="40" w:line="280"/>
      </w:pPr>
      <w:r>
        <w:rPr>
          <w:rFonts w:ascii="Calibri" w:cs="Calibri" w:eastAsia="Calibri" w:hAnsi="Calibri"/>
          <w:color w:val="2C2C2C"/>
          <w:sz w:val="22"/>
          <w:szCs w:val="22"/>
        </w:rPr>
        <w:t xml:space="preserve">Allergan / AbbVie Medical Affairs (Juvéderm): 1-800-433-8871</w:t>
      </w:r>
    </w:p>
    <w:p>
      <w:pPr>
        <w:pStyle w:val="ListParagraph"/>
        <w:numPr>
          <w:ilvl w:val="0"/>
          <w:numId w:val="2"/>
        </w:numPr>
        <w:spacing w:after="40" w:before="40" w:line="280"/>
      </w:pPr>
      <w:r>
        <w:rPr>
          <w:rFonts w:ascii="Calibri" w:cs="Calibri" w:eastAsia="Calibri" w:hAnsi="Calibri"/>
          <w:color w:val="2C2C2C"/>
          <w:sz w:val="22"/>
          <w:szCs w:val="22"/>
        </w:rPr>
        <w:t xml:space="preserve">Galderma Medical Affairs (Restylane): 1-866-735-4137</w:t>
      </w:r>
    </w:p>
    <w:p>
      <w:pPr>
        <w:pStyle w:val="ListParagraph"/>
        <w:numPr>
          <w:ilvl w:val="0"/>
          <w:numId w:val="2"/>
        </w:numPr>
        <w:spacing w:after="40" w:before="40" w:line="280"/>
      </w:pPr>
      <w:r>
        <w:rPr>
          <w:rFonts w:ascii="Calibri" w:cs="Calibri" w:eastAsia="Calibri" w:hAnsi="Calibri"/>
          <w:color w:val="2C2C2C"/>
          <w:sz w:val="22"/>
          <w:szCs w:val="22"/>
        </w:rPr>
        <w:t xml:space="preserve">Merz Aesthetics Medical Affairs (Belotero / Radiesse): 1-866-862-1211</w:t>
      </w:r>
    </w:p>
    <w:p>
      <w:pPr>
        <w:pStyle w:val="ListParagraph"/>
        <w:numPr>
          <w:ilvl w:val="0"/>
          <w:numId w:val="2"/>
        </w:numPr>
        <w:spacing w:after="40" w:before="40" w:line="280"/>
      </w:pPr>
      <w:r>
        <w:rPr>
          <w:rFonts w:ascii="Calibri" w:cs="Calibri" w:eastAsia="Calibri" w:hAnsi="Calibri"/>
          <w:color w:val="2C2C2C"/>
          <w:sz w:val="22"/>
          <w:szCs w:val="22"/>
        </w:rPr>
        <w:t xml:space="preserve">Revance (RHA): 1-877-273-8669</w:t>
      </w:r>
    </w:p>
    <w:p>
      <w:pPr>
        <w:pStyle w:val="ListParagraph"/>
        <w:numPr>
          <w:ilvl w:val="0"/>
          <w:numId w:val="2"/>
        </w:numPr>
        <w:spacing w:after="40" w:before="40" w:line="280"/>
      </w:pPr>
      <w:r>
        <w:rPr>
          <w:rFonts w:ascii="Calibri" w:cs="Calibri" w:eastAsia="Calibri" w:hAnsi="Calibri"/>
          <w:color w:val="2C2C2C"/>
          <w:sz w:val="22"/>
          <w:szCs w:val="22"/>
        </w:rPr>
        <w:t xml:space="preserve">Obagi Medical / Obagi Cosmeceuticals (saypha MagIQ HA filler): 1-800-636-7546 ext. 3</w:t>
      </w:r>
    </w:p>
    <w:p>
      <w:pPr>
        <w:pStyle w:val="ListParagraph"/>
        <w:numPr>
          <w:ilvl w:val="0"/>
          <w:numId w:val="2"/>
        </w:numPr>
        <w:spacing w:after="40" w:before="40" w:line="280"/>
      </w:pPr>
      <w:r>
        <w:rPr>
          <w:rFonts w:ascii="Calibri" w:cs="Calibri" w:eastAsia="Calibri" w:hAnsi="Calibri"/>
          <w:b w:val="false"/>
          <w:bCs w:val="false"/>
          <w:color w:val="2C2C2C"/>
          <w:sz w:val="22"/>
          <w:szCs w:val="22"/>
        </w:rPr>
        <w:t xml:space="preserve">BENEV / Hugel (Letybo — neurotoxin): </w:t>
      </w:r>
      <w:r>
        <w:rPr>
          <w:rFonts w:ascii="Calibri" w:cs="Calibri" w:eastAsia="Calibri" w:hAnsi="Calibri"/>
          <w:b w:val="false"/>
          <w:bCs w:val="false"/>
          <w:color w:val="2C2C2C"/>
          <w:sz w:val="22"/>
          <w:szCs w:val="22"/>
        </w:rPr>
        <w:t xml:space="preserve">1-877-390-2906</w:t>
      </w:r>
    </w:p>
    <w:p>
      <w:pPr>
        <w:pStyle w:val="ListParagraph"/>
        <w:numPr>
          <w:ilvl w:val="0"/>
          <w:numId w:val="2"/>
        </w:numPr>
        <w:spacing w:after="40" w:before="40" w:line="280"/>
      </w:pPr>
      <w:r>
        <w:rPr>
          <w:rFonts w:ascii="Calibri" w:cs="Calibri" w:eastAsia="Calibri" w:hAnsi="Calibri"/>
          <w:b/>
          <w:bCs/>
          <w:color w:val="2C2C2C"/>
          <w:sz w:val="22"/>
          <w:szCs w:val="22"/>
        </w:rPr>
        <w:t xml:space="preserve">Note on Letybo: </w:t>
      </w:r>
      <w:r>
        <w:rPr>
          <w:rFonts w:ascii="Calibri" w:cs="Calibri" w:eastAsia="Calibri" w:hAnsi="Calibri"/>
          <w:i/>
          <w:iCs/>
          <w:color w:val="2C2C2C"/>
          <w:sz w:val="22"/>
          <w:szCs w:val="22"/>
        </w:rPr>
        <w:t xml:space="preserve">Letybo is letibotulinum toxin A, not a dermal filler. It is not reversed by hyaluronidase. Include this contact for general adverse-event reporting; for toxin spread (dysphagia, dyspnea, ptosis beyond expected effect), follow neurotoxin-specific guidance and consider EMS activation.</w:t>
      </w:r>
    </w:p>
    <w:p>
      <w:pPr>
        <w:pStyle w:val="ListParagraph"/>
        <w:numPr>
          <w:ilvl w:val="0"/>
          <w:numId w:val="2"/>
        </w:numPr>
        <w:spacing w:after="40" w:before="40" w:line="280"/>
      </w:pPr>
      <w:r>
        <w:rPr>
          <w:rFonts w:ascii="Calibri" w:cs="Calibri" w:eastAsia="Calibri" w:hAnsi="Calibri"/>
          <w:b/>
          <w:bCs/>
          <w:color w:val="2C2C2C"/>
          <w:sz w:val="22"/>
          <w:szCs w:val="22"/>
        </w:rPr>
        <w:t xml:space="preserve">General reminder: </w:t>
      </w:r>
      <w:r>
        <w:rPr>
          <w:rFonts w:ascii="Calibri" w:cs="Calibri" w:eastAsia="Calibri" w:hAnsi="Calibri"/>
          <w:i/>
          <w:iCs/>
          <w:color w:val="2C2C2C"/>
          <w:sz w:val="22"/>
          <w:szCs w:val="22"/>
        </w:rPr>
        <w:t xml:space="preserve">Confirm phone numbers periodically — manufacturer hotlines change.</w:t>
      </w:r>
    </w:p>
    <w:p>
      <w:r>
        <w:br w:type="page"/>
      </w:r>
    </w:p>
    <w:p>
      <w:pPr>
        <w:pStyle w:val="Heading1"/>
        <w:pBdr>
          <w:bottom w:val="single" w:color="1F3A5F" w:sz="12" w:space="4"/>
        </w:pBdr>
        <w:spacing w:after="180" w:before="360"/>
      </w:pPr>
      <w:r>
        <w:rPr>
          <w:rFonts w:ascii="Calibri" w:cs="Calibri" w:eastAsia="Calibri" w:hAnsi="Calibri"/>
          <w:b/>
          <w:bCs/>
          <w:color w:val="1F3A5F"/>
          <w:sz w:val="36"/>
          <w:szCs w:val="36"/>
        </w:rPr>
        <w:t xml:space="preserve">10. Protocol Approval &amp; Review</w:t>
      </w:r>
    </w:p>
    <w:p>
      <w:pPr>
        <w:spacing w:after="60" w:before="60" w:line="300"/>
        <w:jc w:val="left"/>
      </w:pPr>
      <w:r>
        <w:rPr>
          <w:rFonts w:ascii="Calibri" w:cs="Calibri" w:eastAsia="Calibri" w:hAnsi="Calibri"/>
          <w:color w:val="2C2C2C"/>
          <w:sz w:val="22"/>
          <w:szCs w:val="22"/>
        </w:rPr>
        <w:t xml:space="preserve">This protocol represents the clinical standard of care for RadiantilyK Aesthetic. It is reviewed and updated at minimum annually, or whenever new evidence, regulatory guidance, or adverse-event experience warrants revision.</w:t>
      </w:r>
    </w:p>
    <w:p>
      <w:pPr>
        <w:pStyle w:val="Heading2"/>
        <w:spacing w:after="140" w:before="280"/>
      </w:pPr>
      <w:r>
        <w:rPr>
          <w:rFonts w:ascii="Calibri" w:cs="Calibri" w:eastAsia="Calibri" w:hAnsi="Calibri"/>
          <w:b/>
          <w:bCs/>
          <w:color w:val="1F3A5F"/>
          <w:sz w:val="28"/>
          <w:szCs w:val="28"/>
        </w:rPr>
        <w:t xml:space="preserve">10.1 Review Schedule</w:t>
      </w:r>
    </w:p>
    <w:p>
      <w:pPr>
        <w:pStyle w:val="ListParagraph"/>
        <w:numPr>
          <w:ilvl w:val="0"/>
          <w:numId w:val="2"/>
        </w:numPr>
        <w:spacing w:after="40" w:before="40" w:line="280"/>
      </w:pPr>
      <w:r>
        <w:rPr>
          <w:rFonts w:ascii="Calibri" w:cs="Calibri" w:eastAsia="Calibri" w:hAnsi="Calibri"/>
          <w:color w:val="2C2C2C"/>
          <w:sz w:val="22"/>
          <w:szCs w:val="22"/>
        </w:rPr>
        <w:t xml:space="preserve">Annual review by Medical Director</w:t>
      </w:r>
    </w:p>
    <w:p>
      <w:pPr>
        <w:pStyle w:val="ListParagraph"/>
        <w:numPr>
          <w:ilvl w:val="0"/>
          <w:numId w:val="2"/>
        </w:numPr>
        <w:spacing w:after="40" w:before="40" w:line="280"/>
      </w:pPr>
      <w:r>
        <w:rPr>
          <w:rFonts w:ascii="Calibri" w:cs="Calibri" w:eastAsia="Calibri" w:hAnsi="Calibri"/>
          <w:color w:val="2C2C2C"/>
          <w:sz w:val="22"/>
          <w:szCs w:val="22"/>
        </w:rPr>
        <w:t xml:space="preserve">Quarterly review of incident reports and quality metrics</w:t>
      </w:r>
    </w:p>
    <w:p>
      <w:pPr>
        <w:pStyle w:val="ListParagraph"/>
        <w:numPr>
          <w:ilvl w:val="0"/>
          <w:numId w:val="2"/>
        </w:numPr>
        <w:spacing w:after="40" w:before="40" w:line="280"/>
      </w:pPr>
      <w:r>
        <w:rPr>
          <w:rFonts w:ascii="Calibri" w:cs="Calibri" w:eastAsia="Calibri" w:hAnsi="Calibri"/>
          <w:color w:val="2C2C2C"/>
          <w:sz w:val="22"/>
          <w:szCs w:val="22"/>
        </w:rPr>
        <w:t xml:space="preserve">Updates published with version number and effective date</w:t>
      </w:r>
    </w:p>
    <w:p>
      <w:pPr>
        <w:pStyle w:val="ListParagraph"/>
        <w:numPr>
          <w:ilvl w:val="0"/>
          <w:numId w:val="2"/>
        </w:numPr>
        <w:spacing w:after="40" w:before="40" w:line="280"/>
      </w:pPr>
      <w:r>
        <w:rPr>
          <w:rFonts w:ascii="Calibri" w:cs="Calibri" w:eastAsia="Calibri" w:hAnsi="Calibri"/>
          <w:color w:val="2C2C2C"/>
          <w:sz w:val="22"/>
          <w:szCs w:val="22"/>
        </w:rPr>
        <w:t xml:space="preserve">All providers must sign acknowledgment of current version</w:t>
      </w:r>
    </w:p>
    <w:p>
      <w:pPr>
        <w:pStyle w:val="Heading2"/>
        <w:spacing w:after="140" w:before="280"/>
      </w:pPr>
      <w:r>
        <w:rPr>
          <w:rFonts w:ascii="Calibri" w:cs="Calibri" w:eastAsia="Calibri" w:hAnsi="Calibri"/>
          <w:b/>
          <w:bCs/>
          <w:color w:val="1F3A5F"/>
          <w:sz w:val="28"/>
          <w:szCs w:val="28"/>
        </w:rPr>
        <w:t xml:space="preserve">10.2 Provider Acknowledgment</w:t>
      </w:r>
    </w:p>
    <w:p>
      <w:pPr>
        <w:spacing w:after="60" w:before="60" w:line="300"/>
        <w:jc w:val="left"/>
      </w:pPr>
      <w:r>
        <w:rPr>
          <w:rFonts w:ascii="Calibri" w:cs="Calibri" w:eastAsia="Calibri" w:hAnsi="Calibri"/>
          <w:color w:val="2C2C2C"/>
          <w:sz w:val="22"/>
          <w:szCs w:val="22"/>
        </w:rPr>
        <w:t xml:space="preserve">By signing below, the provider attests that they have read this protocol in full, understand its contents, and agree to follow it for every patient encounter involving dermal filler. They further agree to participate in annual VO simulation drills and any required continuing education.</w:t>
      </w:r>
    </w:p>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2C2C2C" w:sz="6" w:space="2"/>
              </w:pBdr>
              <w:spacing w:before="600"/>
            </w:pPr>
            <w:r>
              <w:rPr>
                <w:sz w:val="22"/>
                <w:szCs w:val="22"/>
              </w:rPr>
              <w:t xml:space="preserve"> </w:t>
            </w:r>
          </w:p>
          <w:p>
            <w:pPr>
              <w:spacing w:before="60"/>
            </w:pPr>
            <w:r>
              <w:rPr>
                <w:rFonts w:ascii="Calibri" w:cs="Calibri" w:eastAsia="Calibri" w:hAnsi="Calibri"/>
                <w:color w:val="666666"/>
                <w:sz w:val="20"/>
                <w:szCs w:val="20"/>
              </w:rPr>
              <w:t xml:space="preserve">Provider Signature</w:t>
            </w:r>
          </w:p>
        </w:tc>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2C2C2C" w:sz="6" w:space="2"/>
              </w:pBdr>
              <w:spacing w:before="600"/>
            </w:pPr>
            <w:r>
              <w:rPr>
                <w:sz w:val="22"/>
                <w:szCs w:val="22"/>
              </w:rPr>
              <w:t xml:space="preserve"> </w:t>
            </w:r>
          </w:p>
          <w:p>
            <w:pPr>
              <w:spacing w:before="60"/>
            </w:pPr>
            <w:r>
              <w:rPr>
                <w:rFonts w:ascii="Calibri" w:cs="Calibri" w:eastAsia="Calibri" w:hAnsi="Calibri"/>
                <w:color w:val="666666"/>
                <w:sz w:val="20"/>
                <w:szCs w:val="20"/>
              </w:rPr>
              <w:t xml:space="preserve">Date</w:t>
            </w:r>
          </w:p>
        </w:tc>
      </w:tr>
      <w:tr>
        <w:tc>
          <w:tcPr>
            <w:tcW w:type="dxa" w:w="4680"/>
            <w:tcBorders>
              <w:top w:val="none" w:color="FFFFFF" w:sz="0"/>
              <w:left w:val="none" w:color="FFFFFF" w:sz="0"/>
              <w:bottom w:val="none" w:color="FFFFFF" w:sz="0"/>
              <w:right w:val="none" w:color="FFFFFF" w:sz="0"/>
            </w:tcBorders>
            <w:tcMar>
              <w:top w:type="dxa" w:w="240"/>
              <w:left w:type="dxa" w:w="120"/>
              <w:bottom w:type="dxa" w:w="120"/>
              <w:right w:type="dxa" w:w="120"/>
            </w:tcMar>
          </w:tcPr>
          <w:p>
            <w:pPr>
              <w:pBdr>
                <w:bottom w:val="single" w:color="2C2C2C" w:sz="6" w:space="2"/>
              </w:pBdr>
              <w:spacing w:before="600"/>
            </w:pPr>
            <w:r>
              <w:rPr>
                <w:sz w:val="22"/>
                <w:szCs w:val="22"/>
              </w:rPr>
              <w:t xml:space="preserve"> </w:t>
            </w:r>
          </w:p>
          <w:p>
            <w:pPr>
              <w:spacing w:before="60"/>
            </w:pPr>
            <w:r>
              <w:rPr>
                <w:rFonts w:ascii="Calibri" w:cs="Calibri" w:eastAsia="Calibri" w:hAnsi="Calibri"/>
                <w:color w:val="666666"/>
                <w:sz w:val="20"/>
                <w:szCs w:val="20"/>
              </w:rPr>
              <w:t xml:space="preserve">Printed Name &amp; Credentials</w:t>
            </w:r>
          </w:p>
        </w:tc>
        <w:tc>
          <w:tcPr>
            <w:tcW w:type="dxa" w:w="4680"/>
            <w:tcBorders>
              <w:top w:val="none" w:color="FFFFFF" w:sz="0"/>
              <w:left w:val="none" w:color="FFFFFF" w:sz="0"/>
              <w:bottom w:val="none" w:color="FFFFFF" w:sz="0"/>
              <w:right w:val="none" w:color="FFFFFF" w:sz="0"/>
            </w:tcBorders>
            <w:tcMar>
              <w:top w:type="dxa" w:w="240"/>
              <w:left w:type="dxa" w:w="120"/>
              <w:bottom w:type="dxa" w:w="120"/>
              <w:right w:type="dxa" w:w="120"/>
            </w:tcMar>
          </w:tcPr>
          <w:p>
            <w:pPr>
              <w:pBdr>
                <w:bottom w:val="single" w:color="2C2C2C" w:sz="6" w:space="2"/>
              </w:pBdr>
              <w:spacing w:before="600"/>
            </w:pPr>
            <w:r>
              <w:rPr>
                <w:sz w:val="22"/>
                <w:szCs w:val="22"/>
              </w:rPr>
              <w:t xml:space="preserve"> </w:t>
            </w:r>
          </w:p>
          <w:p>
            <w:pPr>
              <w:spacing w:before="60"/>
            </w:pPr>
            <w:r>
              <w:rPr>
                <w:rFonts w:ascii="Calibri" w:cs="Calibri" w:eastAsia="Calibri" w:hAnsi="Calibri"/>
                <w:color w:val="666666"/>
                <w:sz w:val="20"/>
                <w:szCs w:val="20"/>
              </w:rPr>
              <w:t xml:space="preserve">Protocol Version</w:t>
            </w:r>
          </w:p>
        </w:tc>
      </w:tr>
    </w:tbl>
    <w:p>
      <w:pPr>
        <w:spacing w:before="600"/>
      </w:pPr>
    </w:p>
    <w:p>
      <w:pPr>
        <w:spacing w:after="60" w:before="60" w:line="300"/>
        <w:jc w:val="left"/>
      </w:pPr>
      <w:r>
        <w:rPr>
          <w:rFonts w:ascii="Calibri" w:cs="Calibri" w:eastAsia="Calibri" w:hAnsi="Calibri"/>
          <w:b/>
          <w:bCs/>
          <w:color w:val="2C2C2C"/>
          <w:sz w:val="22"/>
          <w:szCs w:val="22"/>
        </w:rPr>
        <w:t xml:space="preserve">Approved by:</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2C2C2C" w:sz="6" w:space="2"/>
              </w:pBdr>
              <w:spacing w:before="400"/>
            </w:pPr>
            <w:r>
              <w:rPr>
                <w:sz w:val="22"/>
                <w:szCs w:val="22"/>
              </w:rPr>
              <w:t xml:space="preserve"> </w:t>
            </w:r>
          </w:p>
          <w:p>
            <w:pPr>
              <w:spacing w:before="60"/>
            </w:pPr>
            <w:r>
              <w:rPr>
                <w:rFonts w:ascii="Calibri" w:cs="Calibri" w:eastAsia="Calibri" w:hAnsi="Calibri"/>
                <w:b/>
                <w:bCs/>
                <w:color w:val="2C2C2C"/>
                <w:sz w:val="20"/>
                <w:szCs w:val="20"/>
              </w:rPr>
              <w:t xml:space="preserve">Alyosius Fobi, MD — Medical Director</w:t>
            </w:r>
          </w:p>
        </w:tc>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pBdr>
                <w:bottom w:val="single" w:color="2C2C2C" w:sz="6" w:space="2"/>
              </w:pBdr>
              <w:spacing w:before="400"/>
            </w:pPr>
            <w:r>
              <w:rPr>
                <w:sz w:val="22"/>
                <w:szCs w:val="22"/>
              </w:rPr>
              <w:t xml:space="preserve"> </w:t>
            </w:r>
          </w:p>
          <w:p>
            <w:pPr>
              <w:spacing w:before="60"/>
            </w:pPr>
            <w:r>
              <w:rPr>
                <w:rFonts w:ascii="Calibri" w:cs="Calibri" w:eastAsia="Calibri" w:hAnsi="Calibri"/>
                <w:color w:val="666666"/>
                <w:sz w:val="20"/>
                <w:szCs w:val="20"/>
              </w:rPr>
              <w:t xml:space="preserve">Date</w:t>
            </w:r>
          </w:p>
        </w:tc>
      </w:tr>
    </w:tbl>
    <w:p>
      <w:pPr>
        <w:spacing w:before="400"/>
      </w:pPr>
    </w:p>
    <w:p>
      <w:pPr>
        <w:spacing w:after="60" w:before="60" w:line="300"/>
        <w:jc w:val="left"/>
      </w:pPr>
      <w:r>
        <w:rPr>
          <w:rFonts w:ascii="Calibri" w:cs="Calibri" w:eastAsia="Calibri" w:hAnsi="Calibri"/>
          <w:b/>
          <w:bCs/>
          <w:i/>
          <w:iCs/>
          <w:color w:val="666666"/>
          <w:sz w:val="18"/>
          <w:szCs w:val="18"/>
        </w:rPr>
        <w:t xml:space="preserve">Disclaimer: </w:t>
      </w:r>
      <w:r>
        <w:rPr>
          <w:rFonts w:ascii="Calibri" w:cs="Calibri" w:eastAsia="Calibri" w:hAnsi="Calibri"/>
          <w:i/>
          <w:iCs/>
          <w:color w:val="666666"/>
          <w:sz w:val="18"/>
          <w:szCs w:val="18"/>
        </w:rPr>
        <w:t xml:space="preserve">This protocol is intended as an internal clinical reference for licensed providers at RadiantilyK Aesthetic. It does not replace independent clinical judgment, regional standards of care, or the most current peer-reviewed evidence. Always treat the patient in front of you.</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4"/>
      </w:pBdr>
      <w:tabs>
        <w:tab w:val="center" w:pos="4680"/>
        <w:tab w:val="right" w:pos="9026"/>
      </w:tabs>
      <w:spacing w:before="60"/>
    </w:pPr>
    <w:r>
      <w:rPr>
        <w:rFonts w:ascii="Calibri" w:cs="Calibri" w:eastAsia="Calibri" w:hAnsi="Calibri"/>
        <w:color w:val="666666"/>
        <w:sz w:val="16"/>
        <w:szCs w:val="16"/>
      </w:rPr>
      <w:t xml:space="preserve">Confidential · Internal Use Only</w:t>
    </w:r>
    <w:r>
      <w:t xml:space="preserve">	</w:t>
    </w:r>
    <w:r>
      <w:rPr>
        <w:rFonts w:ascii="Calibri" w:cs="Calibri" w:eastAsia="Calibri" w:hAnsi="Calibri"/>
        <w:color w:val="666666"/>
        <w:sz w:val="16"/>
        <w:szCs w:val="16"/>
      </w:rPr>
      <w:t xml:space="preserve">Version 1.0 · 2026</w:t>
    </w:r>
    <w:r>
      <w:t xml:space="preserve">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tabs>
        <w:tab w:val="right" w:pos="9026"/>
      </w:tabs>
      <w:spacing w:after="60"/>
    </w:pPr>
    <w:r>
      <w:rPr>
        <w:rFonts w:ascii="Calibri" w:cs="Calibri" w:eastAsia="Calibri" w:hAnsi="Calibri"/>
        <w:b/>
        <w:bCs/>
        <w:color w:val="1F3A5F"/>
        <w:sz w:val="18"/>
        <w:szCs w:val="18"/>
      </w:rPr>
      <w:t xml:space="preserve">RADIANTILYK AESTHETIC</w:t>
    </w:r>
    <w:r>
      <w:t xml:space="preserve">	</w:t>
    </w:r>
    <w:r>
      <w:rPr>
        <w:rFonts w:ascii="Calibri" w:cs="Calibri" w:eastAsia="Calibri" w:hAnsi="Calibri"/>
        <w:i/>
        <w:iCs/>
        <w:color w:val="666666"/>
        <w:sz w:val="18"/>
        <w:szCs w:val="18"/>
      </w:rPr>
      <w:t xml:space="preserve">Vascular Occlusion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9bcaae3475614564a278f4d0be7834cc479a8e.png"/><Relationship Id="rId10" Type="http://schemas.openxmlformats.org/officeDocument/2006/relationships/image" Target="media/9b9c920dbc2babd73e7483614b440441a04d206b.png"/><Relationship Id="rId11" Type="http://schemas.openxmlformats.org/officeDocument/2006/relationships/image" Target="media/c225836de83047bb6b79fde5ea044a8938cd7eb6.png"/><Relationship Id="rId12" Type="http://schemas.openxmlformats.org/officeDocument/2006/relationships/image" Target="media/9bea24ea8aa8f192878d6d3d0c863e6601b46e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Vascular Occlusion Protocol</dc:title>
  <dc:creator>RadiantilyK Aesthetic</dc:creator>
  <dc:description>Clinical reference for vascular occlusion management</dc:description>
  <cp:lastModifiedBy>Un-named</cp:lastModifiedBy>
  <cp:revision>1</cp:revision>
  <dcterms:created xsi:type="dcterms:W3CDTF">2026-05-11T07:21:09.017Z</dcterms:created>
  <dcterms:modified xsi:type="dcterms:W3CDTF">2026-05-11T07:21:09.017Z</dcterms:modified>
</cp:coreProperties>
</file>

<file path=docProps/custom.xml><?xml version="1.0" encoding="utf-8"?>
<Properties xmlns="http://schemas.openxmlformats.org/officeDocument/2006/custom-properties" xmlns:vt="http://schemas.openxmlformats.org/officeDocument/2006/docPropsVTypes"/>
</file>