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4"/>
          <w:szCs w:val="44"/>
        </w:rPr>
        <w:t xml:space="preserve">SWIGGY SALES</w:t>
      </w:r>
    </w:p>
    <w:p>
      <w:pPr>
        <w:spacing w:after="200"/>
      </w:pPr>
      <w:r>
        <w:rPr>
          <w:i/>
          <w:iCs/>
          <w:color w:val="2E7D6E"/>
          <w:sz w:val="26"/>
          <w:szCs w:val="26"/>
        </w:rPr>
        <w:t xml:space="preserve">Exploratory Data Analysis — Executive Summary</w:t>
      </w:r>
    </w:p>
    <w:p>
      <w:pPr>
        <w:spacing w:after="300"/>
      </w:pPr>
      <w:r>
        <w:rPr>
          <w:color w:val="595959"/>
          <w:sz w:val="18"/>
          <w:szCs w:val="18"/>
        </w:rPr>
        <w:t xml:space="preserve">Analysis period: January 2025 – August 2025   |   Dataset: 197,430 order-level records across 10 fields</w:t>
      </w:r>
    </w:p>
    <w:p>
      <w:pPr>
        <w:pStyle w:val="Heading1"/>
        <w:pBdr>
          <w:bottom w:val="single" w:color="2E7D6E" w:sz="6" w:space="4"/>
        </w:pBdr>
        <w:spacing w:after="160" w:before="320"/>
      </w:pPr>
      <w:r>
        <w:rPr>
          <w:b/>
          <w:bCs/>
          <w:color w:val="1F3864"/>
          <w:sz w:val="28"/>
          <w:szCs w:val="28"/>
        </w:rPr>
        <w:t xml:space="preserve">Overview</w:t>
      </w:r>
    </w:p>
    <w:p>
      <w:pPr>
        <w:spacing w:after="140" w:line="300"/>
      </w:pPr>
      <w:r>
        <w:rPr>
          <w:color w:val="262626"/>
          <w:sz w:val="22"/>
          <w:szCs w:val="22"/>
        </w:rPr>
        <w:t xml:space="preserve">This report summarises an exploratory data analysis of Swiggy order-level sales data spanning January to August 2025. The dataset originally contained 197,430 rows and 10 columns covering order price, ratings, rating counts, dish category, city, state, and order date. The analysis focused on validating data quality, computing core business KPIs, and uncovering sales trends across time, geography, and food category.</w:t>
      </w:r>
    </w:p>
    <w:p>
      <w:pPr>
        <w:pStyle w:val="Heading1"/>
        <w:pBdr>
          <w:bottom w:val="single" w:color="2E7D6E" w:sz="6" w:space="4"/>
        </w:pBdr>
        <w:spacing w:after="160" w:before="320"/>
      </w:pPr>
      <w:r>
        <w:rPr>
          <w:b/>
          <w:bCs/>
          <w:color w:val="1F3864"/>
          <w:sz w:val="28"/>
          <w:szCs w:val="28"/>
        </w:rPr>
        <w:t xml:space="preserve">Data Preparation</w:t>
      </w:r>
    </w:p>
    <w:p>
      <w:pPr>
        <w:pStyle w:val="ListParagraph"/>
        <w:numPr>
          <w:ilvl w:val="0"/>
          <w:numId w:val="1"/>
        </w:numPr>
        <w:spacing w:after="80" w:line="280"/>
      </w:pPr>
      <w:r>
        <w:rPr>
          <w:color w:val="262626"/>
          <w:sz w:val="22"/>
          <w:szCs w:val="22"/>
        </w:rPr>
        <w:t xml:space="preserve">Column names were standardised to lowercase, underscore-separated format for consistent processing.</w:t>
      </w:r>
    </w:p>
    <w:p>
      <w:pPr>
        <w:pStyle w:val="ListParagraph"/>
        <w:numPr>
          <w:ilvl w:val="0"/>
          <w:numId w:val="1"/>
        </w:numPr>
        <w:spacing w:after="80" w:line="280"/>
      </w:pPr>
      <w:r>
        <w:rPr>
          <w:color w:val="262626"/>
          <w:sz w:val="22"/>
          <w:szCs w:val="22"/>
        </w:rPr>
        <w:t xml:space="preserve">No fields contained null values on the surface, but 79,094 records (about 40% of the data) had a rating_count of zero alongside a valid rating — a data quality anomaly rather than genuinely missing data.</w:t>
      </w:r>
    </w:p>
    <w:p>
      <w:pPr>
        <w:pStyle w:val="ListParagraph"/>
        <w:numPr>
          <w:ilvl w:val="0"/>
          <w:numId w:val="1"/>
        </w:numPr>
        <w:spacing w:after="80" w:line="280"/>
      </w:pPr>
      <w:r>
        <w:rPr>
          <w:color w:val="262626"/>
          <w:sz w:val="22"/>
          <w:szCs w:val="22"/>
        </w:rPr>
        <w:t xml:space="preserve">Rather than dropping these rows (which would have discarded 40% of the dataset) or imputing them directly (which risked inflating trust in low-evidence ratings), a weighted-rating formula was applied to pull low-confidence ratings toward the platform average while preserving high-confidence ratings.</w:t>
      </w:r>
    </w:p>
    <w:p>
      <w:pPr>
        <w:pStyle w:val="ListParagraph"/>
        <w:numPr>
          <w:ilvl w:val="0"/>
          <w:numId w:val="1"/>
        </w:numPr>
        <w:spacing w:after="80" w:line="280"/>
      </w:pPr>
      <w:r>
        <w:rPr>
          <w:color w:val="262626"/>
          <w:sz w:val="22"/>
          <w:szCs w:val="22"/>
        </w:rPr>
        <w:t xml:space="preserve">Price outliers were identified using the IQR method and business logic: orders below ₹20 (implausibly low, even accounting for minimum order value) and above ₹4,000 (implausible for typical daily food delivery, even in metro cities) were removed. This affected under 5% of records.</w:t>
      </w:r>
    </w:p>
    <w:p>
      <w:pPr>
        <w:pStyle w:val="Heading1"/>
        <w:pBdr>
          <w:bottom w:val="single" w:color="2E7D6E" w:sz="6" w:space="4"/>
        </w:pBdr>
        <w:spacing w:after="160" w:before="320"/>
      </w:pPr>
      <w:r>
        <w:rPr>
          <w:b/>
          <w:bCs/>
          <w:color w:val="1F3864"/>
          <w:sz w:val="28"/>
          <w:szCs w:val="28"/>
        </w:rPr>
        <w:t xml:space="preserve">Key Performance Indicators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c>
          <w:tcPr>
            <w:tcW w:type="dxa" w:w="2500"/>
            <w:shd w:fill="EFF3F1" w:val="clear"/>
            <w:tcMar>
              <w:top w:type="dxa" w:w="160"/>
              <w:left w:type="dxa" w:w="160"/>
              <w:bottom w:type="dxa" w:w="160"/>
              <w:right w:type="dxa" w:w="160"/>
            </w:tcMar>
            <w:vAlign w:val="center"/>
          </w:tcPr>
          <w:p>
            <w:pPr>
              <w:spacing w:after="60"/>
              <w:jc w:val="center"/>
            </w:pPr>
            <w:r>
              <w:rPr>
                <w:b/>
                <w:bCs/>
                <w:color w:val="1F3864"/>
                <w:sz w:val="26"/>
                <w:szCs w:val="26"/>
              </w:rPr>
              <w:t xml:space="preserve">₹5.30 Cr+</w:t>
            </w:r>
          </w:p>
          <w:p>
            <w:pPr>
              <w:jc w:val="center"/>
            </w:pPr>
            <w:r>
              <w:rPr>
                <w:color w:val="595959"/>
                <w:sz w:val="18"/>
                <w:szCs w:val="18"/>
              </w:rPr>
              <w:t xml:space="preserve">Total Sales (Jan–Aug 2025)</w:t>
            </w:r>
          </w:p>
        </w:tc>
        <w:tc>
          <w:tcPr>
            <w:tcW w:type="dxa" w:w="2500"/>
            <w:shd w:fill="EFF3F1" w:val="clear"/>
            <w:tcMar>
              <w:top w:type="dxa" w:w="160"/>
              <w:left w:type="dxa" w:w="160"/>
              <w:bottom w:type="dxa" w:w="160"/>
              <w:right w:type="dxa" w:w="160"/>
            </w:tcMar>
            <w:vAlign w:val="center"/>
          </w:tcPr>
          <w:p>
            <w:pPr>
              <w:spacing w:after="60"/>
              <w:jc w:val="center"/>
            </w:pPr>
            <w:r>
              <w:rPr>
                <w:b/>
                <w:bCs/>
                <w:color w:val="1F3864"/>
                <w:sz w:val="26"/>
                <w:szCs w:val="26"/>
              </w:rPr>
              <w:t xml:space="preserve">~1.87 Lakh</w:t>
            </w:r>
          </w:p>
          <w:p>
            <w:pPr>
              <w:jc w:val="center"/>
            </w:pPr>
            <w:r>
              <w:rPr>
                <w:color w:val="595959"/>
                <w:sz w:val="18"/>
                <w:szCs w:val="18"/>
              </w:rPr>
              <w:t xml:space="preserve">Total Orders</w:t>
            </w:r>
          </w:p>
        </w:tc>
        <w:tc>
          <w:tcPr>
            <w:tcW w:type="dxa" w:w="2500"/>
            <w:shd w:fill="EFF3F1" w:val="clear"/>
            <w:tcMar>
              <w:top w:type="dxa" w:w="160"/>
              <w:left w:type="dxa" w:w="160"/>
              <w:bottom w:type="dxa" w:w="160"/>
              <w:right w:type="dxa" w:w="160"/>
            </w:tcMar>
            <w:vAlign w:val="center"/>
          </w:tcPr>
          <w:p>
            <w:pPr>
              <w:spacing w:after="60"/>
              <w:jc w:val="center"/>
            </w:pPr>
            <w:r>
              <w:rPr>
                <w:b/>
                <w:bCs/>
                <w:color w:val="1F3864"/>
                <w:sz w:val="26"/>
                <w:szCs w:val="26"/>
              </w:rPr>
              <w:t xml:space="preserve">₹268.51</w:t>
            </w:r>
          </w:p>
          <w:p>
            <w:pPr>
              <w:jc w:val="center"/>
            </w:pPr>
            <w:r>
              <w:rPr>
                <w:color w:val="595959"/>
                <w:sz w:val="18"/>
                <w:szCs w:val="18"/>
              </w:rPr>
              <w:t xml:space="preserve">Avg Order Value</w:t>
            </w:r>
          </w:p>
        </w:tc>
        <w:tc>
          <w:tcPr>
            <w:tcW w:type="dxa" w:w="2500"/>
            <w:shd w:fill="EFF3F1" w:val="clear"/>
            <w:tcMar>
              <w:top w:type="dxa" w:w="160"/>
              <w:left w:type="dxa" w:w="160"/>
              <w:bottom w:type="dxa" w:w="160"/>
              <w:right w:type="dxa" w:w="160"/>
            </w:tcMar>
            <w:vAlign w:val="center"/>
          </w:tcPr>
          <w:p>
            <w:pPr>
              <w:spacing w:after="60"/>
              <w:jc w:val="center"/>
            </w:pPr>
            <w:r>
              <w:rPr>
                <w:b/>
                <w:bCs/>
                <w:color w:val="1F3864"/>
                <w:sz w:val="26"/>
                <w:szCs w:val="26"/>
              </w:rPr>
              <w:t xml:space="preserve">~3.9 / 5</w:t>
            </w:r>
          </w:p>
          <w:p>
            <w:pPr>
              <w:jc w:val="center"/>
            </w:pPr>
            <w:r>
              <w:rPr>
                <w:color w:val="595959"/>
                <w:sz w:val="18"/>
                <w:szCs w:val="18"/>
              </w:rPr>
              <w:t xml:space="preserve">Avg Weighted Rating</w:t>
            </w:r>
          </w:p>
        </w:tc>
      </w:tr>
    </w:tbl>
    <w:p>
      <w:pPr>
        <w:spacing w:before="200"/>
      </w:pPr>
    </w:p>
    <w:p>
      <w:pPr>
        <w:pStyle w:val="Heading1"/>
        <w:pBdr>
          <w:bottom w:val="single" w:color="2E7D6E" w:sz="6" w:space="4"/>
        </w:pBdr>
        <w:spacing w:after="160" w:before="320"/>
      </w:pPr>
      <w:r>
        <w:rPr>
          <w:b/>
          <w:bCs/>
          <w:color w:val="1F3864"/>
          <w:sz w:val="28"/>
          <w:szCs w:val="28"/>
        </w:rPr>
        <w:t xml:space="preserve">Key Findings</w:t>
      </w:r>
    </w:p>
    <w:p>
      <w:pPr>
        <w:pStyle w:val="Heading2"/>
        <w:spacing w:after="100" w:before="220"/>
      </w:pPr>
      <w:r>
        <w:rPr>
          <w:b/>
          <w:bCs/>
          <w:color w:val="2E7D6E"/>
          <w:sz w:val="24"/>
          <w:szCs w:val="24"/>
        </w:rPr>
        <w:t xml:space="preserve">Monthly &amp; Seasonal Trend</w:t>
      </w:r>
    </w:p>
    <w:p>
      <w:pPr>
        <w:spacing w:after="140" w:line="300"/>
      </w:pPr>
      <w:r>
        <w:rPr>
          <w:color w:val="262626"/>
          <w:sz w:val="22"/>
          <w:szCs w:val="22"/>
        </w:rPr>
        <w:t xml:space="preserve">Sales followed a long-term upward trend with short-term volatility. Sales peaked in April and May and dipped to their lowest point in February. At the quarterly level, Q2 (Apr–Jun) was the strongest quarter, generating roughly ₹1.99 crore across about 73,800 orders — plausibly linked to the summer travel and wedding season, when social gatherings and hosting drive higher order frequency. Revenue and order volume both dropped sharply in Q3, with orders falling to about 49,900.</w:t>
      </w:r>
    </w:p>
    <w:p>
      <w:pPr>
        <w:pStyle w:val="Heading2"/>
        <w:spacing w:after="100" w:before="220"/>
      </w:pPr>
      <w:r>
        <w:rPr>
          <w:b/>
          <w:bCs/>
          <w:color w:val="2E7D6E"/>
          <w:sz w:val="24"/>
          <w:szCs w:val="24"/>
        </w:rPr>
        <w:t xml:space="preserve">Day-of-Week &amp; Weekly Patterns</w:t>
      </w:r>
    </w:p>
    <w:p>
      <w:pPr>
        <w:spacing w:after="140" w:line="300"/>
      </w:pPr>
      <w:r>
        <w:rPr>
          <w:color w:val="262626"/>
          <w:sz w:val="22"/>
          <w:szCs w:val="22"/>
        </w:rPr>
        <w:t xml:space="preserve">Daily sales were largely stable across the week, with a modest uptick on Saturdays consistent with weekend leisure ordering. Week-over-week sales through the year were similarly stable, showing no strong cyclical spikes outside the Q2 season.</w:t>
      </w:r>
    </w:p>
    <w:p>
      <w:pPr>
        <w:pStyle w:val="Heading2"/>
        <w:spacing w:after="100" w:before="220"/>
      </w:pPr>
      <w:r>
        <w:rPr>
          <w:b/>
          <w:bCs/>
          <w:color w:val="2E7D6E"/>
          <w:sz w:val="24"/>
          <w:szCs w:val="24"/>
        </w:rPr>
        <w:t xml:space="preserve">Food Category Mix</w:t>
      </w:r>
    </w:p>
    <w:p>
      <w:pPr>
        <w:spacing w:after="140" w:line="300"/>
      </w:pPr>
      <w:r>
        <w:rPr>
          <w:color w:val="262626"/>
          <w:sz w:val="22"/>
          <w:szCs w:val="22"/>
        </w:rPr>
        <w:t xml:space="preserve">Vegetarian dishes accounted for approximately 68.2% of total revenue versus 31.8% for non-vegetarian dishes, indicating veg items are the primary revenue driver on the platform over this period.</w:t>
      </w:r>
    </w:p>
    <w:p>
      <w:pPr>
        <w:pStyle w:val="Heading2"/>
        <w:spacing w:after="100" w:before="220"/>
      </w:pPr>
      <w:r>
        <w:rPr>
          <w:b/>
          <w:bCs/>
          <w:color w:val="2E7D6E"/>
          <w:sz w:val="24"/>
          <w:szCs w:val="24"/>
        </w:rPr>
        <w:t xml:space="preserve">Geographic Performance</w:t>
      </w:r>
    </w:p>
    <w:p>
      <w:pPr>
        <w:spacing w:after="140" w:line="300"/>
      </w:pPr>
      <w:r>
        <w:rPr>
          <w:color w:val="262626"/>
          <w:sz w:val="22"/>
          <w:szCs w:val="22"/>
        </w:rPr>
        <w:t xml:space="preserve">Karnataka generated the highest revenue by state, followed by Uttar Pradesh, Telangana, and Maharashtra; Sikkim generated the least. At the city level, Bengaluru, Lucknow, Hyderabad, Mumbai, and New Delhi were the top five revenue-generating cities. Over half of all orders (roughly 57%) originated from major metro cities, which also showed a higher concentration of high-value orders.</w:t>
      </w:r>
    </w:p>
    <w:p>
      <w:pPr>
        <w:pStyle w:val="Heading1"/>
        <w:pBdr>
          <w:bottom w:val="single" w:color="2E7D6E" w:sz="6" w:space="4"/>
        </w:pBdr>
        <w:spacing w:after="160" w:before="320"/>
      </w:pPr>
      <w:r>
        <w:rPr>
          <w:b/>
          <w:bCs/>
          <w:color w:val="1F3864"/>
          <w:sz w:val="28"/>
          <w:szCs w:val="28"/>
        </w:rPr>
        <w:t xml:space="preserve">Conclusion</w:t>
      </w:r>
    </w:p>
    <w:p>
      <w:pPr>
        <w:spacing w:after="140" w:line="300"/>
      </w:pPr>
      <w:r>
        <w:rPr>
          <w:color w:val="262626"/>
          <w:sz w:val="22"/>
          <w:szCs w:val="22"/>
        </w:rPr>
        <w:t xml:space="preserve">Two patterns stand out as likely drivers of the observed sales trend, along with a recommended response to each:</w:t>
      </w:r>
    </w:p>
    <w:p>
      <w:pPr>
        <w:pStyle w:val="Heading2"/>
        <w:spacing w:after="100" w:before="220"/>
      </w:pPr>
      <w:r>
        <w:rPr>
          <w:b/>
          <w:bCs/>
          <w:color w:val="2E7D6E"/>
          <w:sz w:val="24"/>
          <w:szCs w:val="24"/>
        </w:rPr>
        <w:t xml:space="preserve">1. Seasonal demand concentration (Q2 peak, Q3 decline)</w:t>
      </w:r>
    </w:p>
    <w:p>
      <w:pPr>
        <w:spacing w:after="140" w:line="300"/>
      </w:pPr>
      <w:r>
        <w:rPr>
          <w:color w:val="262626"/>
          <w:sz w:val="22"/>
          <w:szCs w:val="22"/>
        </w:rPr>
        <w:t xml:space="preserve">Cause: Sales cluster heavily around April–May, coinciding with summer travel and wedding season, then fall off sharply by Q3. This suggests revenue is currently driven more by occasion-based, discretionary ordering than by steady day-to-day habitual usage.</w:t>
      </w:r>
    </w:p>
    <w:p>
      <w:pPr>
        <w:spacing w:after="140" w:line="300"/>
      </w:pPr>
      <w:r>
        <w:rPr>
          <w:color w:val="262626"/>
          <w:sz w:val="22"/>
          <w:szCs w:val="22"/>
        </w:rPr>
        <w:t xml:space="preserve">Solution: Introduce counter-seasonal campaigns for Q3 (monsoon-season combo offers, festive pre-launches, subscription-style discounts for frequent ordering) to smooth demand across the year rather than relying on the Q2 spike. Loyalty programs tied to order frequency, rather than order size, could help convert occasion-based buyers into habitual ones.</w:t>
      </w:r>
    </w:p>
    <w:p>
      <w:pPr>
        <w:pStyle w:val="Heading2"/>
        <w:spacing w:after="100" w:before="220"/>
      </w:pPr>
      <w:r>
        <w:rPr>
          <w:b/>
          <w:bCs/>
          <w:color w:val="2E7D6E"/>
          <w:sz w:val="24"/>
          <w:szCs w:val="24"/>
        </w:rPr>
        <w:t xml:space="preserve">2. Metro-city and category concentration risk</w:t>
      </w:r>
    </w:p>
    <w:p>
      <w:pPr>
        <w:spacing w:after="140" w:line="300"/>
      </w:pPr>
      <w:r>
        <w:rPr>
          <w:color w:val="262626"/>
          <w:sz w:val="22"/>
          <w:szCs w:val="22"/>
        </w:rPr>
        <w:t xml:space="preserve">Cause: A large share of revenue is concentrated in a handful of metro cities and in the vegetarian category, while non-metro cities and non-veg items contribute comparatively less. This concentration makes overall revenue sensitive to demand shifts in just a few markets and one category.</w:t>
      </w:r>
    </w:p>
    <w:p>
      <w:pPr>
        <w:spacing w:after="140" w:line="300"/>
      </w:pPr>
      <w:r>
        <w:rPr>
          <w:color w:val="262626"/>
          <w:sz w:val="22"/>
          <w:szCs w:val="22"/>
        </w:rPr>
        <w:t xml:space="preserve">Solution: Expand targeted promotions and restaurant partner onboarding in high-potential non-metro cities to diversify the revenue base, and run bundled or discovery-focused promotions for the non-veg category to grow its still-under-indexed share of revenue. Combining this with city-tier-specific pricing (leveraging the price-outlier findings) can also help capture upper-middle-class demand in metros without alienating price-sensitive segments elsewhere.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2026-09-13T10:23:25.429Z</dcterms:created>
  <dcterms:modified xsi:type="dcterms:W3CDTF">2026-09-13T10:23:25.438Z</dcterms:modified>
</cp:coreProperties>
</file>

<file path=docProps/custom.xml><?xml version="1.0" encoding="utf-8"?>
<Properties xmlns="http://schemas.openxmlformats.org/officeDocument/2006/custom-properties" xmlns:vt="http://schemas.openxmlformats.org/officeDocument/2006/docPropsVTypes"/>
</file>