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D0A47" w14:textId="77777777" w:rsidR="00513906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202FE7F6" w14:textId="77777777" w:rsidR="00513906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68E29B9C" w14:textId="77777777" w:rsidR="00513906" w:rsidRDefault="00513906">
      <w:pPr>
        <w:spacing w:after="0"/>
        <w:jc w:val="center"/>
        <w:rPr>
          <w:b/>
          <w:bCs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13906" w14:paraId="7CC73CCA" w14:textId="77777777">
        <w:tc>
          <w:tcPr>
            <w:tcW w:w="4508" w:type="dxa"/>
          </w:tcPr>
          <w:p w14:paraId="5878A84E" w14:textId="77777777" w:rsidR="00513906" w:rsidRDefault="00000000">
            <w:r>
              <w:t>Date</w:t>
            </w:r>
          </w:p>
        </w:tc>
        <w:tc>
          <w:tcPr>
            <w:tcW w:w="4843" w:type="dxa"/>
          </w:tcPr>
          <w:p w14:paraId="27DDA31C" w14:textId="77777777" w:rsidR="00513906" w:rsidRDefault="00000000">
            <w:r>
              <w:t>31 January 2026</w:t>
            </w:r>
          </w:p>
        </w:tc>
      </w:tr>
      <w:tr w:rsidR="00513906" w14:paraId="4029C1B4" w14:textId="77777777">
        <w:tc>
          <w:tcPr>
            <w:tcW w:w="4508" w:type="dxa"/>
          </w:tcPr>
          <w:p w14:paraId="02740680" w14:textId="77777777" w:rsidR="00513906" w:rsidRDefault="00000000">
            <w:r>
              <w:t>Team ID</w:t>
            </w:r>
          </w:p>
        </w:tc>
        <w:tc>
          <w:tcPr>
            <w:tcW w:w="4843" w:type="dxa"/>
          </w:tcPr>
          <w:p w14:paraId="382A0C61" w14:textId="77777777" w:rsidR="00513906" w:rsidRDefault="00513906"/>
        </w:tc>
      </w:tr>
      <w:tr w:rsidR="00513906" w14:paraId="53A18A85" w14:textId="77777777">
        <w:tc>
          <w:tcPr>
            <w:tcW w:w="4508" w:type="dxa"/>
          </w:tcPr>
          <w:p w14:paraId="1CF8E66B" w14:textId="77777777" w:rsidR="00513906" w:rsidRDefault="00000000">
            <w:r>
              <w:t>Project Name</w:t>
            </w:r>
          </w:p>
        </w:tc>
        <w:tc>
          <w:tcPr>
            <w:tcW w:w="4843" w:type="dxa"/>
          </w:tcPr>
          <w:p w14:paraId="13AC4A0D" w14:textId="16BB1CB8" w:rsidR="00513906" w:rsidRDefault="00765261">
            <w:r>
              <w:t>Samriddhi</w:t>
            </w:r>
            <w:r w:rsidR="0076363C">
              <w:t xml:space="preserve"> Sharma</w:t>
            </w:r>
          </w:p>
        </w:tc>
      </w:tr>
      <w:tr w:rsidR="00513906" w14:paraId="370372E2" w14:textId="77777777">
        <w:tc>
          <w:tcPr>
            <w:tcW w:w="4508" w:type="dxa"/>
          </w:tcPr>
          <w:p w14:paraId="774BFA30" w14:textId="77777777" w:rsidR="00513906" w:rsidRDefault="00000000">
            <w:r>
              <w:t>Maximum Marks</w:t>
            </w:r>
          </w:p>
        </w:tc>
        <w:tc>
          <w:tcPr>
            <w:tcW w:w="4843" w:type="dxa"/>
          </w:tcPr>
          <w:p w14:paraId="38C9F687" w14:textId="77777777" w:rsidR="00513906" w:rsidRDefault="00000000">
            <w:r>
              <w:t>4 Marks</w:t>
            </w:r>
          </w:p>
        </w:tc>
      </w:tr>
    </w:tbl>
    <w:p w14:paraId="1A5B19C7" w14:textId="77777777" w:rsidR="00513906" w:rsidRDefault="00000000">
      <w:pPr>
        <w:spacing w:after="0"/>
        <w:rPr>
          <w:b/>
          <w:bCs/>
        </w:rPr>
      </w:pPr>
      <w:r>
        <w:rPr>
          <w:b/>
          <w:bCs/>
        </w:rPr>
        <w:t>Functional Requirements:</w:t>
      </w:r>
    </w:p>
    <w:p w14:paraId="33F89A52" w14:textId="77777777" w:rsidR="00513906" w:rsidRDefault="00000000">
      <w:r>
        <w:t>Following are the functional requirements of the proposed solution.</w:t>
      </w:r>
    </w:p>
    <w:tbl>
      <w:tblPr>
        <w:tblStyle w:val="a3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2"/>
        <w:gridCol w:w="2016"/>
        <w:gridCol w:w="4900"/>
        <w:gridCol w:w="1816"/>
      </w:tblGrid>
      <w:tr w:rsidR="00513906" w14:paraId="10AC57F3" w14:textId="77777777" w:rsidTr="0076363C">
        <w:trPr>
          <w:trHeight w:val="333"/>
        </w:trPr>
        <w:tc>
          <w:tcPr>
            <w:tcW w:w="592" w:type="dxa"/>
          </w:tcPr>
          <w:p w14:paraId="63450A03" w14:textId="77777777" w:rsidR="005139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2016" w:type="dxa"/>
          </w:tcPr>
          <w:p w14:paraId="6A9E0734" w14:textId="77777777" w:rsidR="005139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4900" w:type="dxa"/>
          </w:tcPr>
          <w:p w14:paraId="4B87483B" w14:textId="77777777" w:rsidR="005139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  <w:tc>
          <w:tcPr>
            <w:tcW w:w="1816" w:type="dxa"/>
          </w:tcPr>
          <w:p w14:paraId="1FEAE051" w14:textId="77777777" w:rsidR="005139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Priority (High/Medium/Low)</w:t>
            </w:r>
          </w:p>
        </w:tc>
      </w:tr>
      <w:tr w:rsidR="0076363C" w14:paraId="7547C5AD" w14:textId="77777777" w:rsidTr="0076363C">
        <w:trPr>
          <w:trHeight w:val="489"/>
        </w:trPr>
        <w:tc>
          <w:tcPr>
            <w:tcW w:w="592" w:type="dxa"/>
            <w:vAlign w:val="center"/>
          </w:tcPr>
          <w:p w14:paraId="3EB6B48F" w14:textId="58446EE2" w:rsidR="0076363C" w:rsidRDefault="0076363C" w:rsidP="0076363C">
            <w:r>
              <w:rPr>
                <w:rStyle w:val="Strong"/>
              </w:rPr>
              <w:t>1</w:t>
            </w:r>
          </w:p>
        </w:tc>
        <w:tc>
          <w:tcPr>
            <w:tcW w:w="2016" w:type="dxa"/>
            <w:vAlign w:val="center"/>
          </w:tcPr>
          <w:p w14:paraId="02399D08" w14:textId="4FDC215E" w:rsidR="0076363C" w:rsidRDefault="0076363C" w:rsidP="0076363C">
            <w:r>
              <w:rPr>
                <w:rStyle w:val="Strong"/>
              </w:rPr>
              <w:t>Data Access &amp; Integration</w:t>
            </w:r>
          </w:p>
        </w:tc>
        <w:tc>
          <w:tcPr>
            <w:tcW w:w="4900" w:type="dxa"/>
            <w:vAlign w:val="center"/>
          </w:tcPr>
          <w:p w14:paraId="7749EF87" w14:textId="4C5A840E" w:rsidR="0076363C" w:rsidRDefault="0076363C" w:rsidP="0076363C">
            <w:r>
              <w:t xml:space="preserve">Access and integrate historical F1 dataset </w:t>
            </w:r>
            <w:r>
              <w:rPr>
                <w:rStyle w:val="HTMLCode"/>
                <w:rFonts w:eastAsia="Calibri"/>
              </w:rPr>
              <w:t>F1 Racing Project Dataset.xlsx</w:t>
            </w:r>
            <w:r>
              <w:t xml:space="preserve"> comprising 6,464 records across 5 key sheets (</w:t>
            </w:r>
            <w:proofErr w:type="spellStart"/>
            <w:r>
              <w:rPr>
                <w:rStyle w:val="HTMLCode"/>
                <w:rFonts w:eastAsia="Calibri"/>
              </w:rPr>
              <w:t>race_results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="Calibri"/>
              </w:rPr>
              <w:t>championship_standings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="Calibri"/>
              </w:rPr>
              <w:t>qualifying_results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="Calibri"/>
              </w:rPr>
              <w:t>lap_intelligence</w:t>
            </w:r>
            <w:proofErr w:type="spellEnd"/>
            <w:r>
              <w:t xml:space="preserve">, and </w:t>
            </w:r>
            <w:proofErr w:type="spellStart"/>
            <w:r>
              <w:rPr>
                <w:rStyle w:val="HTMLCode"/>
                <w:rFonts w:eastAsia="Calibri"/>
              </w:rPr>
              <w:t>circuit_details</w:t>
            </w:r>
            <w:proofErr w:type="spellEnd"/>
            <w:r>
              <w:t>).</w:t>
            </w:r>
          </w:p>
        </w:tc>
        <w:tc>
          <w:tcPr>
            <w:tcW w:w="1816" w:type="dxa"/>
            <w:vAlign w:val="center"/>
          </w:tcPr>
          <w:p w14:paraId="6A771404" w14:textId="4788DE02" w:rsidR="0076363C" w:rsidRDefault="0076363C" w:rsidP="0076363C">
            <w:r>
              <w:t>High</w:t>
            </w:r>
          </w:p>
        </w:tc>
      </w:tr>
      <w:tr w:rsidR="0076363C" w14:paraId="0EA087E2" w14:textId="77777777" w:rsidTr="0076363C">
        <w:trPr>
          <w:trHeight w:val="489"/>
        </w:trPr>
        <w:tc>
          <w:tcPr>
            <w:tcW w:w="592" w:type="dxa"/>
            <w:vAlign w:val="center"/>
          </w:tcPr>
          <w:p w14:paraId="5D777116" w14:textId="29B79B60" w:rsidR="0076363C" w:rsidRDefault="0076363C" w:rsidP="0076363C">
            <w:r>
              <w:rPr>
                <w:rStyle w:val="Strong"/>
              </w:rPr>
              <w:t>2</w:t>
            </w:r>
          </w:p>
        </w:tc>
        <w:tc>
          <w:tcPr>
            <w:tcW w:w="2016" w:type="dxa"/>
            <w:vAlign w:val="center"/>
          </w:tcPr>
          <w:p w14:paraId="4A3A40EB" w14:textId="6E0EF0E1" w:rsidR="0076363C" w:rsidRDefault="0076363C" w:rsidP="0076363C">
            <w:r>
              <w:rPr>
                <w:rStyle w:val="Strong"/>
              </w:rPr>
              <w:t>Data Processing</w:t>
            </w:r>
          </w:p>
        </w:tc>
        <w:tc>
          <w:tcPr>
            <w:tcW w:w="4900" w:type="dxa"/>
            <w:vAlign w:val="center"/>
          </w:tcPr>
          <w:p w14:paraId="37D94EBD" w14:textId="6AFE9D24" w:rsidR="0076363C" w:rsidRDefault="0076363C" w:rsidP="0076363C">
            <w:r>
              <w:t>Clean and transform raw telemetry and standings data, handling missing DNF reasons, standardizing starting tyre compounds, and computing aggregated fields (</w:t>
            </w:r>
            <w:proofErr w:type="gramStart"/>
            <w:r>
              <w:rPr>
                <w:rStyle w:val="HTMLCode"/>
                <w:rFonts w:eastAsia="Calibri"/>
              </w:rPr>
              <w:t>COUNTD(</w:t>
            </w:r>
            <w:proofErr w:type="spellStart"/>
            <w:proofErr w:type="gramEnd"/>
            <w:r>
              <w:rPr>
                <w:rStyle w:val="HTMLCode"/>
                <w:rFonts w:eastAsia="Calibri"/>
              </w:rPr>
              <w:t>race_id</w:t>
            </w:r>
            <w:proofErr w:type="spellEnd"/>
            <w:r>
              <w:rPr>
                <w:rStyle w:val="HTMLCode"/>
                <w:rFonts w:eastAsia="Calibri"/>
              </w:rPr>
              <w:t>)</w:t>
            </w:r>
            <w:r>
              <w:t xml:space="preserve">, </w:t>
            </w:r>
            <w:proofErr w:type="gramStart"/>
            <w:r>
              <w:rPr>
                <w:rStyle w:val="HTMLCode"/>
                <w:rFonts w:eastAsia="Calibri"/>
              </w:rPr>
              <w:t>AVG(</w:t>
            </w:r>
            <w:proofErr w:type="gramEnd"/>
            <w:r>
              <w:rPr>
                <w:rStyle w:val="HTMLCode"/>
                <w:rFonts w:eastAsia="Calibri"/>
              </w:rPr>
              <w:t>points)</w:t>
            </w:r>
            <w:r>
              <w:t>).</w:t>
            </w:r>
          </w:p>
        </w:tc>
        <w:tc>
          <w:tcPr>
            <w:tcW w:w="1816" w:type="dxa"/>
            <w:vAlign w:val="center"/>
          </w:tcPr>
          <w:p w14:paraId="26AE7A8F" w14:textId="44DF5C5F" w:rsidR="0076363C" w:rsidRDefault="0076363C" w:rsidP="0076363C">
            <w:r>
              <w:t>High</w:t>
            </w:r>
          </w:p>
        </w:tc>
      </w:tr>
      <w:tr w:rsidR="0076363C" w14:paraId="12CE3660" w14:textId="77777777" w:rsidTr="0076363C">
        <w:trPr>
          <w:trHeight w:val="760"/>
        </w:trPr>
        <w:tc>
          <w:tcPr>
            <w:tcW w:w="592" w:type="dxa"/>
            <w:vAlign w:val="center"/>
          </w:tcPr>
          <w:p w14:paraId="3F89AAF7" w14:textId="4FDDA018" w:rsidR="0076363C" w:rsidRDefault="0076363C" w:rsidP="0076363C">
            <w:r>
              <w:rPr>
                <w:rStyle w:val="Strong"/>
              </w:rPr>
              <w:t>3</w:t>
            </w:r>
          </w:p>
        </w:tc>
        <w:tc>
          <w:tcPr>
            <w:tcW w:w="2016" w:type="dxa"/>
            <w:vAlign w:val="center"/>
          </w:tcPr>
          <w:p w14:paraId="1F70929C" w14:textId="180A2884" w:rsidR="0076363C" w:rsidRDefault="0076363C" w:rsidP="0076363C">
            <w:r>
              <w:rPr>
                <w:rStyle w:val="Strong"/>
              </w:rPr>
              <w:t>Business Analysis</w:t>
            </w:r>
          </w:p>
        </w:tc>
        <w:tc>
          <w:tcPr>
            <w:tcW w:w="4900" w:type="dxa"/>
            <w:vAlign w:val="center"/>
          </w:tcPr>
          <w:p w14:paraId="3CB52C16" w14:textId="027C044E" w:rsidR="0076363C" w:rsidRDefault="0076363C" w:rsidP="0076363C">
            <w:r>
              <w:t>Calculate key F1 performance KPIs including cumulative points, driver/team podium counts, average points by compound/circuit type, DNF rates (</w:t>
            </w:r>
            <w:proofErr w:type="gramStart"/>
            <w:r>
              <w:rPr>
                <w:rStyle w:val="HTMLCode"/>
                <w:rFonts w:eastAsia="Calibri"/>
              </w:rPr>
              <w:t>AVG(</w:t>
            </w:r>
            <w:proofErr w:type="spellStart"/>
            <w:proofErr w:type="gramEnd"/>
            <w:r>
              <w:rPr>
                <w:rStyle w:val="HTMLCode"/>
                <w:rFonts w:eastAsia="Calibri"/>
              </w:rPr>
              <w:t>dnf</w:t>
            </w:r>
            <w:proofErr w:type="spellEnd"/>
            <w:r>
              <w:rPr>
                <w:rStyle w:val="HTMLCode"/>
                <w:rFonts w:eastAsia="Calibri"/>
              </w:rPr>
              <w:t>)</w:t>
            </w:r>
            <w:r>
              <w:t>), and season race completion rates (</w:t>
            </w:r>
            <w:r>
              <w:rPr>
                <w:rStyle w:val="HTMLCode"/>
                <w:rFonts w:eastAsia="Calibri"/>
              </w:rPr>
              <w:t xml:space="preserve">1 - </w:t>
            </w:r>
            <w:proofErr w:type="gramStart"/>
            <w:r>
              <w:rPr>
                <w:rStyle w:val="HTMLCode"/>
                <w:rFonts w:eastAsia="Calibri"/>
              </w:rPr>
              <w:t>AVG(</w:t>
            </w:r>
            <w:proofErr w:type="spellStart"/>
            <w:proofErr w:type="gramEnd"/>
            <w:r>
              <w:rPr>
                <w:rStyle w:val="HTMLCode"/>
                <w:rFonts w:eastAsia="Calibri"/>
              </w:rPr>
              <w:t>dnf</w:t>
            </w:r>
            <w:proofErr w:type="spellEnd"/>
            <w:r>
              <w:rPr>
                <w:rStyle w:val="HTMLCode"/>
                <w:rFonts w:eastAsia="Calibri"/>
              </w:rPr>
              <w:t>)</w:t>
            </w:r>
            <w:r>
              <w:t>).</w:t>
            </w:r>
          </w:p>
        </w:tc>
        <w:tc>
          <w:tcPr>
            <w:tcW w:w="1816" w:type="dxa"/>
            <w:vAlign w:val="center"/>
          </w:tcPr>
          <w:p w14:paraId="0D69116D" w14:textId="6ABDDCE8" w:rsidR="0076363C" w:rsidRDefault="0076363C" w:rsidP="0076363C">
            <w:r>
              <w:t>High</w:t>
            </w:r>
          </w:p>
        </w:tc>
      </w:tr>
      <w:tr w:rsidR="0076363C" w14:paraId="6B7D0438" w14:textId="77777777" w:rsidTr="0076363C">
        <w:trPr>
          <w:trHeight w:val="489"/>
        </w:trPr>
        <w:tc>
          <w:tcPr>
            <w:tcW w:w="592" w:type="dxa"/>
            <w:vAlign w:val="center"/>
          </w:tcPr>
          <w:p w14:paraId="0C08C80F" w14:textId="7F2096EA" w:rsidR="0076363C" w:rsidRDefault="0076363C" w:rsidP="0076363C">
            <w:r>
              <w:rPr>
                <w:rStyle w:val="Strong"/>
              </w:rPr>
              <w:t>4</w:t>
            </w:r>
          </w:p>
        </w:tc>
        <w:tc>
          <w:tcPr>
            <w:tcW w:w="2016" w:type="dxa"/>
            <w:vAlign w:val="center"/>
          </w:tcPr>
          <w:p w14:paraId="47EFB05B" w14:textId="67BB187B" w:rsidR="0076363C" w:rsidRDefault="0076363C" w:rsidP="0076363C">
            <w:r>
              <w:rPr>
                <w:rStyle w:val="Strong"/>
              </w:rPr>
              <w:t>Business Insights &amp; Analytical Outputs</w:t>
            </w:r>
          </w:p>
        </w:tc>
        <w:tc>
          <w:tcPr>
            <w:tcW w:w="4900" w:type="dxa"/>
            <w:vAlign w:val="center"/>
          </w:tcPr>
          <w:p w14:paraId="514D62C8" w14:textId="1A3E07A2" w:rsidR="0076363C" w:rsidRDefault="0076363C" w:rsidP="0076363C">
            <w:r>
              <w:t>Deliver 9 interactive Tableau visualisations covering Team Performance Trajectory, Tyre Strategy Heatmaps, Leaderboards, Host Country distributions, Podiums, and Reliability/DNF analysis.</w:t>
            </w:r>
          </w:p>
        </w:tc>
        <w:tc>
          <w:tcPr>
            <w:tcW w:w="1816" w:type="dxa"/>
            <w:vAlign w:val="center"/>
          </w:tcPr>
          <w:p w14:paraId="20D376B0" w14:textId="58B7810E" w:rsidR="0076363C" w:rsidRDefault="0076363C" w:rsidP="0076363C">
            <w:r>
              <w:t>High</w:t>
            </w:r>
          </w:p>
        </w:tc>
      </w:tr>
      <w:tr w:rsidR="0076363C" w14:paraId="20ED35DC" w14:textId="77777777" w:rsidTr="0076363C">
        <w:trPr>
          <w:trHeight w:val="489"/>
        </w:trPr>
        <w:tc>
          <w:tcPr>
            <w:tcW w:w="592" w:type="dxa"/>
            <w:vAlign w:val="center"/>
          </w:tcPr>
          <w:p w14:paraId="3617C0B8" w14:textId="64D23785" w:rsidR="0076363C" w:rsidRDefault="0076363C" w:rsidP="0076363C">
            <w:r>
              <w:rPr>
                <w:rStyle w:val="Strong"/>
              </w:rPr>
              <w:t>5</w:t>
            </w:r>
          </w:p>
        </w:tc>
        <w:tc>
          <w:tcPr>
            <w:tcW w:w="2016" w:type="dxa"/>
            <w:vAlign w:val="center"/>
          </w:tcPr>
          <w:p w14:paraId="48492DBB" w14:textId="3D6CAC7D" w:rsidR="0076363C" w:rsidRDefault="0076363C" w:rsidP="0076363C">
            <w:r>
              <w:rPr>
                <w:rStyle w:val="Strong"/>
              </w:rPr>
              <w:t>User Interaction &amp; Analysis</w:t>
            </w:r>
          </w:p>
        </w:tc>
        <w:tc>
          <w:tcPr>
            <w:tcW w:w="4900" w:type="dxa"/>
            <w:vAlign w:val="center"/>
          </w:tcPr>
          <w:p w14:paraId="3A6C4570" w14:textId="703E876F" w:rsidR="0076363C" w:rsidRDefault="0076363C" w:rsidP="0076363C">
            <w:r>
              <w:t>Provide interactive global filters (Season, Team, Circuit Type) and dashboard actions ("Use as Filter") to allow stakeholders to perform deep-dive analysis.</w:t>
            </w:r>
          </w:p>
        </w:tc>
        <w:tc>
          <w:tcPr>
            <w:tcW w:w="1816" w:type="dxa"/>
            <w:vAlign w:val="center"/>
          </w:tcPr>
          <w:p w14:paraId="66B09FBE" w14:textId="29DEABE1" w:rsidR="0076363C" w:rsidRDefault="0076363C" w:rsidP="0076363C">
            <w:r>
              <w:t>Medium</w:t>
            </w:r>
          </w:p>
        </w:tc>
      </w:tr>
      <w:tr w:rsidR="0076363C" w14:paraId="56F86555" w14:textId="77777777" w:rsidTr="0076363C">
        <w:trPr>
          <w:trHeight w:val="489"/>
        </w:trPr>
        <w:tc>
          <w:tcPr>
            <w:tcW w:w="592" w:type="dxa"/>
            <w:vAlign w:val="center"/>
          </w:tcPr>
          <w:p w14:paraId="78943B20" w14:textId="2FF6604C" w:rsidR="0076363C" w:rsidRDefault="0076363C" w:rsidP="0076363C">
            <w:pPr>
              <w:rPr>
                <w:rStyle w:val="Strong"/>
              </w:rPr>
            </w:pPr>
            <w:r>
              <w:rPr>
                <w:rStyle w:val="Strong"/>
              </w:rPr>
              <w:t>6</w:t>
            </w:r>
          </w:p>
        </w:tc>
        <w:tc>
          <w:tcPr>
            <w:tcW w:w="2016" w:type="dxa"/>
            <w:vAlign w:val="center"/>
          </w:tcPr>
          <w:p w14:paraId="69AD2A6A" w14:textId="3E5DCFB6" w:rsidR="0076363C" w:rsidRDefault="0076363C" w:rsidP="0076363C">
            <w:pPr>
              <w:rPr>
                <w:rStyle w:val="Strong"/>
              </w:rPr>
            </w:pPr>
            <w:r w:rsidRPr="0076363C">
              <w:rPr>
                <w:b/>
                <w:bCs/>
              </w:rPr>
              <w:t>Data Update &amp; Reporting</w:t>
            </w:r>
          </w:p>
        </w:tc>
        <w:tc>
          <w:tcPr>
            <w:tcW w:w="4900" w:type="dxa"/>
            <w:vAlign w:val="center"/>
          </w:tcPr>
          <w:p w14:paraId="33412503" w14:textId="125463F8" w:rsidR="0076363C" w:rsidRPr="0076363C" w:rsidRDefault="0076363C" w:rsidP="0076363C">
            <w:r w:rsidRPr="0076363C">
              <w:t>Enable packaged Tableau workbook (.</w:t>
            </w:r>
            <w:proofErr w:type="spellStart"/>
            <w:r w:rsidRPr="0076363C">
              <w:t>twbx</w:t>
            </w:r>
            <w:proofErr w:type="spellEnd"/>
            <w:r w:rsidRPr="0076363C">
              <w:t>) export and automated summary reporting to provide actionable insights for pre-race briefings and technical compliance reviews.</w:t>
            </w:r>
          </w:p>
        </w:tc>
        <w:tc>
          <w:tcPr>
            <w:tcW w:w="1816" w:type="dxa"/>
            <w:vAlign w:val="center"/>
          </w:tcPr>
          <w:p w14:paraId="6535AB45" w14:textId="55DB0E1A" w:rsidR="0076363C" w:rsidRDefault="0076363C" w:rsidP="0076363C">
            <w:r w:rsidRPr="0076363C">
              <w:rPr>
                <w:b/>
                <w:bCs/>
              </w:rPr>
              <w:t>Medium</w:t>
            </w:r>
          </w:p>
        </w:tc>
      </w:tr>
    </w:tbl>
    <w:p w14:paraId="482B3CC8" w14:textId="77777777" w:rsidR="00513906" w:rsidRDefault="00513906"/>
    <w:p w14:paraId="3DC799B3" w14:textId="77777777" w:rsidR="00513906" w:rsidRDefault="00000000">
      <w:pPr>
        <w:spacing w:after="0"/>
        <w:rPr>
          <w:b/>
          <w:bCs/>
        </w:rPr>
      </w:pPr>
      <w:r>
        <w:rPr>
          <w:b/>
          <w:bCs/>
        </w:rPr>
        <w:t>Non-functional Requirements:</w:t>
      </w:r>
    </w:p>
    <w:p w14:paraId="2D604816" w14:textId="77777777" w:rsidR="00513906" w:rsidRDefault="00000000">
      <w:pPr>
        <w:spacing w:after="0"/>
      </w:pPr>
      <w:r>
        <w:t>Following are the non-functional requirements of the proposed solution.</w:t>
      </w:r>
    </w:p>
    <w:tbl>
      <w:tblPr>
        <w:tblStyle w:val="a4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13906" w14:paraId="07503A92" w14:textId="77777777">
        <w:trPr>
          <w:trHeight w:val="333"/>
        </w:trPr>
        <w:tc>
          <w:tcPr>
            <w:tcW w:w="926" w:type="dxa"/>
          </w:tcPr>
          <w:p w14:paraId="61BA4896" w14:textId="77777777" w:rsidR="005139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427F7F1B" w14:textId="77777777" w:rsidR="005139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303BF5C4" w14:textId="77777777" w:rsidR="0051390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6363C" w14:paraId="5D740243" w14:textId="77777777" w:rsidTr="00371063">
        <w:trPr>
          <w:trHeight w:val="489"/>
        </w:trPr>
        <w:tc>
          <w:tcPr>
            <w:tcW w:w="926" w:type="dxa"/>
            <w:vAlign w:val="center"/>
          </w:tcPr>
          <w:p w14:paraId="2BE3A8C4" w14:textId="6AF0A67D" w:rsidR="0076363C" w:rsidRPr="0076363C" w:rsidRDefault="0076363C" w:rsidP="0076363C">
            <w:pPr>
              <w:rPr>
                <w:b/>
                <w:bCs/>
              </w:rPr>
            </w:pPr>
            <w:r w:rsidRPr="0076363C">
              <w:rPr>
                <w:rStyle w:val="Strong"/>
                <w:b w:val="0"/>
                <w:bCs w:val="0"/>
              </w:rPr>
              <w:t>NFR-1</w:t>
            </w:r>
          </w:p>
        </w:tc>
        <w:tc>
          <w:tcPr>
            <w:tcW w:w="3464" w:type="dxa"/>
            <w:vAlign w:val="center"/>
          </w:tcPr>
          <w:p w14:paraId="57CE23BE" w14:textId="24559B95" w:rsidR="0076363C" w:rsidRDefault="0076363C" w:rsidP="0076363C">
            <w:r>
              <w:rPr>
                <w:rStyle w:val="Strong"/>
              </w:rPr>
              <w:t>Usability</w:t>
            </w:r>
          </w:p>
        </w:tc>
        <w:tc>
          <w:tcPr>
            <w:tcW w:w="4934" w:type="dxa"/>
            <w:vAlign w:val="center"/>
          </w:tcPr>
          <w:p w14:paraId="1A3E273D" w14:textId="033E7567" w:rsidR="0076363C" w:rsidRDefault="0076363C" w:rsidP="0076363C">
            <w:r>
              <w:t>The Tableau dashboard must feature an intuitive 3-section grid layout with distinct visual cues, tooltips, and clear chart labels for non-technical users.</w:t>
            </w:r>
          </w:p>
        </w:tc>
      </w:tr>
      <w:tr w:rsidR="0076363C" w14:paraId="65D5D5ED" w14:textId="77777777" w:rsidTr="00D0740E">
        <w:trPr>
          <w:trHeight w:val="489"/>
        </w:trPr>
        <w:tc>
          <w:tcPr>
            <w:tcW w:w="926" w:type="dxa"/>
          </w:tcPr>
          <w:p w14:paraId="46879989" w14:textId="77777777" w:rsidR="0076363C" w:rsidRDefault="0076363C" w:rsidP="0076363C">
            <w:r>
              <w:t>NFR-2</w:t>
            </w:r>
          </w:p>
        </w:tc>
        <w:tc>
          <w:tcPr>
            <w:tcW w:w="3464" w:type="dxa"/>
            <w:vAlign w:val="center"/>
          </w:tcPr>
          <w:p w14:paraId="5B19E466" w14:textId="46D303D3" w:rsidR="0076363C" w:rsidRDefault="0076363C" w:rsidP="0076363C">
            <w:r>
              <w:rPr>
                <w:rStyle w:val="Strong"/>
              </w:rPr>
              <w:t>Security</w:t>
            </w:r>
          </w:p>
        </w:tc>
        <w:tc>
          <w:tcPr>
            <w:tcW w:w="4934" w:type="dxa"/>
            <w:vAlign w:val="center"/>
          </w:tcPr>
          <w:p w14:paraId="0B5C0FC6" w14:textId="28468155" w:rsidR="0076363C" w:rsidRDefault="0076363C" w:rsidP="0076363C">
            <w:r>
              <w:t>Ensure secure data handling and read-only access to local underlying Excel data sources to preserve raw dataset integrity.</w:t>
            </w:r>
          </w:p>
        </w:tc>
      </w:tr>
      <w:tr w:rsidR="0076363C" w14:paraId="441477F2" w14:textId="77777777" w:rsidTr="00E6524F">
        <w:trPr>
          <w:trHeight w:val="470"/>
        </w:trPr>
        <w:tc>
          <w:tcPr>
            <w:tcW w:w="926" w:type="dxa"/>
          </w:tcPr>
          <w:p w14:paraId="577CCB60" w14:textId="77777777" w:rsidR="0076363C" w:rsidRDefault="0076363C" w:rsidP="0076363C">
            <w:r>
              <w:lastRenderedPageBreak/>
              <w:t>NFR-3</w:t>
            </w:r>
          </w:p>
        </w:tc>
        <w:tc>
          <w:tcPr>
            <w:tcW w:w="3464" w:type="dxa"/>
            <w:vAlign w:val="center"/>
          </w:tcPr>
          <w:p w14:paraId="6992F964" w14:textId="73B683FF" w:rsidR="0076363C" w:rsidRDefault="0076363C" w:rsidP="0076363C">
            <w:r>
              <w:rPr>
                <w:rStyle w:val="Strong"/>
              </w:rPr>
              <w:t>Reliability</w:t>
            </w:r>
          </w:p>
        </w:tc>
        <w:tc>
          <w:tcPr>
            <w:tcW w:w="4934" w:type="dxa"/>
            <w:vAlign w:val="center"/>
          </w:tcPr>
          <w:p w14:paraId="46765129" w14:textId="3BF2D389" w:rsidR="0076363C" w:rsidRDefault="0076363C" w:rsidP="0076363C">
            <w:r>
              <w:t>Visual outputs and calculated metrics must maintain 100% mathematical consistency with raw source records across all aggregations.</w:t>
            </w:r>
          </w:p>
        </w:tc>
      </w:tr>
      <w:tr w:rsidR="0076363C" w14:paraId="1A420855" w14:textId="77777777" w:rsidTr="00CB6B1D">
        <w:trPr>
          <w:trHeight w:val="489"/>
        </w:trPr>
        <w:tc>
          <w:tcPr>
            <w:tcW w:w="926" w:type="dxa"/>
          </w:tcPr>
          <w:p w14:paraId="604A67E3" w14:textId="77777777" w:rsidR="0076363C" w:rsidRDefault="0076363C" w:rsidP="0076363C">
            <w:r>
              <w:t>NFR-4</w:t>
            </w:r>
          </w:p>
        </w:tc>
        <w:tc>
          <w:tcPr>
            <w:tcW w:w="3464" w:type="dxa"/>
            <w:vAlign w:val="center"/>
          </w:tcPr>
          <w:p w14:paraId="21805BAA" w14:textId="5919C0C9" w:rsidR="0076363C" w:rsidRDefault="0076363C" w:rsidP="0076363C">
            <w:r>
              <w:rPr>
                <w:rStyle w:val="Strong"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54494752" w14:textId="4C05BA95" w:rsidR="0076363C" w:rsidRDefault="0076363C" w:rsidP="0076363C">
            <w:r>
              <w:t>All dashboard visualisations and interactive filters must render and recalculate in under 2 seconds during user interaction.</w:t>
            </w:r>
          </w:p>
        </w:tc>
      </w:tr>
      <w:tr w:rsidR="00513906" w14:paraId="354B76B5" w14:textId="77777777">
        <w:trPr>
          <w:trHeight w:val="489"/>
        </w:trPr>
        <w:tc>
          <w:tcPr>
            <w:tcW w:w="926" w:type="dxa"/>
          </w:tcPr>
          <w:p w14:paraId="72465BCC" w14:textId="77777777" w:rsidR="00513906" w:rsidRDefault="00000000">
            <w:r>
              <w:t>NFR-5</w:t>
            </w:r>
          </w:p>
        </w:tc>
        <w:tc>
          <w:tcPr>
            <w:tcW w:w="3464" w:type="dxa"/>
          </w:tcPr>
          <w:p w14:paraId="103CA6C9" w14:textId="77777777" w:rsidR="00513906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1929646C" w14:textId="77777777" w:rsidR="0076363C" w:rsidRPr="0076363C" w:rsidRDefault="0076363C" w:rsidP="0076363C">
            <w:r w:rsidRPr="0076363C">
              <w:t>The published Tableau workbook / dashboard must be accessible 24/7 on Tableau Public / Desktop for offline presentation and review.</w:t>
            </w:r>
          </w:p>
          <w:p w14:paraId="01D7224C" w14:textId="77777777" w:rsidR="00513906" w:rsidRDefault="00513906"/>
        </w:tc>
      </w:tr>
      <w:tr w:rsidR="00513906" w14:paraId="6ABB90EA" w14:textId="77777777">
        <w:trPr>
          <w:trHeight w:val="489"/>
        </w:trPr>
        <w:tc>
          <w:tcPr>
            <w:tcW w:w="926" w:type="dxa"/>
          </w:tcPr>
          <w:p w14:paraId="2B15C0F8" w14:textId="77777777" w:rsidR="00513906" w:rsidRDefault="00000000">
            <w:r>
              <w:t>NFR-6</w:t>
            </w:r>
          </w:p>
        </w:tc>
        <w:tc>
          <w:tcPr>
            <w:tcW w:w="3464" w:type="dxa"/>
          </w:tcPr>
          <w:p w14:paraId="7C98B1F2" w14:textId="77777777" w:rsidR="00513906" w:rsidRDefault="00000000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B4F437C" w14:textId="77777777" w:rsidR="0076363C" w:rsidRPr="0076363C" w:rsidRDefault="0076363C" w:rsidP="0076363C">
            <w:r w:rsidRPr="0076363C">
              <w:t>The underlying data model and visualization structure must easily scale to incorporate upcoming F1 season data and additional parameters.</w:t>
            </w:r>
          </w:p>
          <w:p w14:paraId="08EF988A" w14:textId="77777777" w:rsidR="00513906" w:rsidRDefault="00513906"/>
        </w:tc>
      </w:tr>
    </w:tbl>
    <w:p w14:paraId="38B35659" w14:textId="77777777" w:rsidR="00513906" w:rsidRDefault="00513906"/>
    <w:sectPr w:rsidR="00513906">
      <w:headerReference w:type="default" r:id="rId7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7DED7" w14:textId="77777777" w:rsidR="00307852" w:rsidRDefault="00307852">
      <w:pPr>
        <w:spacing w:after="0" w:line="240" w:lineRule="auto"/>
      </w:pPr>
      <w:r>
        <w:separator/>
      </w:r>
    </w:p>
  </w:endnote>
  <w:endnote w:type="continuationSeparator" w:id="0">
    <w:p w14:paraId="3489F829" w14:textId="77777777" w:rsidR="00307852" w:rsidRDefault="00307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F3F8EA-9E4B-4C9B-8826-6BD1ECEC102B}"/>
    <w:embedBold r:id="rId2" w:fontKey="{350CC6AC-0B71-493E-A99E-484F93A076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C5CC1CB-0D29-4887-886D-D72698085A4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B86519C9-6B56-4A4F-9BB8-07DE5845DE8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DB2F212-E73B-4DBA-8F76-5F465AC3B0B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19747" w14:textId="77777777" w:rsidR="00307852" w:rsidRDefault="00307852">
      <w:pPr>
        <w:spacing w:after="0" w:line="240" w:lineRule="auto"/>
      </w:pPr>
      <w:r>
        <w:separator/>
      </w:r>
    </w:p>
  </w:footnote>
  <w:footnote w:type="continuationSeparator" w:id="0">
    <w:p w14:paraId="2FFF0101" w14:textId="77777777" w:rsidR="00307852" w:rsidRDefault="00307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022C" w14:textId="77777777" w:rsidR="00513906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066DE33" wp14:editId="556707D1">
          <wp:simplePos x="0" y="0"/>
          <wp:positionH relativeFrom="page">
            <wp:posOffset>6534150</wp:posOffset>
          </wp:positionH>
          <wp:positionV relativeFrom="page">
            <wp:posOffset>173355</wp:posOffset>
          </wp:positionV>
          <wp:extent cx="864691" cy="39528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CA3CD17" wp14:editId="62FFE856">
          <wp:simplePos x="0" y="0"/>
          <wp:positionH relativeFrom="page">
            <wp:posOffset>104775</wp:posOffset>
          </wp:positionH>
          <wp:positionV relativeFrom="page">
            <wp:posOffset>78105</wp:posOffset>
          </wp:positionV>
          <wp:extent cx="1376363" cy="58987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906"/>
    <w:rsid w:val="00307852"/>
    <w:rsid w:val="00513906"/>
    <w:rsid w:val="0076363C"/>
    <w:rsid w:val="00765261"/>
    <w:rsid w:val="00FA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65FA93"/>
  <w15:docId w15:val="{671603D6-242A-4F56-BAF3-489A146FE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7636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363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363C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6363C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76363C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6363C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UUeL6gfR5/Qz0TjJIy8Jp2E9g==">CgMxLjA4AHIhMVlsN2l3RGk0cGpKNnI4VkhQaFBDTTI0OWcxT2pzMVRf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pranjali sharma</cp:lastModifiedBy>
  <cp:revision>3</cp:revision>
  <dcterms:created xsi:type="dcterms:W3CDTF">2022-09-18T16:51:00Z</dcterms:created>
  <dcterms:modified xsi:type="dcterms:W3CDTF">2026-10-29T19:34:00Z</dcterms:modified>
</cp:coreProperties>
</file>