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t xml:space="preserve">PA Algo: rules live on the dashboard today</w:t>
      </w:r>
    </w:p>
    <w:p>
      <w:pPr>
        <w:spacing w:after="120"/>
      </w:pPr>
      <w:r>
        <w:t xml:space="preserve">As at 19 Oct 2026, from the dashboard code (lib/paAlgo.js and the sync jobs). The PA Algo suggests who may need a PA/PIP. It is a proposal only: it never writes a PA/PIP, and it is separate from the real PA/PIP records synced from Koenig.</w:t>
      </w:r>
    </w:p>
    <w:p>
      <w:pPr>
        <w:pStyle w:val="Heading2"/>
        <w:spacing w:after="120" w:before="280"/>
      </w:pPr>
      <w:r>
        <w:t xml:space="preserve">1. How it works in general</w:t>
      </w:r>
    </w:p>
    <w:p>
      <w:pPr>
        <w:pStyle w:val="ListParagraph"/>
        <w:numPr>
          <w:ilvl w:val="0"/>
          <w:numId w:val="2"/>
        </w:numPr>
        <w:spacing w:after="60"/>
      </w:pPr>
      <w:r>
        <w:t xml:space="preserve">Trainers are checked by monthly pay scale (salary tier) and tenure. Sales are checked by tenure and region (India or Overseas).</w:t>
      </w:r>
    </w:p>
    <w:p>
      <w:pPr>
        <w:pStyle w:val="ListParagraph"/>
        <w:numPr>
          <w:ilvl w:val="0"/>
          <w:numId w:val="2"/>
        </w:numPr>
        <w:spacing w:after="60"/>
      </w:pPr>
      <w:r>
        <w:t xml:space="preserve">Each person gets a status: Needs Review (a rule fired), Clear, Missing data, or one of two specific gaps (No salary data for Trainers, No country data for Sales).</w:t>
      </w:r>
    </w:p>
    <w:p>
      <w:pPr>
        <w:pStyle w:val="ListParagraph"/>
        <w:numPr>
          <w:ilvl w:val="0"/>
          <w:numId w:val="2"/>
        </w:numPr>
        <w:spacing w:after="60"/>
      </w:pPr>
      <w:r>
        <w:t xml:space="preserve">Overrides fire regardless of tenure or tier: negative feedback for Trainers, zero SCs and negative ROI for Sales. An override turns a Clear result into Needs Review.</w:t>
      </w:r>
    </w:p>
    <w:p>
      <w:pPr>
        <w:pStyle w:val="ListParagraph"/>
        <w:numPr>
          <w:ilvl w:val="0"/>
          <w:numId w:val="2"/>
        </w:numPr>
        <w:spacing w:after="60"/>
      </w:pPr>
      <w:r>
        <w:t xml:space="preserve">Tenure uses 30-day months and 365-day years: 3 months = 90 days, 6 months = 180 days, 1 year = 365 days, 2 years = 730 days.</w:t>
      </w:r>
    </w:p>
    <w:p>
      <w:pPr>
        <w:pStyle w:val="ListParagraph"/>
        <w:numPr>
          <w:ilvl w:val="0"/>
          <w:numId w:val="2"/>
        </w:numPr>
        <w:spacing w:after="60"/>
      </w:pPr>
      <w:r>
        <w:t xml:space="preserve">Click a row’s arrow on the dashboard to see the exact figures behind the status.</w:t>
      </w:r>
    </w:p>
    <w:p>
      <w:pPr>
        <w:pStyle w:val="ListParagraph"/>
        <w:numPr>
          <w:ilvl w:val="0"/>
          <w:numId w:val="2"/>
        </w:numPr>
        <w:spacing w:after="60"/>
      </w:pPr>
      <w:r>
        <w:t xml:space="preserve">Only active employees are shown by default. ATMs (Trainer team) and ASMs (Sales team) have their own sections but follow the same rules as their team.</w:t>
      </w:r>
    </w:p>
    <w:p>
      <w:pPr>
        <w:pStyle w:val="Heading1"/>
        <w:spacing w:after="120" w:before="280"/>
      </w:pPr>
      <w:r>
        <w:t xml:space="preserve">2. Trainers</w:t>
      </w:r>
    </w:p>
    <w:p>
      <w:pPr>
        <w:pStyle w:val="Heading2"/>
        <w:spacing w:after="120" w:before="280"/>
      </w:pPr>
      <w:r>
        <w:t xml:space="preserve">2.1 Salary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Tier</w:t>
            </w:r>
          </w:p>
        </w:tc>
        <w:tc>
          <w:tcPr>
            <w:tcW w:type="dxa" w:w="62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Rule</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Under Rs 1.25L</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Current monthly pay scale below Rs 1,25,000.</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Rs 1.25L to 2L</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Pay scale from Rs 1,25,000 up to Rs 2,00,000.</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Over Rs 2L (K11)</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Pay scale above Rs 2,00,000.</w:t>
            </w:r>
          </w:p>
        </w:tc>
      </w:tr>
    </w:tbl>
    <w:p>
      <w:pPr>
        <w:spacing w:after="120"/>
      </w:pPr>
      <w:r>
        <w:t xml:space="preserve"/>
      </w:r>
    </w:p>
    <w:p>
      <w:pPr>
        <w:spacing w:after="120"/>
      </w:pPr>
      <w:r>
        <w:t xml:space="preserve">The tier uses the current salary, because no joining-month salary is stored. If there is no salary on file, the status is "No salary data" (unless negative feedback fires).</w:t>
      </w:r>
    </w:p>
    <w:p>
      <w:pPr>
        <w:pStyle w:val="Heading2"/>
        <w:spacing w:after="120" w:before="280"/>
      </w:pPr>
      <w:r>
        <w:t xml:space="preserve">2.2 Tenure bands and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rPr>
          <w:tblHeader/>
        </w:trPr>
        <w:tc>
          <w:tcPr>
            <w:tcW w:type="dxa" w:w="20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Tier</w:t>
            </w:r>
          </w:p>
        </w:tc>
        <w:tc>
          <w:tcPr>
            <w:tcW w:type="dxa" w:w="23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Tenure</w:t>
            </w:r>
          </w:p>
        </w:tc>
        <w:tc>
          <w:tcPr>
            <w:tcW w:type="dxa" w:w="47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Fires when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Under 1.25L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0 to 3 months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Zero Main Trainer assignments (negative-feedback ones excluded)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Under 1.25L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3 to 6 months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15% over the last 180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Under 1.25L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6 to 12 months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25% over the last 180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Under 1.25L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1 to 2 years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40% over the last 360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Under 1.25L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2 years plus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50% over the last 270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1.25L to 2L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Within 45 days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Zero Main Trainer assignments (negative-feedback ones excluded)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1.25L to 2L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45 days to 3 months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15% over the last 180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1.25L to 2L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3 to 5 months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25% over the last 180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1.25L to 2L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5 to 7 months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40% over the last 360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1.25L to 2L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7 months onwards</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50% over the last 270 days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Over 2L (K11)</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Any tenure</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Utilization below 50% over the last 270 days</w:t>
            </w:r>
          </w:p>
        </w:tc>
      </w:tr>
    </w:tbl>
    <w:p>
      <w:pPr>
        <w:pStyle w:val="Heading2"/>
        <w:spacing w:after="120" w:before="280"/>
      </w:pPr>
      <w:r>
        <w:t xml:space="preserve">2.3 How utilization is worked out</w:t>
      </w:r>
    </w:p>
    <w:p>
      <w:pPr>
        <w:pStyle w:val="ListParagraph"/>
        <w:numPr>
          <w:ilvl w:val="0"/>
          <w:numId w:val="2"/>
        </w:numPr>
        <w:spacing w:after="60"/>
      </w:pPr>
      <w:r>
        <w:t xml:space="preserve">Monthly utilization = SC hours ÷ 176 + Non-SC hours ÷ 176, where the Non-SC part adds at most 15 percentage points. 176 is 22 working days × 8 hours.</w:t>
      </w:r>
    </w:p>
    <w:p>
      <w:pPr>
        <w:pStyle w:val="ListParagraph"/>
        <w:numPr>
          <w:ilvl w:val="0"/>
          <w:numId w:val="2"/>
        </w:numPr>
        <w:spacing w:after="60"/>
      </w:pPr>
      <w:r>
        <w:t xml:space="preserve">"Last 180 / 270 / 360 days" is applied as the last 6 / 9 / 12 calendar months, including the current month so far. A part-finished month with few hours pulls the average down early in the month.</w:t>
      </w:r>
    </w:p>
    <w:p>
      <w:pPr>
        <w:pStyle w:val="ListParagraph"/>
        <w:numPr>
          <w:ilvl w:val="0"/>
          <w:numId w:val="2"/>
        </w:numPr>
        <w:spacing w:after="60"/>
      </w:pPr>
      <w:r>
        <w:t xml:space="preserve">Months before the trainer joined are not counted. A month with zero hours counts as 0% and is included in the average.</w:t>
      </w:r>
    </w:p>
    <w:p>
      <w:pPr>
        <w:pStyle w:val="ListParagraph"/>
        <w:numPr>
          <w:ilvl w:val="0"/>
          <w:numId w:val="2"/>
        </w:numPr>
        <w:spacing w:after="60"/>
      </w:pPr>
      <w:r>
        <w:t xml:space="preserve">If a trainer has no utilization data at all, the status is "Missing data", never Clear.</w:t>
      </w:r>
    </w:p>
    <w:p>
      <w:pPr>
        <w:pStyle w:val="ListParagraph"/>
        <w:numPr>
          <w:ilvl w:val="0"/>
          <w:numId w:val="2"/>
        </w:numPr>
        <w:spacing w:after="60"/>
      </w:pPr>
      <w:r>
        <w:t xml:space="preserve">The assignment rule looks at Main Trainer assignments from the RC schedule. If the schedule has not synced for that trainer, the status is "Missing data". A confirmed zero fires.</w:t>
      </w:r>
    </w:p>
    <w:p>
      <w:pPr>
        <w:pStyle w:val="Heading2"/>
        <w:spacing w:after="120" w:before="280"/>
      </w:pPr>
      <w:r>
        <w:t xml:space="preserve">2.4 Negative-feedback ladder (any tier, any tenure)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Distinct negative-feedback assignments, last 7 days</w:t>
            </w:r>
          </w:p>
        </w:tc>
        <w:tc>
          <w:tcPr>
            <w:tcW w:type="dxa" w:w="50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Suggested action</w:t>
            </w:r>
          </w:p>
        </w:tc>
      </w:tr>
      <w:t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PA</w:t>
            </w:r>
          </w:p>
        </w:tc>
      </w:tr>
      <w:t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2</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PIP</w:t>
            </w:r>
          </w:p>
        </w:tc>
      </w:tr>
      <w:t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3 or more</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Exit</w:t>
            </w:r>
          </w:p>
        </w:tc>
      </w:tr>
    </w:tbl>
    <w:p>
      <w:pPr>
        <w:spacing w:after="120"/>
      </w:pPr>
      <w:r>
        <w:t xml:space="preserve"/>
      </w:r>
    </w:p>
    <w:p>
      <w:pPr>
        <w:spacing w:after="120"/>
      </w:pPr>
      <w:r>
        <w:t xml:space="preserve">Assignments are counted once each, however many client responses came in for them. The ladder overrides a Clear result and shows as a "Suggested PA / PIP / Exit" tag.</w:t>
      </w:r>
    </w:p>
    <w:p>
      <w:pPr>
        <w:pStyle w:val="Heading1"/>
        <w:spacing w:after="120" w:before="280"/>
      </w:pPr>
      <w:r>
        <w:t xml:space="preserve">3. Sales</w:t>
      </w:r>
    </w:p>
    <w:p>
      <w:pPr>
        <w:pStyle w:val="Heading2"/>
        <w:spacing w:after="120" w:before="280"/>
      </w:pPr>
      <w:r>
        <w:t xml:space="preserve">3.1 Region</w:t>
      </w:r>
    </w:p>
    <w:p>
      <w:pPr>
        <w:spacing w:after="120"/>
      </w:pPr>
      <w:r>
        <w:t xml:space="preserve">Region comes from the employee’s country: India means India, every other country means Overseas. Koenig’s own overseas flag is not used because it is unreliable. If no country is on file, the status is "No country data" (unless an override fires).</w:t>
      </w:r>
    </w:p>
    <w:p>
      <w:pPr>
        <w:pStyle w:val="Heading2"/>
        <w:spacing w:after="120" w:before="280"/>
      </w:pPr>
      <w:r>
        <w:t xml:space="preserve">3.2 Tenure bands and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Tenure</w:t>
            </w:r>
          </w:p>
        </w:tc>
        <w:tc>
          <w:tcPr>
            <w:tcW w:type="dxa" w:w="3663"/>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India fires when</w:t>
            </w:r>
          </w:p>
        </w:tc>
        <w:tc>
          <w:tcPr>
            <w:tcW w:type="dxa" w:w="3663"/>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Overseas fires when</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0 to 3 months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No criteria. Shown as "&lt;3 months tenure"</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No criteria. Shown as "&lt;3 months tenure"</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3 to 6 months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ROI (total True NR since joining) is negative</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ROI (total True NR since joining) is below -Rs 5,00,000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6 to 11 months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Average monthly NR (all months since joining) ÷ salary is below 1.25x</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Average monthly NR (all months since joining) is below Rs 1,00,000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1 to 2 years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Average NR (trailing 12 months) ÷ salary is below 2.75x</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Average NR (trailing 12 months) is below Rs 5,00,000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2 to 3 years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Below 5x salary</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Below Rs 10,00,000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3 to 4 years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Below 7.5x salary</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Below Rs 15,00,000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4 years plus</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Below 9x salary</w:t>
            </w:r>
          </w:p>
        </w:tc>
        <w:tc>
          <w:tcPr>
            <w:tcW w:type="dxa" w:w="36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Below Rs 20,00,000</w:t>
            </w:r>
          </w:p>
        </w:tc>
      </w:tr>
    </w:tbl>
    <w:p>
      <w:pPr>
        <w:spacing w:after="120"/>
      </w:pPr>
      <w:r>
        <w:t xml:space="preserve"/>
      </w:r>
    </w:p>
    <w:p>
      <w:pPr>
        <w:pStyle w:val="ListParagraph"/>
        <w:numPr>
          <w:ilvl w:val="0"/>
          <w:numId w:val="2"/>
        </w:numPr>
        <w:spacing w:after="60"/>
      </w:pPr>
      <w:r>
        <w:t xml:space="preserve">NR here is Net Revenue before salary and marketing cost, from the Koenig NR API. A real Rs 0 month counts in the average; it is not treated as missing.</w:t>
      </w:r>
    </w:p>
    <w:p>
      <w:pPr>
        <w:pStyle w:val="ListParagraph"/>
        <w:numPr>
          <w:ilvl w:val="0"/>
          <w:numId w:val="2"/>
        </w:numPr>
        <w:spacing w:after="60"/>
      </w:pPr>
      <w:r>
        <w:t xml:space="preserve">ROI is True NR (net of salary and marketing cost), summed over every month since joining. This was changed on 19 Oct 2026 from plain NR to True NR.</w:t>
      </w:r>
    </w:p>
    <w:p>
      <w:pPr>
        <w:pStyle w:val="ListParagraph"/>
        <w:numPr>
          <w:ilvl w:val="0"/>
          <w:numId w:val="2"/>
        </w:numPr>
        <w:spacing w:after="60"/>
      </w:pPr>
      <w:r>
        <w:t xml:space="preserve">The salary used is the current monthly salary. If NR or salary is missing, the status is "Missing data".</w:t>
      </w:r>
    </w:p>
    <w:p>
      <w:pPr>
        <w:pStyle w:val="Heading2"/>
        <w:spacing w:after="120" w:before="280"/>
      </w:pPr>
      <w:r>
        <w:t xml:space="preserve">3.3 Overrides (any region, any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Condition</w:t>
            </w:r>
          </w:p>
        </w:tc>
        <w:tc>
          <w:tcPr>
            <w:tcW w:type="dxa" w:w="28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Applies to</w:t>
            </w:r>
          </w:p>
        </w:tc>
        <w:tc>
          <w:tcPr>
            <w:tcW w:type="dxa" w:w="26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Uses</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Zero SCs raised in the last 30 days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Tenure of 30 days or more</w:t>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SC records with their created date</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Total True NR (ROI) below zero over the last 3 months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Tenure over 6 months</w:t>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True NR, last 3 months on file</w:t>
            </w:r>
          </w:p>
        </w:tc>
      </w:tr>
    </w:tbl>
    <w:p>
      <w:pPr>
        <w:spacing w:after="120"/>
      </w:pPr>
      <w:r>
        <w:t xml:space="preserve"/>
      </w:r>
    </w:p>
    <w:p>
      <w:pPr>
        <w:spacing w:after="120"/>
      </w:pPr>
      <w:r>
        <w:t xml:space="preserve">Either condition turns the status to Needs Review, even if the band rule is Clear or the region is unknown. The reason is added to the Rule column.</w:t>
      </w:r>
    </w:p>
    <w:p>
      <w:pPr>
        <w:pStyle w:val="Heading2"/>
        <w:spacing w:after="120" w:before="280"/>
      </w:pPr>
      <w:r>
        <w:t xml:space="preserve">4. Shown on the dashboard but not used to decide the status</w:t>
      </w:r>
    </w:p>
    <w:p>
      <w:pPr>
        <w:pStyle w:val="ListParagraph"/>
        <w:numPr>
          <w:ilvl w:val="0"/>
          <w:numId w:val="2"/>
        </w:numPr>
        <w:spacing w:after="60"/>
      </w:pPr>
      <w:r>
        <w:t xml:space="preserve">Quarter targets (Sales): Q3 and Q4 2026 targets side by side, with NR (or True NR) achieved against them. Display only.</w:t>
      </w:r>
    </w:p>
    <w:p>
      <w:pPr>
        <w:pStyle w:val="ListParagraph"/>
        <w:numPr>
          <w:ilvl w:val="0"/>
          <w:numId w:val="2"/>
        </w:numPr>
        <w:spacing w:after="60"/>
      </w:pPr>
      <w:r>
        <w:t xml:space="preserve">Future NR (Sales): NR already booked for upcoming months. Not counted in the NR checks.</w:t>
      </w:r>
    </w:p>
    <w:p>
      <w:pPr>
        <w:pStyle w:val="ListParagraph"/>
        <w:numPr>
          <w:ilvl w:val="0"/>
          <w:numId w:val="2"/>
        </w:numPr>
        <w:spacing w:after="60"/>
      </w:pPr>
      <w:r>
        <w:t xml:space="preserve">True NR columns beside NR in the Sales tables and evidence panels.</w:t>
      </w:r>
    </w:p>
    <w:p>
      <w:pPr>
        <w:pStyle w:val="ListParagraph"/>
        <w:numPr>
          <w:ilvl w:val="0"/>
          <w:numId w:val="2"/>
        </w:numPr>
        <w:spacing w:after="60"/>
      </w:pPr>
      <w:r>
        <w:t xml:space="preserve">This month’s utilization for Trainers.</w:t>
      </w:r>
    </w:p>
    <w:p>
      <w:pPr>
        <w:pStyle w:val="Heading2"/>
        <w:spacing w:after="120" w:before="280"/>
      </w:pPr>
      <w:r>
        <w:t xml:space="preserve">5. Where the data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Data</w:t>
            </w:r>
          </w:p>
        </w:tc>
        <w:tc>
          <w:tcPr>
            <w:tcW w:type="dxa" w:w="60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Source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Salary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Employee Salary Details feed (current monthly pay scale)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Country, designation</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Get Employee Details (PMS)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NR (before salary and marketing cost)</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"Get Employee NR Without Salary and Marketing Cost" API</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True NR</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GetCCENRData API, kept for every month since joining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Utilization (Trainers)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Trainer Utilization Hours SC / Non-SC API, one call per trainer per month</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Main Trainer assignments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Trainer RC Schedule feed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Negative feedback (Trainers)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negative-feedback feed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bCs/>
                <w:sz w:val="19"/>
                <w:szCs w:val="19"/>
              </w:rPr>
              <w:t xml:space="preserve">SCs raised (Sales)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b w:val="false"/>
                <w:bCs w:val="false"/>
                <w:sz w:val="19"/>
                <w:szCs w:val="19"/>
              </w:rPr>
              <w:t xml:space="preserve">Koenig SC feed</w:t>
            </w:r>
          </w:p>
        </w:tc>
      </w:tr>
    </w:tbl>
    <w:p>
      <w:pPr>
        <w:pStyle w:val="Heading2"/>
        <w:spacing w:after="120" w:before="280"/>
      </w:pPr>
      <w:r>
        <w:t xml:space="preserve">6. Not implemented</w:t>
      </w:r>
    </w:p>
    <w:p>
      <w:pPr>
        <w:pStyle w:val="ListParagraph"/>
        <w:numPr>
          <w:ilvl w:val="0"/>
          <w:numId w:val="2"/>
        </w:numPr>
        <w:spacing w:after="60"/>
      </w:pPr>
      <w:r>
        <w:t xml:space="preserve">Trainers: "Not achieving OEM Instructor within 9 months and utilization below 60%" (pending confirmation of the requirement).</w:t>
      </w:r>
    </w:p>
    <w:p>
      <w:pPr>
        <w:pStyle w:val="ListParagraph"/>
        <w:numPr>
          <w:ilvl w:val="0"/>
          <w:numId w:val="2"/>
        </w:numPr>
        <w:spacing w:after="60"/>
      </w:pPr>
      <w:r>
        <w:t xml:space="preserve">Sales: NR checks do not include future NR.</w:t>
      </w:r>
    </w:p>
    <w:p>
      <w:pPr>
        <w:spacing w:after="120"/>
      </w:pPr>
      <w:r>
        <w:t xml:space="preserve"/>
      </w:r>
    </w:p>
    <w:p>
      <w:pPr>
        <w:spacing w:after="120"/>
      </w:pPr>
      <w:r>
        <w:t xml:space="preserve">Differences between this and the original PA ALGO DOC are listed in PA_Algo_Comparison_v2.docx.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2026-10-19T09:41:40.692Z</dcterms:created>
  <dcterms:modified xsi:type="dcterms:W3CDTF">2026-10-19T09:41:40.693Z</dcterms:modified>
</cp:coreProperties>
</file>

<file path=docProps/custom.xml><?xml version="1.0" encoding="utf-8"?>
<Properties xmlns="http://schemas.openxmlformats.org/officeDocument/2006/custom-properties" xmlns:vt="http://schemas.openxmlformats.org/officeDocument/2006/docPropsVTypes"/>
</file>