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 Algo Review</w:t>
      </w:r>
    </w:p>
    <w:p>
      <w:r>
        <w:t>Koenig EI Dashboard. Prepared 6 Oct 2026.</w:t>
      </w:r>
    </w:p>
    <w:p>
      <w:r>
        <w:t>Part 1 lists the rules the dashboard runs today for Trainers and Sales. Part 2 proposes one combined algo built from those same thresholds. Part 3 lists the four decisions needed before anything is built. Nothing in Part 2 is live.</w:t>
      </w:r>
    </w:p>
    <w:p>
      <w:pPr>
        <w:pStyle w:val="Heading1"/>
      </w:pPr>
      <w:r>
        <w:t>Part 1. Live rules (on the dashboard now)</w:t>
      </w:r>
    </w:p>
    <w:p>
      <w:pPr>
        <w:pStyle w:val="Heading2"/>
      </w:pPr>
      <w:r>
        <w:t>Trainer: by monthly pay scale and tenure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 scale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Tenure band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Fires when</w:t>
            </w:r>
          </w:p>
        </w:tc>
      </w:tr>
      <w:tr>
        <w:tc>
          <w:tcPr>
            <w:tcW w:type="dxa" w:w="2880"/>
          </w:tcPr>
          <w:p>
            <w:r>
              <w:t>Under ₹1.25L</w:t>
            </w:r>
          </w:p>
        </w:tc>
        <w:tc>
          <w:tcPr>
            <w:tcW w:type="dxa" w:w="2880"/>
          </w:tcPr>
          <w:p>
            <w:r>
              <w:t>0–3 months</w:t>
            </w:r>
          </w:p>
        </w:tc>
        <w:tc>
          <w:tcPr>
            <w:tcW w:type="dxa" w:w="2880"/>
          </w:tcPr>
          <w:p>
            <w:r>
              <w:t>Zero Main Trainer assignments (negative-feedback ones excluded)</w:t>
            </w:r>
          </w:p>
        </w:tc>
      </w:tr>
      <w:tr>
        <w:tc>
          <w:tcPr>
            <w:tcW w:type="dxa" w:w="2880"/>
          </w:tcPr>
          <w:p>
            <w:r>
              <w:t>Under ₹1.25L</w:t>
            </w:r>
          </w:p>
        </w:tc>
        <w:tc>
          <w:tcPr>
            <w:tcW w:type="dxa" w:w="2880"/>
          </w:tcPr>
          <w:p>
            <w:r>
              <w:t>3–6 months</w:t>
            </w:r>
          </w:p>
        </w:tc>
        <w:tc>
          <w:tcPr>
            <w:tcW w:type="dxa" w:w="2880"/>
          </w:tcPr>
          <w:p>
            <w:r>
              <w:t>Utilization under 15%, last 180 days</w:t>
            </w:r>
          </w:p>
        </w:tc>
      </w:tr>
      <w:tr>
        <w:tc>
          <w:tcPr>
            <w:tcW w:type="dxa" w:w="2880"/>
          </w:tcPr>
          <w:p>
            <w:r>
              <w:t>Under ₹1.25L</w:t>
            </w:r>
          </w:p>
        </w:tc>
        <w:tc>
          <w:tcPr>
            <w:tcW w:type="dxa" w:w="2880"/>
          </w:tcPr>
          <w:p>
            <w:r>
              <w:t>6–12 months</w:t>
            </w:r>
          </w:p>
        </w:tc>
        <w:tc>
          <w:tcPr>
            <w:tcW w:type="dxa" w:w="2880"/>
          </w:tcPr>
          <w:p>
            <w:r>
              <w:t>Utilization under 25%, last 180 days</w:t>
            </w:r>
          </w:p>
        </w:tc>
      </w:tr>
      <w:tr>
        <w:tc>
          <w:tcPr>
            <w:tcW w:type="dxa" w:w="2880"/>
          </w:tcPr>
          <w:p>
            <w:r>
              <w:t>Under ₹1.25L</w:t>
            </w:r>
          </w:p>
        </w:tc>
        <w:tc>
          <w:tcPr>
            <w:tcW w:type="dxa" w:w="2880"/>
          </w:tcPr>
          <w:p>
            <w:r>
              <w:t>1–2 years</w:t>
            </w:r>
          </w:p>
        </w:tc>
        <w:tc>
          <w:tcPr>
            <w:tcW w:type="dxa" w:w="2880"/>
          </w:tcPr>
          <w:p>
            <w:r>
              <w:t>Utilization under 40%, last 360 days</w:t>
            </w:r>
          </w:p>
        </w:tc>
      </w:tr>
      <w:tr>
        <w:tc>
          <w:tcPr>
            <w:tcW w:type="dxa" w:w="2880"/>
          </w:tcPr>
          <w:p>
            <w:r>
              <w:t>Under ₹1.25L</w:t>
            </w:r>
          </w:p>
        </w:tc>
        <w:tc>
          <w:tcPr>
            <w:tcW w:type="dxa" w:w="2880"/>
          </w:tcPr>
          <w:p>
            <w:r>
              <w:t>2 years plus</w:t>
            </w:r>
          </w:p>
        </w:tc>
        <w:tc>
          <w:tcPr>
            <w:tcW w:type="dxa" w:w="2880"/>
          </w:tcPr>
          <w:p>
            <w:r>
              <w:t>Utilization under 50%, last 270 days</w:t>
            </w:r>
          </w:p>
        </w:tc>
      </w:tr>
      <w:tr>
        <w:tc>
          <w:tcPr>
            <w:tcW w:type="dxa" w:w="2880"/>
          </w:tcPr>
          <w:p>
            <w:r>
              <w:t>₹1.25L–2L</w:t>
            </w:r>
          </w:p>
        </w:tc>
        <w:tc>
          <w:tcPr>
            <w:tcW w:type="dxa" w:w="2880"/>
          </w:tcPr>
          <w:p>
            <w:r>
              <w:t>Within 45 days</w:t>
            </w:r>
          </w:p>
        </w:tc>
        <w:tc>
          <w:tcPr>
            <w:tcW w:type="dxa" w:w="2880"/>
          </w:tcPr>
          <w:p>
            <w:r>
              <w:t>Zero Main Trainer assignments (negative-feedback ones excluded)</w:t>
            </w:r>
          </w:p>
        </w:tc>
      </w:tr>
      <w:tr>
        <w:tc>
          <w:tcPr>
            <w:tcW w:type="dxa" w:w="2880"/>
          </w:tcPr>
          <w:p>
            <w:r>
              <w:t>₹1.25L–2L</w:t>
            </w:r>
          </w:p>
        </w:tc>
        <w:tc>
          <w:tcPr>
            <w:tcW w:type="dxa" w:w="2880"/>
          </w:tcPr>
          <w:p>
            <w:r>
              <w:t>45 days–3 months</w:t>
            </w:r>
          </w:p>
        </w:tc>
        <w:tc>
          <w:tcPr>
            <w:tcW w:type="dxa" w:w="2880"/>
          </w:tcPr>
          <w:p>
            <w:r>
              <w:t>Utilization under 15%, last 180 days</w:t>
            </w:r>
          </w:p>
        </w:tc>
      </w:tr>
      <w:tr>
        <w:tc>
          <w:tcPr>
            <w:tcW w:type="dxa" w:w="2880"/>
          </w:tcPr>
          <w:p>
            <w:r>
              <w:t>₹1.25L–2L</w:t>
            </w:r>
          </w:p>
        </w:tc>
        <w:tc>
          <w:tcPr>
            <w:tcW w:type="dxa" w:w="2880"/>
          </w:tcPr>
          <w:p>
            <w:r>
              <w:t>3–5 months</w:t>
            </w:r>
          </w:p>
        </w:tc>
        <w:tc>
          <w:tcPr>
            <w:tcW w:type="dxa" w:w="2880"/>
          </w:tcPr>
          <w:p>
            <w:r>
              <w:t>Utilization under 25%, last 180 days</w:t>
            </w:r>
          </w:p>
        </w:tc>
      </w:tr>
      <w:tr>
        <w:tc>
          <w:tcPr>
            <w:tcW w:type="dxa" w:w="2880"/>
          </w:tcPr>
          <w:p>
            <w:r>
              <w:t>₹1.25L–2L</w:t>
            </w:r>
          </w:p>
        </w:tc>
        <w:tc>
          <w:tcPr>
            <w:tcW w:type="dxa" w:w="2880"/>
          </w:tcPr>
          <w:p>
            <w:r>
              <w:t>5–7 months</w:t>
            </w:r>
          </w:p>
        </w:tc>
        <w:tc>
          <w:tcPr>
            <w:tcW w:type="dxa" w:w="2880"/>
          </w:tcPr>
          <w:p>
            <w:r>
              <w:t>Utilization under 40%, last 360 days</w:t>
            </w:r>
          </w:p>
        </w:tc>
      </w:tr>
      <w:tr>
        <w:tc>
          <w:tcPr>
            <w:tcW w:type="dxa" w:w="2880"/>
          </w:tcPr>
          <w:p>
            <w:r>
              <w:t>₹1.25L–2L</w:t>
            </w:r>
          </w:p>
        </w:tc>
        <w:tc>
          <w:tcPr>
            <w:tcW w:type="dxa" w:w="2880"/>
          </w:tcPr>
          <w:p>
            <w:r>
              <w:t>7 months onward</w:t>
            </w:r>
          </w:p>
        </w:tc>
        <w:tc>
          <w:tcPr>
            <w:tcW w:type="dxa" w:w="2880"/>
          </w:tcPr>
          <w:p>
            <w:r>
              <w:t>Utilization under 50%, last 270 days</w:t>
            </w:r>
          </w:p>
        </w:tc>
      </w:tr>
      <w:tr>
        <w:tc>
          <w:tcPr>
            <w:tcW w:type="dxa" w:w="2880"/>
          </w:tcPr>
          <w:p>
            <w:r>
              <w:t>Over ₹2L (K11)</w:t>
            </w:r>
          </w:p>
        </w:tc>
        <w:tc>
          <w:tcPr>
            <w:tcW w:type="dxa" w:w="2880"/>
          </w:tcPr>
          <w:p>
            <w:r>
              <w:t>Any tenure</w:t>
            </w:r>
          </w:p>
        </w:tc>
        <w:tc>
          <w:tcPr>
            <w:tcW w:type="dxa" w:w="2880"/>
          </w:tcPr>
          <w:p>
            <w:r>
              <w:t>Utilization under 50%, last 270 days</w:t>
            </w:r>
          </w:p>
        </w:tc>
      </w:tr>
    </w:tbl>
    <w:p/>
    <w:p>
      <w:r>
        <w:t>Utilization is the SC utilization (from SCs) plus Non-SC utilization, with Non-SC capped. Months with no data are skipped when averaging. Missing utilization shows as Missing data, never Clear.</w:t>
      </w:r>
    </w:p>
    <w:p>
      <w:pPr>
        <w:pStyle w:val="Heading2"/>
      </w:pPr>
      <w:r>
        <w:t>Trainer: negative-feedback ladder (any tier, any tenure)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Distinct negative-feedback assignments, last 7 days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Suggested 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PIP</w:t>
            </w:r>
          </w:p>
        </w:tc>
      </w:tr>
      <w:tr>
        <w:tc>
          <w:tcPr>
            <w:tcW w:type="dxa" w:w="4320"/>
          </w:tcPr>
          <w:p>
            <w:r>
              <w:t>3 or more</w:t>
            </w:r>
          </w:p>
        </w:tc>
        <w:tc>
          <w:tcPr>
            <w:tcW w:type="dxa" w:w="4320"/>
          </w:tcPr>
          <w:p>
            <w:r>
              <w:t>Exit</w:t>
            </w:r>
          </w:p>
        </w:tc>
      </w:tr>
    </w:tbl>
    <w:p/>
    <w:p>
      <w:r>
        <w:t>The ladder overrides a Clear result from the table above.</w:t>
      </w:r>
    </w:p>
    <w:p>
      <w:pPr>
        <w:pStyle w:val="Heading2"/>
      </w:pPr>
      <w:r>
        <w:t>Sales: by tenure and region (region comes from country, not the overseas flag)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Tenure band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India fires when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Overseas fires when</w:t>
            </w:r>
          </w:p>
        </w:tc>
      </w:tr>
      <w:tr>
        <w:tc>
          <w:tcPr>
            <w:tcW w:type="dxa" w:w="2880"/>
          </w:tcPr>
          <w:p>
            <w:r>
              <w:t>0–3 months</w:t>
            </w:r>
          </w:p>
        </w:tc>
        <w:tc>
          <w:tcPr>
            <w:tcW w:type="dxa" w:w="2880"/>
          </w:tcPr>
          <w:p>
            <w:r>
              <w:t>No criteria. Shown as "&lt;3 months tenure", not counted as Missing data</w:t>
            </w:r>
          </w:p>
        </w:tc>
        <w:tc>
          <w:tcPr>
            <w:tcW w:type="dxa" w:w="2880"/>
          </w:tcPr>
          <w:p>
            <w:r>
              <w:t>No criteria. Shown as "&lt;3 months tenure", not counted as Missing data</w:t>
            </w:r>
          </w:p>
        </w:tc>
      </w:tr>
      <w:tr>
        <w:tc>
          <w:tcPr>
            <w:tcW w:type="dxa" w:w="2880"/>
          </w:tcPr>
          <w:p>
            <w:r>
              <w:t>3–6 months</w:t>
            </w:r>
          </w:p>
        </w:tc>
        <w:tc>
          <w:tcPr>
            <w:tcW w:type="dxa" w:w="2880"/>
          </w:tcPr>
          <w:p>
            <w:r>
              <w:t>Total NR since joining is negative</w:t>
            </w:r>
          </w:p>
        </w:tc>
        <w:tc>
          <w:tcPr>
            <w:tcW w:type="dxa" w:w="2880"/>
          </w:tcPr>
          <w:p>
            <w:r>
              <w:t>Total NR since joining below −₹5,00,000</w:t>
            </w:r>
          </w:p>
        </w:tc>
      </w:tr>
      <w:tr>
        <w:tc>
          <w:tcPr>
            <w:tcW w:type="dxa" w:w="2880"/>
          </w:tcPr>
          <w:p>
            <w:r>
              <w:t>6–11 months</w:t>
            </w:r>
          </w:p>
        </w:tc>
        <w:tc>
          <w:tcPr>
            <w:tcW w:type="dxa" w:w="2880"/>
          </w:tcPr>
          <w:p>
            <w:r>
              <w:t>Avg monthly NR (all months) ÷ salary below 1.25x</w:t>
            </w:r>
          </w:p>
        </w:tc>
        <w:tc>
          <w:tcPr>
            <w:tcW w:type="dxa" w:w="2880"/>
          </w:tcPr>
          <w:p>
            <w:r>
              <w:t>Avg monthly NR (all months) below ₹1,00,000</w:t>
            </w:r>
          </w:p>
        </w:tc>
      </w:tr>
      <w:tr>
        <w:tc>
          <w:tcPr>
            <w:tcW w:type="dxa" w:w="2880"/>
          </w:tcPr>
          <w:p>
            <w:r>
              <w:t>1–2 years</w:t>
            </w:r>
          </w:p>
        </w:tc>
        <w:tc>
          <w:tcPr>
            <w:tcW w:type="dxa" w:w="2880"/>
          </w:tcPr>
          <w:p>
            <w:r>
              <w:t>Avg NR (trailing 12 months) ÷ salary below 2.75x</w:t>
            </w:r>
          </w:p>
        </w:tc>
        <w:tc>
          <w:tcPr>
            <w:tcW w:type="dxa" w:w="2880"/>
          </w:tcPr>
          <w:p>
            <w:r>
              <w:t>Avg NR (trailing 12 months) below ₹5,00,000</w:t>
            </w:r>
          </w:p>
        </w:tc>
      </w:tr>
      <w:tr>
        <w:tc>
          <w:tcPr>
            <w:tcW w:type="dxa" w:w="2880"/>
          </w:tcPr>
          <w:p>
            <w:r>
              <w:t>2–3 years</w:t>
            </w:r>
          </w:p>
        </w:tc>
        <w:tc>
          <w:tcPr>
            <w:tcW w:type="dxa" w:w="2880"/>
          </w:tcPr>
          <w:p>
            <w:r>
              <w:t>Below 5x</w:t>
            </w:r>
          </w:p>
        </w:tc>
        <w:tc>
          <w:tcPr>
            <w:tcW w:type="dxa" w:w="2880"/>
          </w:tcPr>
          <w:p>
            <w:r>
              <w:t>Below ₹10,00,000</w:t>
            </w:r>
          </w:p>
        </w:tc>
      </w:tr>
      <w:tr>
        <w:tc>
          <w:tcPr>
            <w:tcW w:type="dxa" w:w="2880"/>
          </w:tcPr>
          <w:p>
            <w:r>
              <w:t>3–4 years</w:t>
            </w:r>
          </w:p>
        </w:tc>
        <w:tc>
          <w:tcPr>
            <w:tcW w:type="dxa" w:w="2880"/>
          </w:tcPr>
          <w:p>
            <w:r>
              <w:t>Below 7.5x</w:t>
            </w:r>
          </w:p>
        </w:tc>
        <w:tc>
          <w:tcPr>
            <w:tcW w:type="dxa" w:w="2880"/>
          </w:tcPr>
          <w:p>
            <w:r>
              <w:t>Below ₹15,00,000</w:t>
            </w:r>
          </w:p>
        </w:tc>
      </w:tr>
      <w:tr>
        <w:tc>
          <w:tcPr>
            <w:tcW w:type="dxa" w:w="2880"/>
          </w:tcPr>
          <w:p>
            <w:r>
              <w:t>4 years plus</w:t>
            </w:r>
          </w:p>
        </w:tc>
        <w:tc>
          <w:tcPr>
            <w:tcW w:type="dxa" w:w="2880"/>
          </w:tcPr>
          <w:p>
            <w:r>
              <w:t>Below 9x</w:t>
            </w:r>
          </w:p>
        </w:tc>
        <w:tc>
          <w:tcPr>
            <w:tcW w:type="dxa" w:w="2880"/>
          </w:tcPr>
          <w:p>
            <w:r>
              <w:t>Below ₹20,00,000</w:t>
            </w:r>
          </w:p>
        </w:tc>
      </w:tr>
    </w:tbl>
    <w:p/>
    <w:p>
      <w:pPr>
        <w:pStyle w:val="Heading2"/>
      </w:pPr>
      <w:r>
        <w:t>Sales: overrides (any region, any band)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4320"/>
          </w:tcPr>
          <w:p>
            <w:r>
              <w:t>Zero Student Cards (SC) raised in the last 30 days</w:t>
            </w:r>
          </w:p>
        </w:tc>
        <w:tc>
          <w:tcPr>
            <w:tcW w:type="dxa" w:w="4320"/>
          </w:tcPr>
          <w:p>
            <w:r>
              <w:t>Tenure of 30 days or more</w:t>
            </w:r>
          </w:p>
        </w:tc>
      </w:tr>
      <w:tr>
        <w:tc>
          <w:tcPr>
            <w:tcW w:type="dxa" w:w="4320"/>
          </w:tcPr>
          <w:p>
            <w:r>
              <w:t>Total NR below zero over the last 3 months</w:t>
            </w:r>
          </w:p>
        </w:tc>
        <w:tc>
          <w:tcPr>
            <w:tcW w:type="dxa" w:w="4320"/>
          </w:tcPr>
          <w:p>
            <w:r>
              <w:t>Tenure over 6 months</w:t>
            </w:r>
          </w:p>
        </w:tc>
      </w:tr>
    </w:tbl>
    <w:p/>
    <w:p>
      <w:r>
        <w:t>A real ₹0 NR month counts toward the average. It is not treated as missing.</w:t>
      </w:r>
    </w:p>
    <w:p>
      <w:pPr>
        <w:pStyle w:val="Heading1"/>
      </w:pPr>
      <w:r>
        <w:t>Part 2. Proposed unified algo (proposal, not live)</w:t>
      </w:r>
    </w:p>
    <w:p>
      <w:r>
        <w:t>Every employee goes through the same four steps. The role only decides the measure and the thresholds, and those are the ones in Part 1.</w:t>
      </w:r>
    </w:p>
    <w:p>
      <w:pPr>
        <w:pStyle w:val="ListBullet"/>
      </w:pPr>
      <w:r>
        <w:rPr>
          <w:b/>
        </w:rPr>
        <w:t xml:space="preserve">Step 1. Gate: is there enough tenure and data?. </w:t>
      </w:r>
      <w:r>
        <w:t>Under 3 months: exempt, labelled "&lt;3 months tenure". Missing NR, utilization or salary: Missing data, never Clear. Region from country (Sales), tier from pay scale (Trainer).</w:t>
      </w:r>
    </w:p>
    <w:p>
      <w:pPr>
        <w:pStyle w:val="ListBullet"/>
      </w:pPr>
      <w:r>
        <w:rPr>
          <w:b/>
        </w:rPr>
        <w:t xml:space="preserve">Step 2. Performance bar: actual vs required for the band. </w:t>
      </w:r>
      <w:r>
        <w:t>Performance Ratio = actual ÷ required. Below 1.0 flags. Trainers use utilization, India Sales uses NR ÷ salary, Overseas Sales uses NR in ₹.</w:t>
      </w:r>
    </w:p>
    <w:p>
      <w:pPr>
        <w:pStyle w:val="ListBullet"/>
      </w:pPr>
      <w:r>
        <w:rPr>
          <w:b/>
        </w:rPr>
        <w:t xml:space="preserve">Step 3. Activity: zero output. </w:t>
      </w:r>
      <w:r>
        <w:t>Trainer: no clean Main Trainer assignment in the early band. Sales: no Student Card (SC) raised in 30 days. Flags regardless of Step 2.</w:t>
      </w:r>
    </w:p>
    <w:p>
      <w:pPr>
        <w:pStyle w:val="ListBullet"/>
      </w:pPr>
      <w:r>
        <w:rPr>
          <w:b/>
        </w:rPr>
        <w:t xml:space="preserve">Step 4. Quality and loss: overrides a Clear result. </w:t>
      </w:r>
      <w:r>
        <w:t>Trainer: the 1 / 2 / 3 negative-feedback ladder (PA, PIP, Exit). Sales: negative NR over 3 months.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Clear</w:t>
            </w:r>
          </w:p>
        </w:tc>
        <w:tc>
          <w:tcPr>
            <w:tcW w:type="dxa" w:w="4320"/>
          </w:tcPr>
          <w:p>
            <w:r>
              <w:t>Passes every step</w:t>
            </w:r>
          </w:p>
        </w:tc>
      </w:tr>
      <w:tr>
        <w:tc>
          <w:tcPr>
            <w:tcW w:type="dxa" w:w="4320"/>
          </w:tcPr>
          <w:p>
            <w:r>
              <w:t>Flagged</w:t>
            </w:r>
          </w:p>
        </w:tc>
        <w:tc>
          <w:tcPr>
            <w:tcW w:type="dxa" w:w="4320"/>
          </w:tcPr>
          <w:p>
            <w:r>
              <w:t>Fails Step 2 or 3. The dashboard shows this as Fired today, with the evidence behind it</w:t>
            </w:r>
          </w:p>
        </w:tc>
      </w:tr>
      <w:tr>
        <w:tc>
          <w:tcPr>
            <w:tcW w:type="dxa" w:w="4320"/>
          </w:tcPr>
          <w:p>
            <w:r>
              <w:t>PA / PIP / Exit</w:t>
            </w:r>
          </w:p>
        </w:tc>
        <w:tc>
          <w:tcPr>
            <w:tcW w:type="dxa" w:w="4320"/>
          </w:tcPr>
          <w:p>
            <w:r>
              <w:t>Escalation from Step 4</w:t>
            </w:r>
          </w:p>
        </w:tc>
      </w:tr>
      <w:tr>
        <w:tc>
          <w:tcPr>
            <w:tcW w:type="dxa" w:w="4320"/>
          </w:tcPr>
          <w:p>
            <w:r>
              <w:t>Missing data / &lt;3 months tenure</w:t>
            </w:r>
          </w:p>
        </w:tc>
        <w:tc>
          <w:tcPr>
            <w:tcW w:type="dxa" w:w="4320"/>
          </w:tcPr>
          <w:p>
            <w:r>
              <w:t>Not scored</w:t>
            </w:r>
          </w:p>
        </w:tc>
      </w:tr>
    </w:tbl>
    <w:p/>
    <w:p>
      <w:r>
        <w:t>What changes versus today: one pipeline instead of two, a single Performance Ratio, and a consistent outcome vocabulary. The thresholds themselves do not change unless Part 3 says so.</w:t>
      </w:r>
    </w:p>
    <w:p>
      <w:pPr>
        <w:pStyle w:val="Heading1"/>
      </w:pPr>
      <w:r>
        <w:t>Part 3. Decisions needed</w:t>
      </w:r>
    </w:p>
    <w:p>
      <w:pPr>
        <w:pStyle w:val="Heading3"/>
      </w:pPr>
      <w:r>
        <w:t>1. Trainer capacity base</w:t>
      </w:r>
    </w:p>
    <w:p>
      <w:r>
        <w:t>Utilization assumes 176 hours a month. 180 of 315 trainers are flagged, which looks too high for a flag meant to start a PA conversation.</w:t>
      </w:r>
    </w:p>
    <w:p>
      <w:r>
        <w:t>Options: Keep 176 / Lower the base / Raise the thresholds.  Decision: ______________</w:t>
      </w:r>
    </w:p>
    <w:p>
      <w:pPr>
        <w:pStyle w:val="Heading3"/>
      </w:pPr>
      <w:r>
        <w:t>2. Escalation ladder for Sales</w:t>
      </w:r>
    </w:p>
    <w:p>
      <w:r>
        <w:t>Only Trainers escalate PA, PIP, Exit today. Sales has a single flag.</w:t>
      </w:r>
    </w:p>
    <w:p>
      <w:r>
        <w:t>Options: Keep a single flag / Add a ladder, e.g. repeated bad quarters.  Decision: ______________</w:t>
      </w:r>
    </w:p>
    <w:p>
      <w:pPr>
        <w:pStyle w:val="Heading3"/>
      </w:pPr>
      <w:r>
        <w:t>3. Sales bands from year 2 onward</w:t>
      </w:r>
    </w:p>
    <w:p>
      <w:r>
        <w:t>Sales has separate bands at 2–3, 3–4 and 4+ years. Trainers are flat at 50% from year 2.</w:t>
      </w:r>
    </w:p>
    <w:p>
      <w:r>
        <w:t>Options: Keep separate bands / Collapse into 2 years plus.  Decision: ______________</w:t>
      </w:r>
    </w:p>
    <w:p>
      <w:pPr>
        <w:pStyle w:val="Heading3"/>
      </w:pPr>
      <w:r>
        <w:t>4. Overseas measure</w:t>
      </w:r>
    </w:p>
    <w:p>
      <w:r>
        <w:t>India uses a salary multiple, Overseas a flat ₹ bar. A single Performance Ratio is cleanest if both use a multiple.</w:t>
      </w:r>
    </w:p>
    <w:p>
      <w:r>
        <w:t>Options: Keep the ₹ bar / Move to a salary multiple.  Decision: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