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t xml:space="preserve">PA / PIP Algo: your spec vs what is live</w:t>
      </w:r>
    </w:p>
    <w:p>
      <w:pPr>
        <w:spacing w:after="120"/>
      </w:pPr>
      <w:r>
        <w:t xml:space="preserve">Compares the "PA ALGO DOC" you provided (second half of PA_Algo_Review.docx) with the logic running on the dashboard (lib/paAlgo.js and the sync code). Prepared 19 Oct 2026. Nothing has been changed; this is a comparison only.</w:t>
      </w:r>
    </w:p>
    <w:p>
      <w:pPr>
        <w:pStyle w:val="Heading2"/>
        <w:spacing w:after="120" w:before="280"/>
      </w:pPr>
      <w:r>
        <w:t xml:space="preserve">A. Differences that change who gets flagged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3350"/>
        <w:gridCol w:w="2926"/>
      </w:tblGrid>
      <w:tr>
        <w:trPr>
          <w:tblHeader/>
        </w:trPr>
        <w:tc>
          <w:tcPr>
            <w:tcW w:type="dxa" w:w="4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t>
            </w:r>
          </w:p>
        </w:tc>
        <w:tc>
          <w:tcPr>
            <w:tcW w:type="dxa" w:w="23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Your doc</w:t>
            </w:r>
          </w:p>
        </w:tc>
        <w:tc>
          <w:tcPr>
            <w:tcW w:type="dxa" w:w="33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What the dashboard does</w:t>
            </w:r>
          </w:p>
        </w:tc>
        <w:tc>
          <w:tcPr>
            <w:tcW w:type="dxa" w:w="29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Impact</w:t>
            </w:r>
          </w:p>
        </w:tc>
      </w:tr>
      <w:tr>
        <w:tc>
          <w:tcPr>
            <w:tcW w:type="dxa" w:w="4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1</w:t>
            </w:r>
          </w:p>
        </w:tc>
        <w:tc>
          <w:tcPr>
            <w:tcW w:type="dxa" w:w="23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Sales: "Including future NR"</w:t>
            </w:r>
          </w:p>
        </w:tc>
        <w:tc>
          <w:tcPr>
            <w:tcW w:type="dxa" w:w="33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Future NR is NOT counted. Checks use only past and current months. Future NR is shown in its own column and the popup says it is "not counted in the PA Algo's NR checks".</w:t>
            </w:r>
          </w:p>
        </w:tc>
        <w:tc>
          <w:tcPr>
            <w:tcW w:type="dxa" w:w="29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Reps with booked future NR can be flagged where your rule would clear them.</w:t>
            </w:r>
          </w:p>
        </w:tc>
      </w:tr>
      <w:tr>
        <w:tc>
          <w:tcPr>
            <w:tcW w:type="dxa" w:w="4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2</w:t>
            </w:r>
          </w:p>
        </w:tc>
        <w:tc>
          <w:tcPr>
            <w:tcW w:type="dxa" w:w="23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Sales: "-ve ROI" (3-6 months; and last 3 months for tenure over 6 months)</w:t>
            </w:r>
          </w:p>
        </w:tc>
        <w:tc>
          <w:tcPr>
            <w:tcW w:type="dxa" w:w="33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Uses plain NR from the "NR Without Salary and Marketing Cost" API. ROI after salary and marketing cost (True NR) is not used for flagging.</w:t>
            </w:r>
          </w:p>
        </w:tc>
        <w:tc>
          <w:tcPr>
            <w:tcW w:type="dxa" w:w="29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NR before costs is rarely negative, so these two rules fire far less than true negative ROI would. Biggest gap.</w:t>
            </w:r>
          </w:p>
        </w:tc>
      </w:tr>
      <w:tr>
        <w:tc>
          <w:tcPr>
            <w:tcW w:type="dxa" w:w="4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3</w:t>
            </w:r>
          </w:p>
        </w:tc>
        <w:tc>
          <w:tcPr>
            <w:tcW w:type="dxa" w:w="23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Trainer: "Not achieving OEM Instructor within 9 months and utilization &lt; 60%"</w:t>
            </w:r>
          </w:p>
        </w:tc>
        <w:tc>
          <w:tcPr>
            <w:tcW w:type="dxa" w:w="33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NOT implemented. Your doc marks it as pending your confirmation.</w:t>
            </w:r>
          </w:p>
        </w:tc>
        <w:tc>
          <w:tcPr>
            <w:tcW w:type="dxa" w:w="29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Trainers who miss the OEM instructor milestone are never flagged for it.</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4</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"PA for 1st -ve, PIP for 2nd, ATL for 3rd"</w:t>
            </w:r>
          </w:p>
        </w:tc>
        <w:tc>
          <w:tcPr>
            <w:tcW w:type="dxa" w:w="33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Counts distinct negative-feedback assignments in the last 7 days only. Third or later is labelled "Exit", not ATL.</w:t>
            </w:r>
          </w:p>
        </w:tc>
        <w:tc>
          <w:tcPr>
            <w:tcW w:type="dxa" w:w="29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Negatives spread over weeks never reach PIP/ATL. The 7-day reset was an earlier instruction, not in the doc. Confirm what ATL means.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5</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tier by "joining salary" (under 1.25L / &gt;1.25L at DOJ)</w:t>
            </w:r>
          </w:p>
        </w:tc>
        <w:tc>
          <w:tcPr>
            <w:tcW w:type="dxa" w:w="33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Uses the current salary; no joining-month salary is stored.</w:t>
            </w:r>
          </w:p>
        </w:tc>
        <w:tc>
          <w:tcPr>
            <w:tcW w:type="dxa" w:w="29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 trainer who received a raise lands in a higher tier than their joining salary says.</w:t>
            </w:r>
          </w:p>
        </w:tc>
      </w:tr>
    </w:tbl>
    <w:p>
      <w:pPr>
        <w:pStyle w:val="Heading2"/>
        <w:spacing w:after="120" w:before="280"/>
      </w:pPr>
      <w:r>
        <w:t xml:space="preserve">B. Smaller differences and gaps in the doc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6276"/>
      </w:tblGrid>
      <w:tr>
        <w:trPr>
          <w:tblHeader/>
        </w:trPr>
        <w:tc>
          <w:tcPr>
            <w:tcW w:type="dxa" w:w="4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t>
            </w:r>
          </w:p>
        </w:tc>
        <w:tc>
          <w:tcPr>
            <w:tcW w:type="dxa" w:w="23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Item</w:t>
            </w:r>
          </w:p>
        </w:tc>
        <w:tc>
          <w:tcPr>
            <w:tcW w:type="dxa" w:w="627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Detail</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6</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1.25L and above, 7-12 months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lists 5-7 months (&lt; 40%), then "12 months onwards" (&lt; 50%); 7-12 months is undefined. Code applies &lt; 50% from 7 months. The band label says "8 months onwards" but starts at 7 months.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7</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K11 cut-off</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says "K11" with no amount. Code treats salary over Rs 2L as K11.</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8</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Window length</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"Last 180/270/360 days" is applied as the last 6/9/12 calendar months including the current month so far. A part-finished month with few hours pulls the average down early in the month.</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9</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Zero SC in last 30 days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Code skips anyone with under 30 days tenure. Doc has no such exemption.</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10</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Sales, 0-3 months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has no rule. Code shows "&lt;3 months tenure" and never flags.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11</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ASMs and ATMs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Not mentioned in the doc. They are judged by the same CSM / Trainer rules on their own numbers. ASM team NR is used only in the target column, not in flagging.</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12</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Scope of Trainer rules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says "Trainers". Code applies the rules to everyone on the Trainer team (ATMs, Technical Leads, Trainee Trainers, etc.).</w:t>
            </w:r>
          </w:p>
        </w:tc>
      </w:tr>
    </w:tbl>
    <w:p>
      <w:pPr>
        <w:pStyle w:val="Heading2"/>
        <w:spacing w:after="120" w:before="280"/>
      </w:pPr>
      <w:r>
        <w:t xml:space="preserve">C. What matches</w:t>
      </w:r>
    </w:p>
    <w:p>
      <w:pPr>
        <w:pStyle w:val="ListParagraph"/>
        <w:numPr>
          <w:ilvl w:val="0"/>
          <w:numId w:val="2"/>
        </w:numPr>
        <w:spacing w:after="60"/>
      </w:pPr>
      <w:r>
        <w:t xml:space="preserve">Trainer under-1.25L ladder: 0-3 months zero assignments, then 15%, 25%, 40%, 50% at the stated windows.</w:t>
      </w:r>
    </w:p>
    <w:p>
      <w:pPr>
        <w:pStyle w:val="ListParagraph"/>
        <w:numPr>
          <w:ilvl w:val="0"/>
          <w:numId w:val="2"/>
        </w:numPr>
        <w:spacing w:after="60"/>
      </w:pPr>
      <w:r>
        <w:t xml:space="preserve">Trainer 1.25L-and-above ladder up to 5-7 months, and K11 at &lt; 50% over 270 days.</w:t>
      </w:r>
    </w:p>
    <w:p>
      <w:pPr>
        <w:pStyle w:val="ListParagraph"/>
        <w:numPr>
          <w:ilvl w:val="0"/>
          <w:numId w:val="2"/>
        </w:numPr>
        <w:spacing w:after="60"/>
      </w:pPr>
      <w:r>
        <w:t xml:space="preserve">Sales India multiples (1.25, 2.75, 5, 7.5, 9) and Overseas flat bars (1L, 5L, 10L, 15L, 20L per month), plus -Rs 5L for Overseas at 3-6 months.</w:t>
      </w:r>
    </w:p>
    <w:p>
      <w:pPr>
        <w:pStyle w:val="ListParagraph"/>
        <w:numPr>
          <w:ilvl w:val="0"/>
          <w:numId w:val="2"/>
        </w:numPr>
        <w:spacing w:after="60"/>
      </w:pPr>
      <w:r>
        <w:t xml:space="preserve">Zero SC in 30 days, and negative total over the last 3 months for tenure over 6 months.</w:t>
      </w:r>
    </w:p>
    <w:p>
      <w:pPr>
        <w:pStyle w:val="ListParagraph"/>
        <w:numPr>
          <w:ilvl w:val="0"/>
          <w:numId w:val="2"/>
        </w:numPr>
        <w:spacing w:after="60"/>
      </w:pPr>
      <w:r>
        <w:t xml:space="preserve">Utilization = SC hours / 176 + Non-SC hours / 176 capped at 15 points (not stated in the doc). Zero-hour months count as 0%; months before joining are excluded.</w:t>
      </w:r>
    </w:p>
    <w:p>
      <w:pPr>
        <w:pStyle w:val="Heading2"/>
        <w:spacing w:after="120" w:before="280"/>
      </w:pPr>
      <w:r>
        <w:t xml:space="preserve">D. Decisions needed</w:t>
      </w:r>
    </w:p>
    <w:p>
      <w:pPr>
        <w:pStyle w:val="ListParagraph"/>
        <w:numPr>
          <w:ilvl w:val="0"/>
          <w:numId w:val="3"/>
        </w:numPr>
        <w:spacing w:after="60"/>
      </w:pPr>
      <w:r>
        <w:t xml:space="preserve">Future NR: add it to the Sales checks?</w:t>
      </w:r>
    </w:p>
    <w:p>
      <w:pPr>
        <w:pStyle w:val="ListParagraph"/>
        <w:numPr>
          <w:ilvl w:val="0"/>
          <w:numId w:val="3"/>
        </w:numPr>
        <w:spacing w:after="60"/>
      </w:pPr>
      <w:r>
        <w:t xml:space="preserve">ROI: should the ROI rules use True NR (net of salary and marketing) instead of NR?</w:t>
      </w:r>
    </w:p>
    <w:p>
      <w:pPr>
        <w:pStyle w:val="ListParagraph"/>
        <w:numPr>
          <w:ilvl w:val="0"/>
          <w:numId w:val="3"/>
        </w:numPr>
        <w:spacing w:after="60"/>
      </w:pPr>
      <w:r>
        <w:t xml:space="preserve">OEM instructor rule: build it?</w:t>
      </w:r>
    </w:p>
    <w:p>
      <w:pPr>
        <w:pStyle w:val="ListParagraph"/>
        <w:numPr>
          <w:ilvl w:val="0"/>
          <w:numId w:val="3"/>
        </w:numPr>
        <w:spacing w:after="60"/>
      </w:pPr>
      <w:r>
        <w:t xml:space="preserve">Negative feedback: keep the 7-day reset and the "Exit" label, or change them?</w:t>
      </w:r>
    </w:p>
    <w:p>
      <w:pPr>
        <w:pStyle w:val="ListParagraph"/>
        <w:numPr>
          <w:ilvl w:val="0"/>
          <w:numId w:val="3"/>
        </w:numPr>
        <w:spacing w:after="60"/>
      </w:pPr>
      <w:r>
        <w:t xml:space="preserve">Trainer salary tier: keep using current salary?</w:t>
      </w:r>
    </w:p>
    <w:p>
      <w:pPr>
        <w:pStyle w:val="Heading2"/>
        <w:spacing w:after="120" w:before="280"/>
      </w:pPr>
      <w:r>
        <w:t xml:space="preserve">Colour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Shade</w:t>
            </w:r>
          </w:p>
        </w:tc>
        <w:tc>
          <w:tcPr>
            <w:tcW w:type="dxa" w:w="70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Red</w:t>
            </w:r>
          </w:p>
        </w:tc>
        <w:tc>
          <w:tcPr>
            <w:tcW w:type="dxa" w:w="70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Changes flagging materially</w:t>
            </w:r>
          </w:p>
        </w:tc>
      </w:tr>
      <w:tr>
        <w:tc>
          <w:tcPr>
            <w:tcW w:type="dxa" w:w="20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Amber</w:t>
            </w:r>
          </w:p>
        </w:tc>
        <w:tc>
          <w:tcPr>
            <w:tcW w:type="dxa" w:w="70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Assumption or smaller gap</w:t>
            </w:r>
          </w:p>
        </w:tc>
      </w:tr>
      <w:tr>
        <w:tc>
          <w:tcPr>
            <w:tcW w:type="dxa" w:w="2000"/>
            <w:tcBorders>
              <w:top w:val="single" w:color="BFBFBF" w:sz="4"/>
              <w:left w:val="single" w:color="BFBFBF" w:sz="4"/>
              <w:bottom w:val="single" w:color="BFBFBF" w:sz="4"/>
              <w:right w:val="single" w:color="BFBFBF" w:sz="4"/>
            </w:tcBorders>
            <w:shd w:fill="E3F2EC" w:color="auto" w:val="clear"/>
            <w:tcMar>
              <w:top w:type="dxa" w:w="70"/>
              <w:left w:type="dxa" w:w="100"/>
              <w:bottom w:type="dxa" w:w="70"/>
              <w:right w:type="dxa" w:w="100"/>
            </w:tcMar>
          </w:tcPr>
          <w:p>
            <w:pPr>
              <w:spacing w:after="40"/>
            </w:pPr>
            <w:r>
              <w:rPr>
                <w:b/>
                <w:bCs/>
                <w:sz w:val="19"/>
                <w:szCs w:val="19"/>
              </w:rPr>
              <w:t xml:space="preserve">Green</w:t>
            </w:r>
          </w:p>
        </w:tc>
        <w:tc>
          <w:tcPr>
            <w:tcW w:type="dxa" w:w="7026"/>
            <w:tcBorders>
              <w:top w:val="single" w:color="BFBFBF" w:sz="4"/>
              <w:left w:val="single" w:color="BFBFBF" w:sz="4"/>
              <w:bottom w:val="single" w:color="BFBFBF" w:sz="4"/>
              <w:right w:val="single" w:color="BFBFBF" w:sz="4"/>
            </w:tcBorders>
            <w:shd w:fill="E3F2EC" w:color="auto" w:val="clear"/>
            <w:tcMar>
              <w:top w:type="dxa" w:w="70"/>
              <w:left w:type="dxa" w:w="100"/>
              <w:bottom w:type="dxa" w:w="70"/>
              <w:right w:type="dxa" w:w="100"/>
            </w:tcMar>
          </w:tcPr>
          <w:p>
            <w:pPr>
              <w:spacing w:after="40"/>
            </w:pPr>
            <w:r>
              <w:rPr>
                <w:b w:val="false"/>
                <w:bCs w:val="false"/>
                <w:sz w:val="19"/>
                <w:szCs w:val="19"/>
              </w:rPr>
              <w:t xml:space="preserve">Matches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2026-10-18T18:50:58.471Z</dcterms:created>
  <dcterms:modified xsi:type="dcterms:W3CDTF">2026-10-18T18:50:58.471Z</dcterms:modified>
</cp:coreProperties>
</file>

<file path=docProps/custom.xml><?xml version="1.0" encoding="utf-8"?>
<Properties xmlns="http://schemas.openxmlformats.org/officeDocument/2006/custom-properties" xmlns:vt="http://schemas.openxmlformats.org/officeDocument/2006/docPropsVTypes"/>
</file>