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Smart EV DCL and TCL Operations</w:t>
      </w:r>
    </w:p>
    <w:p>
      <w:r>
        <w:t>MongoDB command examples for the Smart EV Charging System</w:t>
      </w:r>
    </w:p>
    <w:p>
      <w:r>
        <w:t>Aim: demonstrate database access control and transaction control using Smart EV collections. This document follows the command, result and explanation format of the supplied TCL AND DCL OPERATIONS reference, adapted to MongoDB rather than MySQL.</w:t>
      </w:r>
    </w:p>
    <w:p>
      <w:pPr>
        <w:pStyle w:val="Heading1"/>
      </w:pPr>
      <w:r>
        <w:t>DCL operations</w:t>
      </w:r>
    </w:p>
    <w:p>
      <w:r>
        <w:t>Data Control Language concerns permissions. MongoDB uses users, roles and privileges rather than SQL GRANT and REVOKE statements. The examples below are mongosh commands for a self-managed MongoDB deployment with authorization enabled. Run administrative commands as a database user with the required user and role management privileges.</w:t>
      </w:r>
    </w:p>
    <w:p>
      <w:r>
        <w:t>Execution status: these DCL examples are instructional and have not been executed against the running app. The app’s built-in local MongoDB launcher does not enable database authentication; its Express middleware implements application login and ownership checks. Creating MongoDB roles alone would not enforce access on that unauthenticated local instance. Use a separate authenticated teaching replica set for this exercise. Atlas manages database users through Atlas administration instead.</w:t>
      </w:r>
    </w:p>
    <w:p>
      <w:pPr>
        <w:pStyle w:val="Heading2"/>
      </w:pPr>
      <w:r>
        <w:t>1 Create a database user</w:t>
      </w:r>
    </w:p>
    <w:p>
      <w:pPr>
        <w:pStyle w:val="Code"/>
      </w:pPr>
      <w:r>
        <w:rPr>
          <w:rFonts w:ascii="Courier New" w:hAnsi="Courier New"/>
          <w:sz w:val="17"/>
        </w:rPr>
        <w:t>use smart_ev_charging</w:t>
        <w:br/>
        <w:t>db.createUser({</w:t>
        <w:br/>
        <w:t xml:space="preserve">  user: "ev_operator",</w:t>
        <w:br/>
        <w:t xml:space="preserve">  pwd: passwordPrompt(),</w:t>
        <w:br/>
        <w:t xml:space="preserve">  roles: [{ role: "read", db: "smart_ev_charging" }]</w:t>
        <w:br/>
        <w:t>});</w:t>
        <w:br/>
        <w:t>db.getUser("ev_operator");</w:t>
      </w:r>
    </w:p>
    <w:p>
      <w:r>
        <w:t>Expected result: user creation succeeds; getUser lists the read role. The password is entered interactively. This database account is distinct from a driver document in the application users collection.</w:t>
      </w:r>
    </w:p>
    <w:p>
      <w:pPr>
        <w:pStyle w:val="Heading2"/>
      </w:pPr>
      <w:r>
        <w:t>2 Define an insert privilege for vehicles</w:t>
      </w:r>
    </w:p>
    <w:p>
      <w:pPr>
        <w:pStyle w:val="Code"/>
      </w:pPr>
      <w:r>
        <w:rPr>
          <w:rFonts w:ascii="Courier New" w:hAnsi="Courier New"/>
          <w:sz w:val="17"/>
        </w:rPr>
        <w:t>db.createRole({</w:t>
        <w:br/>
        <w:t xml:space="preserve">  role: "vehicleInsert",</w:t>
        <w:br/>
        <w:t xml:space="preserve">  privileges: [{</w:t>
        <w:br/>
        <w:t xml:space="preserve">    resource: {</w:t>
        <w:br/>
        <w:t xml:space="preserve">      db: "smart_ev_charging", collection: "vehicles"</w:t>
        <w:br/>
        <w:t xml:space="preserve">    },</w:t>
        <w:br/>
        <w:t xml:space="preserve">    actions: ["insert"]</w:t>
        <w:br/>
        <w:t xml:space="preserve">  }],</w:t>
        <w:br/>
        <w:t xml:space="preserve">  roles: []</w:t>
        <w:br/>
        <w:t>});</w:t>
      </w:r>
    </w:p>
    <w:p>
      <w:r>
        <w:t>Expected result: role creation succeeds. The role grants insertion only into vehicles. It does not grant update or delete permission. Use a fresh exercise account and role name so prior grants do not affect the demonstration.</w:t>
      </w:r>
    </w:p>
    <w:p>
      <w:r>
        <w:br w:type="page"/>
      </w:r>
    </w:p>
    <w:p>
      <w:pPr>
        <w:pStyle w:val="Heading1"/>
      </w:pPr>
      <w:r>
        <w:t>Grant and Revoke examples</w:t>
      </w:r>
    </w:p>
    <w:p>
      <w:pPr>
        <w:pStyle w:val="Heading2"/>
      </w:pPr>
      <w:r>
        <w:t>3 Grant the insert role as administrator</w:t>
      </w:r>
    </w:p>
    <w:p>
      <w:pPr>
        <w:pStyle w:val="Code"/>
      </w:pPr>
      <w:r>
        <w:rPr>
          <w:rFonts w:ascii="Courier New" w:hAnsi="Courier New"/>
          <w:sz w:val="17"/>
        </w:rPr>
        <w:t>use smart_ev_charging</w:t>
        <w:br/>
        <w:t>db.grantRolesToUser("ev_operator", [</w:t>
        <w:br/>
        <w:t xml:space="preserve">  { role: "vehicleInsert", db: "smart_ev_charging" }</w:t>
        <w:br/>
        <w:t>]);</w:t>
        <w:br/>
        <w:t>db.getUser("ev_operator");</w:t>
      </w:r>
    </w:p>
    <w:p>
      <w:r>
        <w:t>Expected result: the user now has read and vehicleInsert roles. MongoDB has no FLUSH PRIVILEGES step for this role change.</w:t>
      </w:r>
    </w:p>
    <w:p>
      <w:pPr>
        <w:pStyle w:val="Heading2"/>
      </w:pPr>
      <w:r>
        <w:t>4 Connect as the operator and insert</w:t>
      </w:r>
    </w:p>
    <w:p>
      <w:pPr>
        <w:pStyle w:val="Code"/>
      </w:pPr>
      <w:r>
        <w:rPr>
          <w:rFonts w:ascii="Courier New" w:hAnsi="Courier New"/>
          <w:sz w:val="17"/>
        </w:rPr>
        <w:t># Terminal command using your authenticated replica set</w:t>
        <w:br/>
        <w:t>mongosh "mongodb://HOST:PORT/smart_ev_charging" \</w:t>
        <w:br/>
        <w:t xml:space="preserve">  --username ev_operator \</w:t>
        <w:br/>
        <w:t xml:space="preserve">  --authenticationDatabase smart_ev_charging --password</w:t>
      </w:r>
    </w:p>
    <w:p>
      <w:pPr>
        <w:pStyle w:val="Code"/>
      </w:pPr>
      <w:r>
        <w:rPr>
          <w:rFonts w:ascii="Courier New" w:hAnsi="Courier New"/>
          <w:sz w:val="17"/>
        </w:rPr>
        <w:t>// In the new operator mongosh session</w:t>
        <w:br/>
        <w:t>var owner = db.users.findOne({}, { _id: 1 });</w:t>
        <w:br/>
        <w:t>if (!owner) throw new Error("Seed a user first");</w:t>
        <w:br/>
        <w:t>var demoId = ObjectId();</w:t>
        <w:br/>
        <w:t>db.vehicles.insertOne({</w:t>
        <w:br/>
        <w:t xml:space="preserve">  _id: demoId, vehicle_id: 990001, user_id: owner._id,</w:t>
        <w:br/>
        <w:t xml:space="preserve">  model_name: "DCL Demo EV", plug_type: "CCS2",</w:t>
        <w:br/>
        <w:t xml:space="preserve">  batteryCapacity: 40, createdAt: new Date(),</w:t>
        <w:br/>
        <w:t xml:space="preserve">  updatedAt: new Date()</w:t>
        <w:br/>
        <w:t>});</w:t>
        <w:br/>
        <w:t>db.vehicles.findOne({ _id: demoId });</w:t>
      </w:r>
    </w:p>
    <w:p>
      <w:r>
        <w:t>Expected result: acknowledged true with an insertedId, followed by the saved vehicle. Reserve unused numeric IDs 990001 and 990002 in the teaching database. Direct shell writes bypass Mongoose validation and the application’s sequence counters; these are controlled lab examples, not the application’s normal write path.</w:t>
      </w:r>
    </w:p>
    <w:p>
      <w:pPr>
        <w:pStyle w:val="Heading2"/>
      </w:pPr>
      <w:r>
        <w:t>5 Revoke and test the permission</w:t>
      </w:r>
    </w:p>
    <w:p>
      <w:pPr>
        <w:pStyle w:val="Code"/>
      </w:pPr>
      <w:r>
        <w:rPr>
          <w:rFonts w:ascii="Courier New" w:hAnsi="Courier New"/>
          <w:sz w:val="17"/>
        </w:rPr>
        <w:t>// Administrator session</w:t>
        <w:br/>
        <w:t>db.revokeRolesFromUser("ev_operator", [</w:t>
        <w:br/>
        <w:t xml:space="preserve">  { role: "vehicleInsert", db: "smart_ev_charging" }</w:t>
        <w:br/>
        <w:t>]);</w:t>
      </w:r>
    </w:p>
    <w:p>
      <w:r>
        <w:t>Reconnect as ev_operator to verify the new permissions, then attempt the insert below. The read role remains, but there is no other role granting insertion.</w:t>
      </w:r>
    </w:p>
    <w:p>
      <w:pPr>
        <w:pStyle w:val="Code"/>
      </w:pPr>
      <w:r>
        <w:rPr>
          <w:rFonts w:ascii="Courier New" w:hAnsi="Courier New"/>
          <w:sz w:val="17"/>
        </w:rPr>
        <w:t>db.vehicles.insertOne({ vehicle_id: 990002,</w:t>
        <w:br/>
        <w:t xml:space="preserve">  user_id: db.users.findOne()._id,</w:t>
        <w:br/>
        <w:t xml:space="preserve">  model_name: "Denied EV", plug_type: "CCS2" });</w:t>
        <w:br/>
        <w:t>// Expected: MongoServerError, Unauthorized, code 13</w:t>
      </w:r>
    </w:p>
    <w:p>
      <w:r>
        <w:t>Cleanup as administrator: delete the vehicle with vehicle_id 990001, then run db.dropUser("ev_operator") and db.dropRole("vehicleInsert"). Delete only the exercise record after confirming its model name. No existing app user or role needs to be changed.</w:t>
      </w:r>
    </w:p>
    <w:p>
      <w:r>
        <w:br w:type="page"/>
      </w:r>
    </w:p>
    <w:p>
      <w:pPr>
        <w:pStyle w:val="Heading1"/>
      </w:pPr>
      <w:r>
        <w:t>TCL Commit and Rollback</w:t>
      </w:r>
    </w:p>
    <w:p>
      <w:r>
        <w:t>Transaction Control Language governs groups of changes. MongoDB sessions expose startTransaction, commitTransaction and abortTransaction. A replica set or supported sharded deployment is required. These examples use a station in an isolated teaching copy of smart_ev_charging. Outputs below are expected results, not captured execution logs.</w:t>
      </w:r>
    </w:p>
    <w:p>
      <w:pPr>
        <w:pStyle w:val="Heading2"/>
      </w:pPr>
      <w:r>
        <w:t>1 Prepare a temporary station</w:t>
      </w:r>
    </w:p>
    <w:p>
      <w:pPr>
        <w:pStyle w:val="Code"/>
      </w:pPr>
      <w:r>
        <w:rPr>
          <w:rFonts w:ascii="Courier New" w:hAnsi="Courier New"/>
          <w:sz w:val="17"/>
        </w:rPr>
        <w:t>use smart_ev_charging</w:t>
        <w:br/>
        <w:t>var owner = db.users.findOne({}, { _id: 1 });</w:t>
        <w:br/>
        <w:t>if (!owner) throw new Error("Seed a user first");</w:t>
        <w:br/>
        <w:t>var stationId = ObjectId();</w:t>
        <w:br/>
        <w:t>db.stations.insertOne({</w:t>
        <w:br/>
        <w:t xml:space="preserve">  _id: stationId, station_id: 990001, user_id: owner._id,</w:t>
        <w:br/>
        <w:t xml:space="preserve">  name: "TCL Demo Station", address: "Campus Lab",</w:t>
        <w:br/>
        <w:t xml:space="preserve">  supported_plug: "CCS2", current_status: "Available",</w:t>
        <w:br/>
        <w:t xml:space="preserve">  connector: { powerRating: 50, pricePerKWh: 0.5 },</w:t>
        <w:br/>
        <w:t xml:space="preserve">  createdAt: new Date(), updatedAt: new Date()</w:t>
        <w:br/>
        <w:t>});</w:t>
        <w:br/>
        <w:t>var s = db.getMongo().startSession();</w:t>
        <w:br/>
        <w:t>var tx = s.getDatabase("smart_ev_charging");</w:t>
      </w:r>
    </w:p>
    <w:p>
      <w:r>
        <w:t>Use an unused station_id. Continue the following examples in the same mongosh session so stationId, s and tx remain defined.</w:t>
      </w:r>
    </w:p>
    <w:p>
      <w:pPr>
        <w:pStyle w:val="Heading2"/>
      </w:pPr>
      <w:r>
        <w:t>2 Start a transaction and commit an update</w:t>
      </w:r>
    </w:p>
    <w:p>
      <w:pPr>
        <w:pStyle w:val="Code"/>
      </w:pPr>
      <w:r>
        <w:rPr>
          <w:rFonts w:ascii="Courier New" w:hAnsi="Courier New"/>
          <w:sz w:val="17"/>
        </w:rPr>
        <w:t>s.startTransaction({ writeConcern: { w: "majority" } });</w:t>
        <w:br/>
        <w:t>tx.stations.updateOne({ _id: stationId },</w:t>
        <w:br/>
        <w:t xml:space="preserve">  { $set: { current_status: "Maintenance" } });</w:t>
        <w:br/>
        <w:t>s.commitTransaction();</w:t>
        <w:br/>
        <w:t>db.stations.findOne({ _id: stationId },</w:t>
        <w:br/>
        <w:t xml:space="preserve">  { _id: 0, name: 1, current_status: 1 });</w:t>
        <w:br/>
        <w:t>// Expected document</w:t>
        <w:br/>
        <w:t>// { name: "TCL Demo Station",</w:t>
        <w:br/>
        <w:t>//   current_status: "Maintenance" }</w:t>
      </w:r>
    </w:p>
    <w:p>
      <w:r>
        <w:t>COMMIT makes the change persistent. The final read is outside the transaction, demonstrating that the updated status is visible after commit.</w:t>
      </w:r>
    </w:p>
    <w:p>
      <w:pPr>
        <w:pStyle w:val="Heading2"/>
      </w:pPr>
      <w:r>
        <w:t>3 Start a new transaction and roll it back</w:t>
      </w:r>
    </w:p>
    <w:p>
      <w:pPr>
        <w:pStyle w:val="Code"/>
      </w:pPr>
      <w:r>
        <w:rPr>
          <w:rFonts w:ascii="Courier New" w:hAnsi="Courier New"/>
          <w:sz w:val="17"/>
        </w:rPr>
        <w:t>s.startTransaction();</w:t>
        <w:br/>
        <w:t>tx.stations.updateOne({ _id: stationId },</w:t>
        <w:br/>
        <w:t xml:space="preserve">  { $set: { current_status: "Available" } });</w:t>
        <w:br/>
        <w:t>s.abortTransaction();</w:t>
        <w:br/>
        <w:t>db.stations.findOne({ _id: stationId },</w:t>
        <w:br/>
        <w:t xml:space="preserve">  { _id: 0, current_status: 1 });</w:t>
        <w:br/>
        <w:t>// Expected: { current_status: "Maintenance" }</w:t>
        <w:br/>
        <w:t>s.endSession();</w:t>
        <w:br/>
        <w:t>db.stations.deleteOne({ _id: stationId }); // Lab cleanup</w:t>
      </w:r>
    </w:p>
    <w:p>
      <w:r>
        <w:t>abortTransaction discards the uncommitted Available update. It does not undo the earlier committed Maintenance update. If any transaction command fails during the exercise, abort the active transaction before proceeding.</w:t>
      </w:r>
    </w:p>
    <w:p>
      <w:r>
        <w:br w:type="page"/>
      </w:r>
    </w:p>
    <w:p>
      <w:pPr>
        <w:pStyle w:val="Heading1"/>
      </w:pPr>
      <w:r>
        <w:t>Savepoints and the application implementation</w:t>
      </w:r>
    </w:p>
    <w:p>
      <w:pPr>
        <w:pStyle w:val="Heading2"/>
      </w:pPr>
      <w:r>
        <w:t>Savepoint distinction</w:t>
      </w:r>
    </w:p>
    <w:p>
      <w:r>
        <w:t>The reference uses SAVEPOINT and ROLLBACK TO SAVEPOINT. MongoDB does not expose equivalent SQL-style savepoints or nested transactions. Abort the entire active transaction, then begin a new transaction containing only the changes that should be retained. Separate committed transactions create separate atomic units and are not a substitute for partial rollback within one transaction.</w:t>
      </w:r>
    </w:p>
    <w:p>
      <w:r>
        <w:t>An abort after a completed commit cannot undo that commit. In the supplied SQL example, the row remains after ROLLBACK because it had already been committed. In MongoDB, attempting abortTransaction after commitTransaction is an invalid transaction state, rather than a way to reverse committed work.</w:t>
      </w:r>
    </w:p>
    <w:p>
      <w:pPr>
        <w:pStyle w:val="Heading2"/>
      </w:pPr>
      <w:r>
        <w:t>Commands compared</w:t>
      </w:r>
    </w:p>
    <w:tbl>
      <w:tblPr>
        <w:tblW w:type="auto" w:w="0"/>
        <w:tblLayout w:type="fixed"/>
        <w:tblLook w:firstColumn="1" w:firstRow="1" w:lastColumn="0" w:lastRow="0" w:noHBand="0" w:noVBand="1" w:val="04A0"/>
      </w:tblPr>
      <w:tblGrid>
        <w:gridCol w:w="4896"/>
        <w:gridCol w:w="4896"/>
      </w:tblGrid>
      <w:tr>
        <w:tc>
          <w:tcPr>
            <w:tcW w:type="dxa" w:w="3456"/>
            <w:tcBorders>
              <w:top w:val="single" w:sz="4" w:color="D9D9D9"/>
              <w:left w:val="single" w:sz="4" w:color="D9D9D9"/>
              <w:bottom w:val="single" w:sz="4" w:color="D9D9D9"/>
              <w:right w:val="single" w:sz="4" w:color="D9D9D9"/>
            </w:tcBorders>
            <w:shd w:fill="E9EEF3"/>
          </w:tcPr>
          <w:p>
            <w:pPr>
              <w:spacing w:after="100" w:before="100"/>
            </w:pPr>
            <w:r>
              <w:rPr>
                <w:b/>
                <w:sz w:val="18"/>
              </w:rPr>
              <w:t>Concept in reference</w:t>
            </w:r>
          </w:p>
        </w:tc>
        <w:tc>
          <w:tcPr>
            <w:tcW w:type="dxa" w:w="6192"/>
            <w:tcBorders>
              <w:top w:val="single" w:sz="4" w:color="D9D9D9"/>
              <w:left w:val="single" w:sz="4" w:color="D9D9D9"/>
              <w:bottom w:val="single" w:sz="4" w:color="D9D9D9"/>
              <w:right w:val="single" w:sz="4" w:color="D9D9D9"/>
            </w:tcBorders>
            <w:shd w:fill="E9EEF3"/>
          </w:tcPr>
          <w:p>
            <w:pPr>
              <w:spacing w:after="100" w:before="100"/>
            </w:pPr>
            <w:r>
              <w:rPr>
                <w:b/>
                <w:sz w:val="18"/>
              </w:rPr>
              <w:t>MongoDB equivalent</w:t>
            </w:r>
          </w:p>
        </w:tc>
      </w:tr>
      <w:tr>
        <w:tc>
          <w:tcPr>
            <w:tcW w:type="dxa" w:w="3456"/>
            <w:tcBorders>
              <w:top w:val="single" w:sz="4" w:color="D9D9D9"/>
              <w:left w:val="single" w:sz="4" w:color="D9D9D9"/>
              <w:bottom w:val="single" w:sz="4" w:color="D9D9D9"/>
              <w:right w:val="single" w:sz="4" w:color="D9D9D9"/>
            </w:tcBorders>
            <w:shd w:fill="FFFFFF"/>
          </w:tcPr>
          <w:p>
            <w:pPr>
              <w:spacing w:after="100" w:before="100"/>
            </w:pPr>
            <w:r>
              <w:rPr>
                <w:b w:val="0"/>
                <w:sz w:val="18"/>
              </w:rPr>
              <w:t>CREATE USER</w:t>
            </w:r>
          </w:p>
        </w:tc>
        <w:tc>
          <w:tcPr>
            <w:tcW w:type="dxa" w:w="6192"/>
            <w:tcBorders>
              <w:top w:val="single" w:sz="4" w:color="D9D9D9"/>
              <w:left w:val="single" w:sz="4" w:color="D9D9D9"/>
              <w:bottom w:val="single" w:sz="4" w:color="D9D9D9"/>
              <w:right w:val="single" w:sz="4" w:color="D9D9D9"/>
            </w:tcBorders>
            <w:shd w:fill="FFFFFF"/>
          </w:tcPr>
          <w:p>
            <w:pPr>
              <w:spacing w:after="100" w:before="100"/>
            </w:pPr>
            <w:r>
              <w:rPr>
                <w:b w:val="0"/>
                <w:sz w:val="18"/>
              </w:rPr>
              <w:t>db.createUser</w:t>
            </w:r>
          </w:p>
        </w:tc>
      </w:tr>
      <w:tr>
        <w:tc>
          <w:tcPr>
            <w:tcW w:type="dxa" w:w="3456"/>
            <w:tcBorders>
              <w:top w:val="single" w:sz="4" w:color="D9D9D9"/>
              <w:left w:val="single" w:sz="4" w:color="D9D9D9"/>
              <w:bottom w:val="single" w:sz="4" w:color="D9D9D9"/>
              <w:right w:val="single" w:sz="4" w:color="D9D9D9"/>
            </w:tcBorders>
            <w:shd w:fill="FFFFFF"/>
          </w:tcPr>
          <w:p>
            <w:pPr>
              <w:spacing w:after="100" w:before="100"/>
            </w:pPr>
            <w:r>
              <w:rPr>
                <w:b w:val="0"/>
                <w:sz w:val="18"/>
              </w:rPr>
              <w:t>GRANT</w:t>
            </w:r>
          </w:p>
        </w:tc>
        <w:tc>
          <w:tcPr>
            <w:tcW w:type="dxa" w:w="6192"/>
            <w:tcBorders>
              <w:top w:val="single" w:sz="4" w:color="D9D9D9"/>
              <w:left w:val="single" w:sz="4" w:color="D9D9D9"/>
              <w:bottom w:val="single" w:sz="4" w:color="D9D9D9"/>
              <w:right w:val="single" w:sz="4" w:color="D9D9D9"/>
            </w:tcBorders>
            <w:shd w:fill="FFFFFF"/>
          </w:tcPr>
          <w:p>
            <w:pPr>
              <w:spacing w:after="100" w:before="100"/>
            </w:pPr>
            <w:r>
              <w:rPr>
                <w:b w:val="0"/>
                <w:sz w:val="18"/>
              </w:rPr>
              <w:t>db.grantRolesToUser with suitable roles</w:t>
            </w:r>
          </w:p>
        </w:tc>
      </w:tr>
      <w:tr>
        <w:tc>
          <w:tcPr>
            <w:tcW w:type="dxa" w:w="3456"/>
            <w:tcBorders>
              <w:top w:val="single" w:sz="4" w:color="D9D9D9"/>
              <w:left w:val="single" w:sz="4" w:color="D9D9D9"/>
              <w:bottom w:val="single" w:sz="4" w:color="D9D9D9"/>
              <w:right w:val="single" w:sz="4" w:color="D9D9D9"/>
            </w:tcBorders>
            <w:shd w:fill="FFFFFF"/>
          </w:tcPr>
          <w:p>
            <w:pPr>
              <w:spacing w:after="100" w:before="100"/>
            </w:pPr>
            <w:r>
              <w:rPr>
                <w:b w:val="0"/>
                <w:sz w:val="18"/>
              </w:rPr>
              <w:t>REVOKE</w:t>
            </w:r>
          </w:p>
        </w:tc>
        <w:tc>
          <w:tcPr>
            <w:tcW w:type="dxa" w:w="6192"/>
            <w:tcBorders>
              <w:top w:val="single" w:sz="4" w:color="D9D9D9"/>
              <w:left w:val="single" w:sz="4" w:color="D9D9D9"/>
              <w:bottom w:val="single" w:sz="4" w:color="D9D9D9"/>
              <w:right w:val="single" w:sz="4" w:color="D9D9D9"/>
            </w:tcBorders>
            <w:shd w:fill="FFFFFF"/>
          </w:tcPr>
          <w:p>
            <w:pPr>
              <w:spacing w:after="100" w:before="100"/>
            </w:pPr>
            <w:r>
              <w:rPr>
                <w:b w:val="0"/>
                <w:sz w:val="18"/>
              </w:rPr>
              <w:t>db.revokeRolesFromUser</w:t>
            </w:r>
          </w:p>
        </w:tc>
      </w:tr>
      <w:tr>
        <w:tc>
          <w:tcPr>
            <w:tcW w:type="dxa" w:w="3456"/>
            <w:tcBorders>
              <w:top w:val="single" w:sz="4" w:color="D9D9D9"/>
              <w:left w:val="single" w:sz="4" w:color="D9D9D9"/>
              <w:bottom w:val="single" w:sz="4" w:color="D9D9D9"/>
              <w:right w:val="single" w:sz="4" w:color="D9D9D9"/>
            </w:tcBorders>
            <w:shd w:fill="FFFFFF"/>
          </w:tcPr>
          <w:p>
            <w:pPr>
              <w:spacing w:after="100" w:before="100"/>
            </w:pPr>
            <w:r>
              <w:rPr>
                <w:b w:val="0"/>
                <w:sz w:val="18"/>
              </w:rPr>
              <w:t>START TRANSACTION</w:t>
            </w:r>
          </w:p>
        </w:tc>
        <w:tc>
          <w:tcPr>
            <w:tcW w:type="dxa" w:w="6192"/>
            <w:tcBorders>
              <w:top w:val="single" w:sz="4" w:color="D9D9D9"/>
              <w:left w:val="single" w:sz="4" w:color="D9D9D9"/>
              <w:bottom w:val="single" w:sz="4" w:color="D9D9D9"/>
              <w:right w:val="single" w:sz="4" w:color="D9D9D9"/>
            </w:tcBorders>
            <w:shd w:fill="FFFFFF"/>
          </w:tcPr>
          <w:p>
            <w:pPr>
              <w:spacing w:after="100" w:before="100"/>
            </w:pPr>
            <w:r>
              <w:rPr>
                <w:b w:val="0"/>
                <w:sz w:val="18"/>
              </w:rPr>
              <w:t>session.startTransaction</w:t>
            </w:r>
          </w:p>
        </w:tc>
      </w:tr>
      <w:tr>
        <w:tc>
          <w:tcPr>
            <w:tcW w:type="dxa" w:w="3456"/>
            <w:tcBorders>
              <w:top w:val="single" w:sz="4" w:color="D9D9D9"/>
              <w:left w:val="single" w:sz="4" w:color="D9D9D9"/>
              <w:bottom w:val="single" w:sz="4" w:color="D9D9D9"/>
              <w:right w:val="single" w:sz="4" w:color="D9D9D9"/>
            </w:tcBorders>
            <w:shd w:fill="FFFFFF"/>
          </w:tcPr>
          <w:p>
            <w:pPr>
              <w:spacing w:after="100" w:before="100"/>
            </w:pPr>
            <w:r>
              <w:rPr>
                <w:b w:val="0"/>
                <w:sz w:val="18"/>
              </w:rPr>
              <w:t>COMMIT</w:t>
            </w:r>
          </w:p>
        </w:tc>
        <w:tc>
          <w:tcPr>
            <w:tcW w:type="dxa" w:w="6192"/>
            <w:tcBorders>
              <w:top w:val="single" w:sz="4" w:color="D9D9D9"/>
              <w:left w:val="single" w:sz="4" w:color="D9D9D9"/>
              <w:bottom w:val="single" w:sz="4" w:color="D9D9D9"/>
              <w:right w:val="single" w:sz="4" w:color="D9D9D9"/>
            </w:tcBorders>
            <w:shd w:fill="FFFFFF"/>
          </w:tcPr>
          <w:p>
            <w:pPr>
              <w:spacing w:after="100" w:before="100"/>
            </w:pPr>
            <w:r>
              <w:rPr>
                <w:b w:val="0"/>
                <w:sz w:val="18"/>
              </w:rPr>
              <w:t>session.commitTransaction</w:t>
            </w:r>
          </w:p>
        </w:tc>
      </w:tr>
      <w:tr>
        <w:tc>
          <w:tcPr>
            <w:tcW w:type="dxa" w:w="3456"/>
            <w:tcBorders>
              <w:top w:val="single" w:sz="4" w:color="D9D9D9"/>
              <w:left w:val="single" w:sz="4" w:color="D9D9D9"/>
              <w:bottom w:val="single" w:sz="4" w:color="D9D9D9"/>
              <w:right w:val="single" w:sz="4" w:color="D9D9D9"/>
            </w:tcBorders>
            <w:shd w:fill="FFFFFF"/>
          </w:tcPr>
          <w:p>
            <w:pPr>
              <w:spacing w:after="100" w:before="100"/>
            </w:pPr>
            <w:r>
              <w:rPr>
                <w:b w:val="0"/>
                <w:sz w:val="18"/>
              </w:rPr>
              <w:t>ROLLBACK before commit</w:t>
            </w:r>
          </w:p>
        </w:tc>
        <w:tc>
          <w:tcPr>
            <w:tcW w:type="dxa" w:w="6192"/>
            <w:tcBorders>
              <w:top w:val="single" w:sz="4" w:color="D9D9D9"/>
              <w:left w:val="single" w:sz="4" w:color="D9D9D9"/>
              <w:bottom w:val="single" w:sz="4" w:color="D9D9D9"/>
              <w:right w:val="single" w:sz="4" w:color="D9D9D9"/>
            </w:tcBorders>
            <w:shd w:fill="FFFFFF"/>
          </w:tcPr>
          <w:p>
            <w:pPr>
              <w:spacing w:after="100" w:before="100"/>
            </w:pPr>
            <w:r>
              <w:rPr>
                <w:b w:val="0"/>
                <w:sz w:val="18"/>
              </w:rPr>
              <w:t>session.abortTransaction</w:t>
            </w:r>
          </w:p>
        </w:tc>
      </w:tr>
      <w:tr>
        <w:tc>
          <w:tcPr>
            <w:tcW w:type="dxa" w:w="3456"/>
            <w:tcBorders>
              <w:top w:val="single" w:sz="4" w:color="D9D9D9"/>
              <w:left w:val="single" w:sz="4" w:color="D9D9D9"/>
              <w:bottom w:val="single" w:sz="4" w:color="D9D9D9"/>
              <w:right w:val="single" w:sz="4" w:color="D9D9D9"/>
            </w:tcBorders>
            <w:shd w:fill="FFFFFF"/>
          </w:tcPr>
          <w:p>
            <w:pPr>
              <w:spacing w:after="100" w:before="100"/>
            </w:pPr>
            <w:r>
              <w:rPr>
                <w:b w:val="0"/>
                <w:sz w:val="18"/>
              </w:rPr>
              <w:t>SAVEPOINT</w:t>
            </w:r>
          </w:p>
        </w:tc>
        <w:tc>
          <w:tcPr>
            <w:tcW w:type="dxa" w:w="6192"/>
            <w:tcBorders>
              <w:top w:val="single" w:sz="4" w:color="D9D9D9"/>
              <w:left w:val="single" w:sz="4" w:color="D9D9D9"/>
              <w:bottom w:val="single" w:sz="4" w:color="D9D9D9"/>
              <w:right w:val="single" w:sz="4" w:color="D9D9D9"/>
            </w:tcBorders>
            <w:shd w:fill="FFFFFF"/>
          </w:tcPr>
          <w:p>
            <w:pPr>
              <w:spacing w:after="100" w:before="100"/>
            </w:pPr>
            <w:r>
              <w:rPr>
                <w:b w:val="0"/>
                <w:sz w:val="18"/>
              </w:rPr>
              <w:t>No direct equivalent</w:t>
            </w:r>
          </w:p>
        </w:tc>
      </w:tr>
    </w:tbl>
    <w:p/>
    <w:p>
      <w:pPr>
        <w:pStyle w:val="Heading2"/>
      </w:pPr>
      <w:r>
        <w:t>Existing Smart EV transaction code</w:t>
      </w:r>
    </w:p>
    <w:p>
      <w:r>
        <w:t>Source: server/services/transaction.js. The application uses the driver helper withTransaction for automatic commit on success, abort on failure and supported retry handling. Every domain mutation updates the write lock before validation and database writes. Selected implementation lines follow.</w:t>
      </w:r>
    </w:p>
    <w:p>
      <w:pPr>
        <w:pStyle w:val="Code"/>
      </w:pPr>
      <w:r>
        <w:rPr>
          <w:rFonts w:ascii="Courier New" w:hAnsi="Courier New"/>
          <w:sz w:val="17"/>
        </w:rPr>
        <w:t>const session = await mongoose.startSession();</w:t>
        <w:br/>
        <w:t>await session.withTransaction(async () =&gt; {</w:t>
        <w:br/>
        <w:t xml:space="preserve">  await Counter.updateOne(</w:t>
        <w:br/>
        <w:t xml:space="preserve">    { _id: "write-lock" },</w:t>
        <w:br/>
        <w:t xml:space="preserve">    { $inc: { value: 1 } }, { session }</w:t>
        <w:br/>
        <w:t xml:space="preserve">  );</w:t>
        <w:br/>
        <w:t xml:space="preserve">  result = await fn(session);</w:t>
        <w:br/>
        <w:t>});</w:t>
        <w:br/>
        <w:t>// The full implementation ends the session in finally.</w:t>
      </w:r>
    </w:p>
    <w:p>
      <w:r>
        <w:t>Application DCL analogue: Express checks authenticated roles and record ownership. MongoDB database roles control direct database clients. They are different security layers; the application’s role field does not create a MongoDB database role.</w:t>
      </w:r>
    </w:p>
    <w:p>
      <w:pPr>
        <w:pStyle w:val="Heading2"/>
      </w:pPr>
      <w:r>
        <w:t>References</w:t>
      </w:r>
    </w:p>
    <w:p>
      <w:r>
        <w:t>Format reference: supplied TCL AND DCL OPERATIONS-2.pdf. MongoDB command behavior was checked against the official documentation below on 14 October 2026.</w:t>
      </w:r>
    </w:p>
    <w:p>
      <w:r>
        <w:t>https://www.mongodb.com/docs/manual/tutorial/manage-users-and-roles/</w:t>
      </w:r>
    </w:p>
    <w:p>
      <w:r>
        <w:t>https://www.mongodb.com/docs/manual/reference/method/Session.startTransaction/</w:t>
      </w:r>
    </w:p>
    <w:p>
      <w:r>
        <w:t>https://www.mongodb.com/docs/drivers/node/current/crud/transactions/</w:t>
      </w:r>
    </w:p>
    <w:p>
      <w:r>
        <w:t>https://github.com/mongodb/specifications/blob/master/source/transactions/transactions.md</w:t>
      </w:r>
    </w:p>
    <w:sectPr w:rsidR="00FC693F" w:rsidRPr="0006063C" w:rsidSect="00034616">
      <w:headerReference w:type="default" r:id="rId9"/>
      <w:footerReference w:type="default" r:id="rId10"/>
      <w:pgSz w:w="11952" w:h="16848"/>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Smart EV submission  •  14 October 2026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SMART EV  |  DATABASE IMPLEMENTATION EVIDENCE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100" w:line="240" w:lineRule="auto"/>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EV DCL and TCL Operations</dc:title>
  <dc:subject/>
  <dc:creator>Smart EV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