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EV MongoDB</w:t>
        <w:br/>
        <w:t>Connection and CRUD Evidence</w:t>
      </w:r>
    </w:p>
    <w:p>
      <w:r>
        <w:t>DBMS project submission • MERN application • Evidence captured on 14 October 2026</w:t>
      </w:r>
    </w:p>
    <w:p>
      <w:r>
        <w:t>This report demonstrates that the Smart EV application connects to MongoDB and performs Create, Read, Update and Delete operations through its Express API. Each operation was executed against the running application and independently checked by reading the same document directly from MongoDB. All four checks passed.</w:t>
      </w:r>
    </w:p>
    <w:p>
      <w:pPr>
        <w:pStyle w:val="Heading1"/>
      </w:pPr>
      <w:r>
        <w:t>MongoDB connection proof</w:t>
      </w:r>
    </w:p>
    <w:p>
      <w:r>
        <w:t>The application uses the smart_ev_charging database on a local MongoDB replica set. The native MongoDB process stores WiredTiger data in .data/mongodb. The launcher package is named mongodb-memory-server, but this application uses persistent disk storage for normal runs.</w:t>
      </w:r>
    </w:p>
    <w:p>
      <w:pPr>
        <w:pStyle w:val="Code"/>
      </w:pPr>
      <w:r>
        <w:rPr>
          <w:rFonts w:ascii="Courier New" w:hAnsi="Courier New"/>
          <w:sz w:val="17"/>
        </w:rPr>
        <w:t>{</w:t>
        <w:br/>
        <w:t xml:space="preserve">  "capturedAt": "2026-10-14T06:41:29.440Z",</w:t>
        <w:br/>
        <w:t xml:space="preserve">  "database": "smart_ev_charging",</w:t>
        <w:br/>
        <w:t xml:space="preserve">  "mongooseReadyState": 1,</w:t>
        <w:br/>
        <w:t xml:space="preserve">  "pingOk": 1,</w:t>
        <w:br/>
        <w:t xml:space="preserve">  "replicaSet": "smart-ev",</w:t>
        <w:br/>
        <w:t xml:space="preserve">  "isWritablePrimary": true</w:t>
        <w:br/>
        <w:t>}</w:t>
      </w:r>
    </w:p>
    <w:p>
      <w:r>
        <w:t>Observed GET /api/health response with HTTP 200</w:t>
      </w:r>
    </w:p>
    <w:p>
      <w:pPr>
        <w:pStyle w:val="Code"/>
      </w:pPr>
      <w:r>
        <w:rPr>
          <w:rFonts w:ascii="Courier New" w:hAnsi="Courier New"/>
          <w:sz w:val="17"/>
        </w:rPr>
        <w:t>{</w:t>
        <w:br/>
        <w:t xml:space="preserve">  "status": "connected",</w:t>
        <w:br/>
        <w:t xml:space="preserve">  "database": "MongoDB",</w:t>
        <w:br/>
        <w:t xml:space="preserve">  "name": "smart_ev_charging"</w:t>
        <w:br/>
        <w:t>}</w:t>
      </w:r>
    </w:p>
    <w:p>
      <w:r>
        <w:t>readyState 1 identifies an established Mongoose connection. The direct MongoDB ping returned ok 1, and hello reported the smart-ev replica set with a writable primary. These results were obtained live, rather than copied from expected output.</w:t>
      </w:r>
    </w:p>
    <w:p>
      <w:pPr>
        <w:pStyle w:val="Heading2"/>
      </w:pPr>
      <w:r>
        <w:t>Evidence and source files</w:t>
      </w:r>
    </w:p>
    <w:p>
      <w:r>
        <w:t>The accompanying ZIP contains the full current application source, the reproducible evidence script, raw JSON results and integration test output. Passwords, session cookies, database files and dependency folders are excluded. This document contains focused source excerpts; complete implementations remain in the codebase.</w:t>
      </w:r>
    </w:p>
    <w:p>
      <w:r>
        <w:br w:type="page"/>
      </w:r>
    </w:p>
    <w:p>
      <w:pPr>
        <w:pStyle w:val="Heading1"/>
      </w:pPr>
      <w:r>
        <w:t>Connection code and database design</w:t>
      </w:r>
    </w:p>
    <w:p>
      <w:r>
        <w:t>Source: server/config/database.js. The following exact excerpt connects Mongoose to the selected database. The local launcher creates or reuses the replica set before these lines run.</w:t>
      </w:r>
    </w:p>
    <w:p>
      <w:pPr>
        <w:pStyle w:val="Code"/>
      </w:pPr>
      <w:r>
        <w:rPr>
          <w:rFonts w:ascii="Courier New" w:hAnsi="Courier New"/>
          <w:sz w:val="17"/>
        </w:rPr>
        <w:t>await mongoose.connect(uri, {</w:t>
        <w:br/>
        <w:t xml:space="preserve">  dbName: temporary ? 'smart_ev_charging_test'</w:t>
        <w:br/>
        <w:t xml:space="preserve">    : (process.env.MONGODB_DB || 'smart_ev_charging'),</w:t>
        <w:br/>
        <w:t xml:space="preserve">  serverSelectionTimeoutMS: 10000</w:t>
        <w:br/>
        <w:t>});</w:t>
        <w:br/>
        <w:t>const topology = await mongoose.connection.db.admin()</w:t>
        <w:br/>
        <w:t xml:space="preserve">  .command({ hello: 1 });</w:t>
      </w:r>
    </w:p>
    <w:p>
      <w:r>
        <w:t>Formatting above is reflowed for readability. uri comes from MONGODB_URI or the local MongoDB launcher. Startup rejects standalone deployments because transaction support is required.</w:t>
      </w:r>
    </w:p>
    <w:p>
      <w:pPr>
        <w:pStyle w:val="Heading2"/>
      </w:pPr>
      <w:r>
        <w:t>Collections observed in the live database</w:t>
      </w:r>
    </w:p>
    <w:tbl>
      <w:tblPr>
        <w:tblW w:type="auto" w:w="0"/>
        <w:tblLayout w:type="fixed"/>
        <w:tblLook w:firstColumn="1" w:firstRow="1" w:lastColumn="0" w:lastRow="0" w:noHBand="0" w:noVBand="1" w:val="04A0"/>
      </w:tblPr>
      <w:tblGrid>
        <w:gridCol w:w="4896"/>
        <w:gridCol w:w="4896"/>
      </w:tblGrid>
      <w:tr>
        <w:tc>
          <w:tcPr>
            <w:tcW w:type="dxa" w:w="1944"/>
            <w:tcBorders>
              <w:top w:val="single" w:sz="4" w:color="D9D9D9"/>
              <w:left w:val="single" w:sz="4" w:color="D9D9D9"/>
              <w:bottom w:val="single" w:sz="4" w:color="D9D9D9"/>
              <w:right w:val="single" w:sz="4" w:color="D9D9D9"/>
            </w:tcBorders>
            <w:shd w:fill="E9EEF3"/>
          </w:tcPr>
          <w:p>
            <w:pPr>
              <w:spacing w:after="100" w:before="100"/>
            </w:pPr>
            <w:r>
              <w:rPr>
                <w:b/>
                <w:sz w:val="18"/>
              </w:rPr>
              <w:t>Collection</w:t>
            </w:r>
          </w:p>
        </w:tc>
        <w:tc>
          <w:tcPr>
            <w:tcW w:type="dxa" w:w="7704"/>
            <w:tcBorders>
              <w:top w:val="single" w:sz="4" w:color="D9D9D9"/>
              <w:left w:val="single" w:sz="4" w:color="D9D9D9"/>
              <w:bottom w:val="single" w:sz="4" w:color="D9D9D9"/>
              <w:right w:val="single" w:sz="4" w:color="D9D9D9"/>
            </w:tcBorders>
            <w:shd w:fill="E9EEF3"/>
          </w:tcPr>
          <w:p>
            <w:pPr>
              <w:spacing w:after="100" w:before="100"/>
            </w:pPr>
            <w:r>
              <w:rPr>
                <w:b/>
                <w:sz w:val="18"/>
              </w:rPr>
              <w:t>Purpose</w:t>
            </w:r>
          </w:p>
        </w:tc>
      </w:tr>
      <w:t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18"/>
              </w:rPr>
              <w:t>users</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18"/>
              </w:rPr>
              <w:t>Profiles, membership and login identity</w:t>
            </w:r>
          </w:p>
        </w:tc>
      </w:tr>
      <w:t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18"/>
              </w:rPr>
              <w:t>vehicles</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18"/>
              </w:rPr>
              <w:t>Vehicles referencing their owner</w:t>
            </w:r>
          </w:p>
        </w:tc>
      </w:tr>
      <w:t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18"/>
              </w:rPr>
              <w:t>stations</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18"/>
              </w:rPr>
              <w:t>Stations with an embedded connector</w:t>
            </w:r>
          </w:p>
        </w:tc>
      </w:tr>
      <w:t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18"/>
              </w:rPr>
              <w:t>bookings</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18"/>
              </w:rPr>
              <w:t>User, vehicle and station references; embedded session and payment</w:t>
            </w:r>
          </w:p>
        </w:tc>
      </w:tr>
      <w:t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18"/>
              </w:rPr>
              <w:t>authsessions</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18"/>
              </w:rPr>
              <w:t>Expiring server sessions with hashed tokens</w:t>
            </w:r>
          </w:p>
        </w:tc>
      </w:tr>
      <w:t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18"/>
              </w:rPr>
              <w:t>counters</w:t>
            </w:r>
          </w:p>
        </w:tc>
        <w:tc>
          <w:tcPr>
            <w:tcW w:type="dxa" w:w="7704"/>
            <w:tcBorders>
              <w:top w:val="single" w:sz="4" w:color="D9D9D9"/>
              <w:left w:val="single" w:sz="4" w:color="D9D9D9"/>
              <w:bottom w:val="single" w:sz="4" w:color="D9D9D9"/>
              <w:right w:val="single" w:sz="4" w:color="D9D9D9"/>
            </w:tcBorders>
            <w:shd w:fill="FFFFFF"/>
          </w:tcPr>
          <w:p>
            <w:pPr>
              <w:spacing w:after="100" w:before="100"/>
            </w:pPr>
            <w:r>
              <w:rPr>
                <w:b w:val="0"/>
                <w:sz w:val="18"/>
              </w:rPr>
              <w:t>Display ID sequences, migration markers and write lock</w:t>
            </w:r>
          </w:p>
        </w:tc>
      </w:tr>
    </w:tbl>
    <w:p/>
    <w:p>
      <w:pPr>
        <w:pStyle w:val="Heading2"/>
      </w:pPr>
      <w:r>
        <w:t>Vehicle schema excerpt</w:t>
      </w:r>
    </w:p>
    <w:p>
      <w:r>
        <w:t>Source: server/models/index.js. ObjectId references represent the relationship from a user to multiple vehicles. The schema also defines timestamps, strict validation and indexes.</w:t>
      </w:r>
    </w:p>
    <w:p>
      <w:pPr>
        <w:pStyle w:val="Code"/>
      </w:pPr>
      <w:r>
        <w:rPr>
          <w:rFonts w:ascii="Courier New" w:hAnsi="Courier New"/>
          <w:sz w:val="17"/>
        </w:rPr>
        <w:t>const vehicle = new Schema({</w:t>
        <w:br/>
        <w:t xml:space="preserve">  vehicle_id: { type: Number, unique: true },</w:t>
        <w:br/>
        <w:t xml:space="preserve">  user_id: ref('User'), model_name: text(),</w:t>
        <w:br/>
        <w:t xml:space="preserve">  plug_type: { type: String, enum: plugs, required: true },</w:t>
        <w:br/>
        <w:t xml:space="preserve">  registrationNumber: { type: String, uppercase: true,</w:t>
        <w:br/>
        <w:t xml:space="preserve">    trim: true, maxlength: 30 },</w:t>
        <w:br/>
        <w:t xml:space="preserve">  batteryCapacity: { type: Number, min: 1, max: 1000 }</w:t>
        <w:br/>
        <w:t>}, opts);</w:t>
        <w:br/>
        <w:t>vehicle.index({ user_id: 1, createdAt: -1 });</w:t>
      </w:r>
    </w:p>
    <w:p>
      <w:r>
        <w:t>ref builds a required ObjectId reference; text builds a required trimmed string. A separate partial unique index protects supplied registration numbers. Bookings reference users, vehicles and stations; charging sessions and simulated payments are embedded to match the existing interface.</w:t>
      </w:r>
    </w:p>
    <w:p>
      <w:r>
        <w:br w:type="page"/>
      </w:r>
    </w:p>
    <w:p>
      <w:pPr>
        <w:pStyle w:val="Heading1"/>
      </w:pPr>
      <w:r>
        <w:t>Create and Read examples</w:t>
      </w:r>
    </w:p>
    <w:p>
      <w:r>
        <w:t>A temporary demonstration driver was created by the signed-in administrator. The same vehicle ObjectId is used throughout all four operations. Requests used an HTTP-only session cookie and an X-CSRF-Token header; their secret values are omitted.</w:t>
      </w:r>
    </w:p>
    <w:p>
      <w:pPr>
        <w:pStyle w:val="Heading2"/>
      </w:pPr>
      <w:r>
        <w:t>Create a vehicle</w:t>
      </w:r>
    </w:p>
    <w:p>
      <w:pPr>
        <w:pStyle w:val="Code"/>
      </w:pPr>
      <w:r>
        <w:rPr>
          <w:rFonts w:ascii="Courier New" w:hAnsi="Courier New"/>
          <w:sz w:val="17"/>
        </w:rPr>
        <w:t>POST /api/vehicles</w:t>
        <w:br/>
        <w:t>{</w:t>
        <w:br/>
        <w:t xml:space="preserve">  "user_id": "6acf2419e8c56da87cee2498",</w:t>
        <w:br/>
        <w:t xml:space="preserve">  "model_name": "Submission Demo EV",</w:t>
        <w:br/>
        <w:t xml:space="preserve">  "plug_type": "CCS2",</w:t>
        <w:br/>
        <w:t xml:space="preserve">  "batteryCapacity": 40</w:t>
        <w:br/>
        <w:t>}</w:t>
      </w:r>
    </w:p>
    <w:p>
      <w:r>
        <w:t>Observed result: HTTP 201 Created. A direct query to the vehicles collection returned the following selected fields.</w:t>
      </w:r>
    </w:p>
    <w:p>
      <w:pPr>
        <w:pStyle w:val="Code"/>
      </w:pPr>
      <w:r>
        <w:rPr>
          <w:rFonts w:ascii="Courier New" w:hAnsi="Courier New"/>
          <w:sz w:val="17"/>
        </w:rPr>
        <w:t>{</w:t>
        <w:br/>
        <w:t xml:space="preserve">  "_id": "6acf2419e8c56da87cee24a0",</w:t>
        <w:br/>
        <w:t xml:space="preserve">  "user_id": "6acf2419e8c56da87cee2498",</w:t>
        <w:br/>
        <w:t xml:space="preserve">  "model_name": "Submission Demo EV",</w:t>
        <w:br/>
        <w:t xml:space="preserve">  "plug_type": "CCS2",</w:t>
        <w:br/>
        <w:t xml:space="preserve">  "batteryCapacity": 40,</w:t>
        <w:br/>
        <w:t xml:space="preserve">  "vehicle_id": 19</w:t>
        <w:br/>
        <w:t>}</w:t>
      </w:r>
    </w:p>
    <w:p>
      <w:pPr>
        <w:pStyle w:val="Heading2"/>
      </w:pPr>
      <w:r>
        <w:t>Read the saved vehicle</w:t>
      </w:r>
    </w:p>
    <w:p>
      <w:pPr>
        <w:pStyle w:val="Code"/>
      </w:pPr>
      <w:r>
        <w:rPr>
          <w:rFonts w:ascii="Courier New" w:hAnsi="Courier New"/>
          <w:sz w:val="17"/>
        </w:rPr>
        <w:t>GET /api/vehicles/6acf2419e8c56da87cee24a0</w:t>
      </w:r>
    </w:p>
    <w:p>
      <w:r>
        <w:t>Observed result: HTTP 200 OK. Selected API response fields are shown below. A separate direct MongoDB read returned the same ObjectId, model and connector type.</w:t>
      </w:r>
    </w:p>
    <w:p>
      <w:pPr>
        <w:pStyle w:val="Code"/>
      </w:pPr>
      <w:r>
        <w:rPr>
          <w:rFonts w:ascii="Courier New" w:hAnsi="Courier New"/>
          <w:sz w:val="17"/>
        </w:rPr>
        <w:t>{</w:t>
        <w:br/>
        <w:t xml:space="preserve">  "_id": "6acf2419e8c56da87cee24a0",</w:t>
        <w:br/>
        <w:t xml:space="preserve">  "model_name": "Submission Demo EV",</w:t>
        <w:br/>
        <w:t xml:space="preserve">  "plug_type": "CCS2"</w:t>
        <w:br/>
        <w:t>}</w:t>
      </w:r>
    </w:p>
    <w:p>
      <w:pPr>
        <w:pStyle w:val="Heading2"/>
      </w:pPr>
      <w:r>
        <w:t>How the application performs these operations</w:t>
      </w:r>
    </w:p>
    <w:p>
      <w:r>
        <w:t>Source: server/services/records.js. Creation and updates pass validation and authorization before save. Reads use the authenticated user scope, and populate resolves referenced records. The lines below are selected from the implementation; surrounding logic is retained in the ZIP.</w:t>
      </w:r>
    </w:p>
    <w:p>
      <w:pPr>
        <w:pStyle w:val="Code"/>
      </w:pPr>
      <w:r>
        <w:rPr>
          <w:rFonts w:ascii="Courier New" w:hAnsi="Courier New"/>
          <w:sz w:val="17"/>
        </w:rPr>
        <w:t>const doc = old || new models[kind]();</w:t>
        <w:br/>
        <w:t>doc.set(data);</w:t>
        <w:br/>
        <w:t>await doc.save({ session });</w:t>
        <w:br/>
        <w:br/>
        <w:t>const row = await models[kind].findOne({</w:t>
        <w:br/>
        <w:t xml:space="preserve">  $and: [{ _id: id }, scope(kind, user)]</w:t>
        <w:br/>
        <w:t>}).populate(populate[kind]).lean();</w:t>
      </w:r>
    </w:p>
    <w:p>
      <w:r>
        <w:br w:type="page"/>
      </w:r>
    </w:p>
    <w:p>
      <w:pPr>
        <w:pStyle w:val="Heading1"/>
      </w:pPr>
      <w:r>
        <w:t>Update and Delete examples</w:t>
      </w:r>
    </w:p>
    <w:p>
      <w:pPr>
        <w:pStyle w:val="Heading2"/>
      </w:pPr>
      <w:r>
        <w:t>Update the same vehicle</w:t>
      </w:r>
    </w:p>
    <w:p>
      <w:pPr>
        <w:pStyle w:val="Code"/>
      </w:pPr>
      <w:r>
        <w:rPr>
          <w:rFonts w:ascii="Courier New" w:hAnsi="Courier New"/>
          <w:sz w:val="17"/>
        </w:rPr>
        <w:t>PUT /api/vehicles/6acf2419e8c56da87cee24a0</w:t>
        <w:br/>
        <w:t>{</w:t>
        <w:br/>
        <w:t xml:space="preserve">  "model_name": "Submission Demo EV Updated",</w:t>
        <w:br/>
        <w:t xml:space="preserve">  "batteryCapacity": 55</w:t>
        <w:br/>
        <w:t>}</w:t>
      </w:r>
    </w:p>
    <w:p>
      <w:r>
        <w:t>Observed result: HTTP 200 OK. A direct MongoDB read confirmed both the changed model name and battery capacity. The ObjectId remained unchanged.</w:t>
      </w:r>
    </w:p>
    <w:p>
      <w:pPr>
        <w:pStyle w:val="Code"/>
      </w:pPr>
      <w:r>
        <w:rPr>
          <w:rFonts w:ascii="Courier New" w:hAnsi="Courier New"/>
          <w:sz w:val="17"/>
        </w:rPr>
        <w:t>{</w:t>
        <w:br/>
        <w:t xml:space="preserve">  "_id": "6acf2419e8c56da87cee24a0",</w:t>
        <w:br/>
        <w:t xml:space="preserve">  "user_id": "6acf2419e8c56da87cee2498",</w:t>
        <w:br/>
        <w:t xml:space="preserve">  "model_name": "Submission Demo EV Updated",</w:t>
        <w:br/>
        <w:t xml:space="preserve">  "plug_type": "CCS2",</w:t>
        <w:br/>
        <w:t xml:space="preserve">  "batteryCapacity": 55,</w:t>
        <w:br/>
        <w:t xml:space="preserve">  "vehicle_id": 19</w:t>
        <w:br/>
        <w:t>}</w:t>
      </w:r>
    </w:p>
    <w:p>
      <w:pPr>
        <w:pStyle w:val="Heading2"/>
      </w:pPr>
      <w:r>
        <w:t>Delete the vehicle</w:t>
      </w:r>
    </w:p>
    <w:p>
      <w:pPr>
        <w:pStyle w:val="Code"/>
      </w:pPr>
      <w:r>
        <w:rPr>
          <w:rFonts w:ascii="Courier New" w:hAnsi="Courier New"/>
          <w:sz w:val="17"/>
        </w:rPr>
        <w:t>DELETE /api/vehicles/6acf2419e8c56da87cee24a0</w:t>
      </w:r>
    </w:p>
    <w:p>
      <w:r>
        <w:t>Observed result: HTTP 204 No Content. A subsequent GET returned HTTP 404, and MongoDB findOne returned null. These checks prove that the record was deleted from storage, rather than merely hidden in the interface.</w:t>
      </w:r>
    </w:p>
    <w:p>
      <w:pPr>
        <w:pStyle w:val="Code"/>
      </w:pPr>
      <w:r>
        <w:rPr>
          <w:rFonts w:ascii="Courier New" w:hAnsi="Courier New"/>
          <w:sz w:val="17"/>
        </w:rPr>
        <w:t>{</w:t>
        <w:br/>
        <w:t xml:space="preserve">  "deleteStatus": 204,</w:t>
        <w:br/>
        <w:t xml:space="preserve">  "followupGetStatus": 404,</w:t>
        <w:br/>
        <w:t xml:space="preserve">  "mongoDocument": null</w:t>
        <w:br/>
        <w:t>}</w:t>
      </w:r>
    </w:p>
    <w:p>
      <w:pPr>
        <w:pStyle w:val="Heading2"/>
      </w:pPr>
      <w:r>
        <w:t>MongoDB deletion code</w:t>
      </w:r>
    </w:p>
    <w:p>
      <w:r>
        <w:t>Source: server/services/records.js. The selected statement executes within the shared transaction wrapper after authorization and related-record handling.</w:t>
      </w:r>
    </w:p>
    <w:p>
      <w:pPr>
        <w:pStyle w:val="Code"/>
      </w:pPr>
      <w:r>
        <w:rPr>
          <w:rFonts w:ascii="Courier New" w:hAnsi="Courier New"/>
          <w:sz w:val="17"/>
        </w:rPr>
        <w:t>await models[kind].deleteOne({ _id: id }, { session });</w:t>
      </w:r>
    </w:p>
    <w:p>
      <w:pPr>
        <w:pStyle w:val="Heading2"/>
      </w:pPr>
      <w:r>
        <w:t>Direct verification query</w:t>
      </w:r>
    </w:p>
    <w:p>
      <w:r>
        <w:t>Source: scripts/submission-evidence.mjs. This independent query reads the native collection through the MongoDB driver exposed by Mongoose. It is used after Create, Read, Update and Delete.</w:t>
      </w:r>
    </w:p>
    <w:p>
      <w:pPr>
        <w:pStyle w:val="Code"/>
      </w:pPr>
      <w:r>
        <w:rPr>
          <w:rFonts w:ascii="Courier New" w:hAnsi="Courier New"/>
          <w:sz w:val="17"/>
        </w:rPr>
        <w:t>const query = { _id: new mongoose.Types.ObjectId(id) };</w:t>
        <w:br/>
        <w:t>const direct = () =&gt; db.collection('vehicles')</w:t>
        <w:br/>
        <w:t xml:space="preserve">  .findOne(query, { projection });</w:t>
      </w:r>
    </w:p>
    <w:p>
      <w:r>
        <w:t>The demonstration vehicle and temporary driver were removed after the evidence was captured. Existing application records were not edited. Numeric ID counters advanced normally, so gaps in IDs are expected.</w:t>
      </w:r>
    </w:p>
    <w:p>
      <w:r>
        <w:br w:type="page"/>
      </w:r>
    </w:p>
    <w:p>
      <w:pPr>
        <w:pStyle w:val="Heading1"/>
      </w:pPr>
      <w:r>
        <w:t>Transactions and verification results</w:t>
      </w:r>
    </w:p>
    <w:p>
      <w:pPr>
        <w:pStyle w:val="Heading2"/>
      </w:pPr>
      <w:r>
        <w:t>Atomic multi document writes</w:t>
      </w:r>
    </w:p>
    <w:p>
      <w:r>
        <w:t>Source: server/services/transaction.js. Domain writes first update a shared lock document in the transaction. Conflicting transactions are retried before availability is checked, preventing simultaneous reservations from both passing the overlap check.</w:t>
      </w:r>
    </w:p>
    <w:p>
      <w:pPr>
        <w:pStyle w:val="Code"/>
      </w:pPr>
      <w:r>
        <w:rPr>
          <w:rFonts w:ascii="Courier New" w:hAnsi="Courier New"/>
          <w:sz w:val="17"/>
        </w:rPr>
        <w:t>import mongoose from 'mongoose';</w:t>
        <w:br/>
        <w:t>import { Counter } from '../models/index.js';</w:t>
        <w:br/>
        <w:t>export async function mutate(fn) {</w:t>
        <w:br/>
        <w:t xml:space="preserve">  const session = await mongoose.startSession();</w:t>
        <w:br/>
        <w:t xml:space="preserve">  try {</w:t>
        <w:br/>
        <w:t xml:space="preserve">    let result;</w:t>
        <w:br/>
        <w:t xml:space="preserve">    await session.withTransaction(async () =&gt; {</w:t>
        <w:br/>
        <w:t xml:space="preserve">      await Counter.updateOne(</w:t>
        <w:br/>
        <w:t xml:space="preserve">        { _id: 'write-lock' },</w:t>
        <w:br/>
        <w:t xml:space="preserve">        { $inc: { value: 1 } }, { session }</w:t>
        <w:br/>
        <w:t xml:space="preserve">      );</w:t>
        <w:br/>
        <w:t xml:space="preserve">      result = await fn(session);</w:t>
        <w:br/>
        <w:t xml:space="preserve">    });</w:t>
        <w:br/>
        <w:t xml:space="preserve">    return result;</w:t>
        <w:br/>
        <w:t xml:space="preserve">  } finally { await session.endSession(); }</w:t>
        <w:br/>
        <w:t>}</w:t>
        <w:br/>
      </w:r>
    </w:p>
    <w:p>
      <w:pPr>
        <w:pStyle w:val="Heading2"/>
      </w:pPr>
      <w:r>
        <w:t>Observed CRUD outcomes</w:t>
      </w:r>
    </w:p>
    <w:tbl>
      <w:tblPr>
        <w:tblW w:type="auto" w:w="0"/>
        <w:tblLayout w:type="fixed"/>
        <w:tblLook w:firstColumn="1" w:firstRow="1" w:lastColumn="0" w:lastRow="0" w:noHBand="0" w:noVBand="1" w:val="04A0"/>
      </w:tblPr>
      <w:tblGrid>
        <w:gridCol w:w="3264"/>
        <w:gridCol w:w="3264"/>
        <w:gridCol w:w="3264"/>
      </w:tblGrid>
      <w:tr>
        <w:tc>
          <w:tcPr>
            <w:tcW w:type="dxa" w:w="1656"/>
            <w:tcBorders>
              <w:top w:val="single" w:sz="4" w:color="D9D9D9"/>
              <w:left w:val="single" w:sz="4" w:color="D9D9D9"/>
              <w:bottom w:val="single" w:sz="4" w:color="D9D9D9"/>
              <w:right w:val="single" w:sz="4" w:color="D9D9D9"/>
            </w:tcBorders>
            <w:shd w:fill="E9EEF3"/>
          </w:tcPr>
          <w:p>
            <w:pPr>
              <w:spacing w:after="100" w:before="100"/>
            </w:pPr>
            <w:r>
              <w:rPr>
                <w:b/>
                <w:sz w:val="18"/>
              </w:rPr>
              <w:t>Operation</w:t>
            </w:r>
          </w:p>
        </w:tc>
        <w:tc>
          <w:tcPr>
            <w:tcW w:type="dxa" w:w="1872"/>
            <w:tcBorders>
              <w:top w:val="single" w:sz="4" w:color="D9D9D9"/>
              <w:left w:val="single" w:sz="4" w:color="D9D9D9"/>
              <w:bottom w:val="single" w:sz="4" w:color="D9D9D9"/>
              <w:right w:val="single" w:sz="4" w:color="D9D9D9"/>
            </w:tcBorders>
            <w:shd w:fill="E9EEF3"/>
          </w:tcPr>
          <w:p>
            <w:pPr>
              <w:spacing w:after="100" w:before="100"/>
            </w:pPr>
            <w:r>
              <w:rPr>
                <w:b/>
                <w:sz w:val="18"/>
              </w:rPr>
              <w:t>HTTP result</w:t>
            </w:r>
          </w:p>
        </w:tc>
        <w:tc>
          <w:tcPr>
            <w:tcW w:type="dxa" w:w="6120"/>
            <w:tcBorders>
              <w:top w:val="single" w:sz="4" w:color="D9D9D9"/>
              <w:left w:val="single" w:sz="4" w:color="D9D9D9"/>
              <w:bottom w:val="single" w:sz="4" w:color="D9D9D9"/>
              <w:right w:val="single" w:sz="4" w:color="D9D9D9"/>
            </w:tcBorders>
            <w:shd w:fill="E9EEF3"/>
          </w:tcPr>
          <w:p>
            <w:pPr>
              <w:spacing w:after="100" w:before="100"/>
            </w:pPr>
            <w:r>
              <w:rPr>
                <w:b/>
                <w:sz w:val="18"/>
              </w:rPr>
              <w:t>Independent MongoDB result</w:t>
            </w:r>
          </w:p>
        </w:tc>
      </w:tr>
      <w:tr>
        <w:tc>
          <w:tcPr>
            <w:tcW w:type="dxa" w:w="1656"/>
            <w:tcBorders>
              <w:top w:val="single" w:sz="4" w:color="D9D9D9"/>
              <w:left w:val="single" w:sz="4" w:color="D9D9D9"/>
              <w:bottom w:val="single" w:sz="4" w:color="D9D9D9"/>
              <w:right w:val="single" w:sz="4" w:color="D9D9D9"/>
            </w:tcBorders>
            <w:shd w:fill="FFFFFF"/>
          </w:tcPr>
          <w:p>
            <w:pPr>
              <w:spacing w:after="100" w:before="100"/>
            </w:pPr>
            <w:r>
              <w:rPr>
                <w:b w:val="0"/>
                <w:sz w:val="18"/>
              </w:rPr>
              <w:t>Create</w:t>
            </w:r>
          </w:p>
        </w:tc>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18"/>
              </w:rPr>
              <w:t>201</w:t>
            </w:r>
          </w:p>
        </w:tc>
        <w:tc>
          <w:tcPr>
            <w:tcW w:type="dxa" w:w="6120"/>
            <w:tcBorders>
              <w:top w:val="single" w:sz="4" w:color="D9D9D9"/>
              <w:left w:val="single" w:sz="4" w:color="D9D9D9"/>
              <w:bottom w:val="single" w:sz="4" w:color="D9D9D9"/>
              <w:right w:val="single" w:sz="4" w:color="D9D9D9"/>
            </w:tcBorders>
            <w:shd w:fill="FFFFFF"/>
          </w:tcPr>
          <w:p>
            <w:pPr>
              <w:spacing w:after="100" w:before="100"/>
            </w:pPr>
            <w:r>
              <w:rPr>
                <w:b w:val="0"/>
                <w:sz w:val="18"/>
              </w:rPr>
              <w:t>New document exists</w:t>
            </w:r>
          </w:p>
        </w:tc>
      </w:tr>
      <w:tr>
        <w:tc>
          <w:tcPr>
            <w:tcW w:type="dxa" w:w="1656"/>
            <w:tcBorders>
              <w:top w:val="single" w:sz="4" w:color="D9D9D9"/>
              <w:left w:val="single" w:sz="4" w:color="D9D9D9"/>
              <w:bottom w:val="single" w:sz="4" w:color="D9D9D9"/>
              <w:right w:val="single" w:sz="4" w:color="D9D9D9"/>
            </w:tcBorders>
            <w:shd w:fill="FFFFFF"/>
          </w:tcPr>
          <w:p>
            <w:pPr>
              <w:spacing w:after="100" w:before="100"/>
            </w:pPr>
            <w:r>
              <w:rPr>
                <w:b w:val="0"/>
                <w:sz w:val="18"/>
              </w:rPr>
              <w:t>Read</w:t>
            </w:r>
          </w:p>
        </w:tc>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18"/>
              </w:rPr>
              <w:t>200</w:t>
            </w:r>
          </w:p>
        </w:tc>
        <w:tc>
          <w:tcPr>
            <w:tcW w:type="dxa" w:w="6120"/>
            <w:tcBorders>
              <w:top w:val="single" w:sz="4" w:color="D9D9D9"/>
              <w:left w:val="single" w:sz="4" w:color="D9D9D9"/>
              <w:bottom w:val="single" w:sz="4" w:color="D9D9D9"/>
              <w:right w:val="single" w:sz="4" w:color="D9D9D9"/>
            </w:tcBorders>
            <w:shd w:fill="FFFFFF"/>
          </w:tcPr>
          <w:p>
            <w:pPr>
              <w:spacing w:after="100" w:before="100"/>
            </w:pPr>
            <w:r>
              <w:rPr>
                <w:b w:val="0"/>
                <w:sz w:val="18"/>
              </w:rPr>
              <w:t>Stored values match API</w:t>
            </w:r>
          </w:p>
        </w:tc>
      </w:tr>
      <w:tr>
        <w:tc>
          <w:tcPr>
            <w:tcW w:type="dxa" w:w="1656"/>
            <w:tcBorders>
              <w:top w:val="single" w:sz="4" w:color="D9D9D9"/>
              <w:left w:val="single" w:sz="4" w:color="D9D9D9"/>
              <w:bottom w:val="single" w:sz="4" w:color="D9D9D9"/>
              <w:right w:val="single" w:sz="4" w:color="D9D9D9"/>
            </w:tcBorders>
            <w:shd w:fill="FFFFFF"/>
          </w:tcPr>
          <w:p>
            <w:pPr>
              <w:spacing w:after="100" w:before="100"/>
            </w:pPr>
            <w:r>
              <w:rPr>
                <w:b w:val="0"/>
                <w:sz w:val="18"/>
              </w:rPr>
              <w:t>Update</w:t>
            </w:r>
          </w:p>
        </w:tc>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18"/>
              </w:rPr>
              <w:t>200</w:t>
            </w:r>
          </w:p>
        </w:tc>
        <w:tc>
          <w:tcPr>
            <w:tcW w:type="dxa" w:w="6120"/>
            <w:tcBorders>
              <w:top w:val="single" w:sz="4" w:color="D9D9D9"/>
              <w:left w:val="single" w:sz="4" w:color="D9D9D9"/>
              <w:bottom w:val="single" w:sz="4" w:color="D9D9D9"/>
              <w:right w:val="single" w:sz="4" w:color="D9D9D9"/>
            </w:tcBorders>
            <w:shd w:fill="FFFFFF"/>
          </w:tcPr>
          <w:p>
            <w:pPr>
              <w:spacing w:after="100" w:before="100"/>
            </w:pPr>
            <w:r>
              <w:rPr>
                <w:b w:val="0"/>
                <w:sz w:val="18"/>
              </w:rPr>
              <w:t>Same ID with changed values</w:t>
            </w:r>
          </w:p>
        </w:tc>
      </w:tr>
      <w:tr>
        <w:tc>
          <w:tcPr>
            <w:tcW w:type="dxa" w:w="1656"/>
            <w:tcBorders>
              <w:top w:val="single" w:sz="4" w:color="D9D9D9"/>
              <w:left w:val="single" w:sz="4" w:color="D9D9D9"/>
              <w:bottom w:val="single" w:sz="4" w:color="D9D9D9"/>
              <w:right w:val="single" w:sz="4" w:color="D9D9D9"/>
            </w:tcBorders>
            <w:shd w:fill="FFFFFF"/>
          </w:tcPr>
          <w:p>
            <w:pPr>
              <w:spacing w:after="100" w:before="100"/>
            </w:pPr>
            <w:r>
              <w:rPr>
                <w:b w:val="0"/>
                <w:sz w:val="18"/>
              </w:rPr>
              <w:t>Delete</w:t>
            </w:r>
          </w:p>
        </w:tc>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18"/>
              </w:rPr>
              <w:t>204 then 404</w:t>
            </w:r>
          </w:p>
        </w:tc>
        <w:tc>
          <w:tcPr>
            <w:tcW w:type="dxa" w:w="6120"/>
            <w:tcBorders>
              <w:top w:val="single" w:sz="4" w:color="D9D9D9"/>
              <w:left w:val="single" w:sz="4" w:color="D9D9D9"/>
              <w:bottom w:val="single" w:sz="4" w:color="D9D9D9"/>
              <w:right w:val="single" w:sz="4" w:color="D9D9D9"/>
            </w:tcBorders>
            <w:shd w:fill="FFFFFF"/>
          </w:tcPr>
          <w:p>
            <w:pPr>
              <w:spacing w:after="100" w:before="100"/>
            </w:pPr>
            <w:r>
              <w:rPr>
                <w:b w:val="0"/>
                <w:sz w:val="18"/>
              </w:rPr>
              <w:t>findOne returns null</w:t>
            </w:r>
          </w:p>
        </w:tc>
      </w:tr>
    </w:tbl>
    <w:p/>
    <w:p>
      <w:r>
        <w:t>The evidence script uses assertions and exits with an error if a result is unexpected. Captured outcome: PASS — API results matched direct MongoDB reads for all four CRUD operations.</w:t>
      </w:r>
    </w:p>
    <w:p>
      <w:pPr>
        <w:pStyle w:val="Heading2"/>
      </w:pPr>
      <w:r>
        <w:t>Additional automated tests</w:t>
      </w:r>
    </w:p>
    <w:p>
      <w:r>
        <w:t>The backend suite was rerun for this submission: 18 tests passed with 0 failures. It uses an isolated real MongoDB replica set and covers authentication, ownership, CRUD, validation, billing, booking conflicts, concurrent reservations, cascades, aggregation, simulated sessions and payments. See submission/api-test-results.txt in the ZIP for the actual output.</w:t>
      </w:r>
    </w:p>
    <w:p>
      <w:r>
        <w:t>Scope: these results demonstrate local MongoDB and application behavior. They do not certify an Atlas deployment or physical charging hardware. Charging and payment records are explicitly simulated.</w:t>
      </w:r>
    </w:p>
    <w:p>
      <w:r>
        <w:br w:type="page"/>
      </w:r>
    </w:p>
    <w:p>
      <w:pPr>
        <w:pStyle w:val="Heading1"/>
      </w:pPr>
      <w:r>
        <w:t>Codebase and reproduction guide</w:t>
      </w:r>
    </w:p>
    <w:p>
      <w:pPr>
        <w:pStyle w:val="Heading2"/>
      </w:pPr>
      <w:r>
        <w:t>Source code map</w:t>
      </w:r>
    </w:p>
    <w:p>
      <w:pPr>
        <w:pStyle w:val="Code"/>
      </w:pPr>
      <w:r>
        <w:rPr>
          <w:rFonts w:ascii="Courier New" w:hAnsi="Courier New"/>
          <w:sz w:val="17"/>
        </w:rPr>
        <w:t>SmartEv/</w:t>
        <w:br/>
        <w:t xml:space="preserve">  src/                  React pages, forms and API client</w:t>
        <w:br/>
        <w:t xml:space="preserve">  server/</w:t>
        <w:br/>
        <w:t xml:space="preserve">    config/database.js  MongoDB startup and connection</w:t>
        <w:br/>
        <w:t xml:space="preserve">    models/             Mongoose schemas and sessions</w:t>
        <w:br/>
        <w:t xml:space="preserve">    routes/             Authentication and CRUD endpoints</w:t>
        <w:br/>
        <w:t xml:space="preserve">    controllers/        HTTP request and response handling</w:t>
        <w:br/>
        <w:t xml:space="preserve">    services/           CRUD, reports and transactions</w:t>
        <w:br/>
        <w:t xml:space="preserve">    middleware/         Authentication and error handling</w:t>
        <w:br/>
        <w:t xml:space="preserve">  scripts/</w:t>
        <w:br/>
        <w:t xml:space="preserve">    submission-evidence.mjs</w:t>
        <w:br/>
        <w:t xml:space="preserve">  tests/                Backend and browser tests</w:t>
        <w:br/>
        <w:t xml:space="preserve">  docs/                 API, schemas and setup details</w:t>
        <w:br/>
        <w:t xml:space="preserve">  submission/           Captured JSON and test results</w:t>
        <w:br/>
        <w:t xml:space="preserve">  .env.example</w:t>
        <w:br/>
        <w:t xml:space="preserve">  package.json</w:t>
        <w:br/>
        <w:t xml:space="preserve">  package-lock.json</w:t>
        <w:br/>
        <w:t xml:space="preserve">  README.md</w:t>
      </w:r>
    </w:p>
    <w:p>
      <w:pPr>
        <w:pStyle w:val="Heading2"/>
      </w:pPr>
      <w:r>
        <w:t>Run the submitted application</w:t>
      </w:r>
    </w:p>
    <w:p>
      <w:pPr>
        <w:pStyle w:val="Code"/>
      </w:pPr>
      <w:r>
        <w:rPr>
          <w:rFonts w:ascii="Courier New" w:hAnsi="Courier New"/>
          <w:sz w:val="17"/>
        </w:rPr>
        <w:t>npm install</w:t>
        <w:br/>
        <w:t>npm run dev</w:t>
      </w:r>
    </w:p>
    <w:p>
      <w:r>
        <w:t>Use Node.js 22 or newer. Open http://127.0.0.1:5173. The API runs at http://127.0.0.1:4000/api. First startup downloads the MongoDB binary when needed, creates persistent local storage and writes private administrator credentials to .data/admin-login.txt. That file is generated locally and is not included in the submission.</w:t>
      </w:r>
    </w:p>
    <w:p>
      <w:pPr>
        <w:pStyle w:val="Heading2"/>
      </w:pPr>
      <w:r>
        <w:t>Run checks and regenerate evidence</w:t>
      </w:r>
    </w:p>
    <w:p>
      <w:pPr>
        <w:pStyle w:val="Code"/>
      </w:pPr>
      <w:r>
        <w:rPr>
          <w:rFonts w:ascii="Courier New" w:hAnsi="Courier New"/>
          <w:sz w:val="17"/>
        </w:rPr>
        <w:t>npm test</w:t>
        <w:br/>
        <w:t>npm run build</w:t>
        <w:br/>
        <w:br/>
        <w:t># With the application running on macOS</w:t>
        <w:br/>
        <w:t>lsof -nP -a -c mongod -iTCP -sTCP:LISTEN</w:t>
        <w:br/>
        <w:t># Replace PORT with the current local MongoDB port</w:t>
        <w:br/>
        <w:t>EVIDENCE_MONGODB_URI="mongodb://127.0.0.1:PORT/" \</w:t>
        <w:br/>
        <w:t xml:space="preserve">  node scripts/submission-evidence.mjs</w:t>
      </w:r>
    </w:p>
    <w:p>
      <w:r>
        <w:t>The operating system may select a different MongoDB port after restart. Use the port reported by lsof. The script reads local admin credentials privately, submits temporary records, verifies storage and cleans up its own records. The recorded ObjectIds will change on each run. Use this script only against the local development database.</w:t>
      </w:r>
    </w:p>
    <w:p>
      <w:pPr>
        <w:pStyle w:val="Heading2"/>
      </w:pPr>
      <w:r>
        <w:t>Submission contents</w:t>
      </w:r>
    </w:p>
    <w:p>
      <w:r>
        <w:t>SmartEv-Codebase.zip contains the complete current source and evidence files. This report accompanies it as a separate Word document. The archive omits .git, .data, .env secrets, node_modules, dist and temporary render files. npm install restores dependencies; startup recreates the database from the supplied seed data.</w:t>
      </w:r>
    </w:p>
    <w:sectPr w:rsidR="00FC693F" w:rsidRPr="0006063C" w:rsidSect="00034616">
      <w:headerReference w:type="default" r:id="rId9"/>
      <w:footerReference w:type="default" r:id="rId10"/>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Smart EV submission  •  14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SMART EV  |  DATABASE IMPLEMENTATION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EV MongoDB Connection and CRUD Evidence</dc:title>
  <dc:subject/>
  <dc:creator>Smart EV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