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Advanced Data Analysis and Visualization in Logistics</w:t>
      </w:r>
    </w:p>
    <w:p>
      <w:pPr>
        <w:spacing w:after="600"/>
        <w:jc w:val="center"/>
      </w:pPr>
      <w:r>
        <w:rPr>
          <w:color w:val="44546A"/>
          <w:sz w:val="26"/>
          <w:szCs w:val="26"/>
        </w:rPr>
        <w:t xml:space="preserve">Week 3 Task — Exploratory Analysis of a Simulated Logistics Operations Dataset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Prepared using Python (pandas, numpy, matplotlib, seaborn)</w:t>
      </w:r>
    </w:p>
    <w:p>
      <w:pPr>
        <w:jc w:val="center"/>
      </w:pPr>
      <w:r>
        <w:rPr>
          <w:color w:val="666666"/>
          <w:sz w:val="22"/>
          <w:szCs w:val="22"/>
        </w:rPr>
        <w:t xml:space="preserve">Report Date: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This report presents an end-to-end exploratory data analysis (EDA) of a simulated logistics operations dataset covering 5,000 shipments across a full calendar year. The objective is to demonstrate how data-driven analysis and visualization can surface operational bottlenecks, cost drivers, and service-quality issues in a logistics network, and to translate those findings into actionable recommendations.</w:t>
      </w:r>
    </w:p>
    <w:p>
      <w:pPr>
        <w:spacing w:after="160"/>
      </w:pPr>
      <w:r>
        <w:t xml:space="preserve">Key findings from the 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network's overall on-time delivery rate is 64.5%, but this average masks a severe seasonal collapse: on-time performance falls from a stable ~70-75% for most of the year to just 26-29% in November-December, driven by holiday-season volume surges.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Transportation cost is most strongly correlated with distance (r = 0.46) rather than shipment size, indicating that route efficiency and mode selection are bigger cost levers than shipment consolidation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Air freight delivers the best on-time rate (71.0%) and lowest damage rate (1.4%) but costs roughly 4-6x more per shipment than Road, Rail, or Sea — a clear cost/service trade-off.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 freight has both the lowest on-time rate (59.7%) and the highest damage rate (5.5%), making it the weakest link in the network for cargo integrity and schedule reliability.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Delivery delay and damage are the two strongest negative drivers of customer satisfaction (r = -0.54 and r = -0.51 respectively with customer rating), more influential than cost or shipment size.</w:t>
      </w:r>
    </w:p>
    <w:p>
      <w:pPr>
        <w:spacing w:after="160"/>
      </w:pPr>
      <w:r>
        <w:t xml:space="preserve">These findings point to a clear priority: stabilizing peak-season (Nov-Dec) capacity and shoring up Sea-freight reliability would deliver the largest improvement in customer experience per dollar invested.</w:t>
      </w:r>
    </w:p>
    <w:p>
      <w:pPr>
        <w:pStyle w:val="Heading1"/>
        <w:spacing w:after="160" w:before="360"/>
      </w:pPr>
      <w:r>
        <w:t xml:space="preserve">2. Methodology</w:t>
      </w:r>
    </w:p>
    <w:p>
      <w:pPr>
        <w:pStyle w:val="Heading2"/>
        <w:spacing w:after="120" w:before="280"/>
      </w:pPr>
      <w:r>
        <w:t xml:space="preserve">2.1 Data Simulation</w:t>
      </w:r>
    </w:p>
    <w:p>
      <w:pPr>
        <w:spacing w:after="160"/>
      </w:pPr>
      <w:r>
        <w:t xml:space="preserve">Because a live logistics dataset was not available for this exercise, a realistic synthetic dataset was generated in Python (NumPy/pandas) to model a mid-size parcel and freight delivery network. The simulation encodes realistic relationships between variables — for example, Air shipments are faster but more expensive, Sea shipments are cheaper but slower and more damage-prone, and a November-December holiday peak introduces additional volume, cost, and delay pressure. This mirrors patterns commonly reported in real-world logistics benchmarking studies.</w:t>
      </w:r>
    </w:p>
    <w:p>
      <w:pPr>
        <w:spacing w:after="160"/>
      </w:pPr>
      <w:r>
        <w:t xml:space="preserve">Dataset structure — 5,000 shipment records, 17 variables: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60"/>
      </w:tblGrid>
      <w:tr>
        <w:trPr>
          <w:tblHeader/>
        </w:trPr>
        <w:tc>
          <w:tcPr>
            <w:tcW w:type="dxa" w:w="26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shipment_id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Unique shipment identifier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ship_date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Date shipment left the origin hub (Jan-Dec 2025)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origin_hub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Originating distribution center (6 hubs)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destination_region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Delivery region (6 regions incl. International)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transport_mode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Road / Air / Rail / Sea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carrier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Carrier company (4 carriers)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shipment_volume_m3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Shipment volume in cubic meters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weight_kg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Shipment weight in kilograms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distance_km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Travel distance in kilometers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planned_delivery_days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SLA-promised transit time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actual_delivery_days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Actual transit time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delivery_delay_days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Actual minus planned days (negative = early)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transportation_cost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Float (USD)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Total cost to move the shipment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fuel_surcharge_pct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Fuel surcharge applied (%)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on_time_flag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 if delivered on or before planned date</w:t>
            </w:r>
          </w:p>
        </w:tc>
      </w:tr>
      <w:tr>
        <w:tc>
          <w:tcPr>
            <w:tcW w:type="dxa" w:w="2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damaged_flag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 if shipment arrived damaged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customer_rating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Float (1-5)</w:t>
            </w:r>
          </w:p>
        </w:tc>
        <w:tc>
          <w:tcPr>
            <w:tcW w:type="dxa" w:w="5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Post-delivery satisfaction score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# Excerpt: simulating mode-dependent cost &amp; delay behavior</w:t>
      </w:r>
      <w:r>
        <w:rPr>
          <w:rFonts w:ascii="Consolas" w:cs="Consolas" w:eastAsia="Consolas" w:hAnsi="Consolas"/>
          <w:sz w:val="18"/>
          <w:szCs w:val="18"/>
        </w:rPr>
        <w:br/>
        <w:t xml:space="preserve">mode_profile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"Road": {"speed_kmpd": 700,  "cost_per_km": 1.10, "delay_std": 0.9, "damage_rate": 0.020},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"Air":  {"speed_kmpd": 4000, "cost_per_km": 3.40, "delay_std": 0.5, "damage_rate": 0.015},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"Rail": {"speed_kmpd": 500,  "cost_per_km": 0.55, "delay_std": 1.4, "damage_rate": 0.030},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"Sea":  {"speed_kmpd": 350,  "cost_per_km": 0.25, "delay_std": 2.5, "damage_rate": 0.045},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peak_season = month in (11, 12)          # Nov-Dec holiday surge</w:t>
      </w:r>
      <w:r>
        <w:rPr>
          <w:rFonts w:ascii="Consolas" w:cs="Consolas" w:eastAsia="Consolas" w:hAnsi="Consolas"/>
          <w:sz w:val="18"/>
          <w:szCs w:val="18"/>
        </w:rPr>
        <w:br/>
        <w:t xml:space="preserve">delay_noise = np.random.normal(1.0 if peak_season else 0.0, profile['delay_std'])</w:t>
      </w:r>
      <w:r>
        <w:rPr>
          <w:rFonts w:ascii="Consolas" w:cs="Consolas" w:eastAsia="Consolas" w:hAnsi="Consolas"/>
          <w:sz w:val="18"/>
          <w:szCs w:val="18"/>
        </w:rPr>
        <w:br/>
        <w:t xml:space="preserve">actual_days = max(1, round(planned_days + delay_noise))</w:t>
      </w:r>
    </w:p>
    <w:p>
      <w:pPr>
        <w:pStyle w:val="Heading2"/>
        <w:spacing w:after="120" w:before="280"/>
      </w:pPr>
      <w:r>
        <w:t xml:space="preserve">2.2 Analytical Approach</w:t>
      </w:r>
    </w:p>
    <w:p>
      <w:pPr>
        <w:spacing w:after="160"/>
      </w:pPr>
      <w:r>
        <w:t xml:space="preserve">The analysis followed a standard EDA workflow using Python's pandas, NumPy, matplotlib, and seaborn libraries: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Descriptive statistics (mean, median, standard deviation, skew) for all numeric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Group-by aggregations to compare performance across transport mode, carrier, destination region, and month.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Pearson correlation analysis among numeric variables to identify relationships and potential cost/quality drivers.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Seven purpose-built visualizations selected to match the analytical question being asked (distribution, comparison, trend, relationship, and multi-variable correlation).</w:t>
      </w:r>
    </w:p>
    <w:p>
      <w:pPr>
        <w:pStyle w:val="Heading1"/>
        <w:spacing w:after="160" w:before="360"/>
      </w:pPr>
      <w:r>
        <w:t xml:space="preserve">3. Exploratory Data Analysis</w:t>
      </w:r>
    </w:p>
    <w:p>
      <w:pPr>
        <w:pStyle w:val="Heading2"/>
        <w:spacing w:after="120" w:before="280"/>
      </w:pPr>
      <w:r>
        <w:t xml:space="preserve">3.1 Descriptive Statistics</w:t>
      </w:r>
    </w:p>
    <w:p>
      <w:pPr>
        <w:spacing w:after="160"/>
      </w:pPr>
      <w:r>
        <w:t xml:space="preserve">Summary statistics for the core numeric variables (n = 5,000 shipments):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000"/>
        <w:gridCol w:w="1760"/>
      </w:tblGrid>
      <w:tr>
        <w:trPr>
          <w:tblHeader/>
        </w:trPr>
        <w:tc>
          <w:tcPr>
            <w:tcW w:type="dxa" w:w="32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6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6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10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76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Shipment volume (m³)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3.63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3.02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2.53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17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21.16</w:t>
            </w:r>
          </w:p>
        </w:tc>
      </w:tr>
      <w:tr>
        <w:tc>
          <w:tcPr>
            <w:tcW w:type="dxa" w:w="32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Weight (kg)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544.09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436.15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417.10</w:t>
            </w:r>
          </w:p>
        </w:tc>
        <w:tc>
          <w:tcPr>
            <w:tcW w:type="dxa" w:w="10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9.10</w:t>
            </w:r>
          </w:p>
        </w:tc>
        <w:tc>
          <w:tcPr>
            <w:tcW w:type="dxa" w:w="17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3,665.00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Distance (km)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1,422.37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900.70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1,671.24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50.00</w:t>
            </w:r>
          </w:p>
        </w:tc>
        <w:tc>
          <w:tcPr>
            <w:tcW w:type="dxa" w:w="17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10,153.70</w:t>
            </w:r>
          </w:p>
        </w:tc>
      </w:tr>
      <w:tr>
        <w:tc>
          <w:tcPr>
            <w:tcW w:type="dxa" w:w="32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Planned delivery (days)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3.59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2.00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4.47</w:t>
            </w:r>
          </w:p>
        </w:tc>
        <w:tc>
          <w:tcPr>
            <w:tcW w:type="dxa" w:w="10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Actual delivery (days)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3.79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2.00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4.59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32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Delivery delay (days)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1.33</w:t>
            </w:r>
          </w:p>
        </w:tc>
        <w:tc>
          <w:tcPr>
            <w:tcW w:type="dxa" w:w="10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-8</w:t>
            </w:r>
          </w:p>
        </w:tc>
        <w:tc>
          <w:tcPr>
            <w:tcW w:type="dxa" w:w="17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Transportation cost (USD)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$1,891.47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$1,167.75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$3,197.23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$87.58</w:t>
            </w:r>
          </w:p>
        </w:tc>
        <w:tc>
          <w:tcPr>
            <w:tcW w:type="dxa" w:w="17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$38,475.11</w:t>
            </w:r>
          </w:p>
        </w:tc>
      </w:tr>
      <w:tr>
        <w:tc>
          <w:tcPr>
            <w:tcW w:type="dxa" w:w="32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Fuel surcharge (%)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10.41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10.20</w:t>
            </w:r>
          </w:p>
        </w:tc>
        <w:tc>
          <w:tcPr>
            <w:tcW w:type="dxa" w:w="16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4.29</w:t>
            </w:r>
          </w:p>
        </w:tc>
        <w:tc>
          <w:tcPr>
            <w:tcW w:type="dxa" w:w="10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17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18.0</w:t>
            </w:r>
          </w:p>
        </w:tc>
      </w:tr>
      <w:tr>
        <w:tc>
          <w:tcPr>
            <w:tcW w:type="dxa" w:w="32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Customer rating (1-5)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4.63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4.81</w:t>
            </w:r>
          </w:p>
        </w:tc>
        <w:tc>
          <w:tcPr>
            <w:tcW w:type="dxa" w:w="16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7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5.00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Two distributional patterns stand out. First, transportation cost is heavily right-skewed (skew = 6.51) — most shipments are inexpensive, but a long tail of high-distance/international shipments pulls the mean (~$1,891) well above the median (~$1,168). Second, customer rating is left-skewed (skew = -2.00): most deliveries score highly (median 4.81/5), but a meaningful minority of poor experiences drag the distribution's tail downward — these are the shipments logistics managers should focus on.</w:t>
      </w:r>
    </w:p>
    <w:p>
      <w:pPr>
        <w:pStyle w:val="Heading2"/>
        <w:spacing w:after="120" w:before="280"/>
      </w:pPr>
      <w:r>
        <w:t xml:space="preserve">3.2 On-Time Performance and Damage Rate by Transport Mode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1560"/>
        <w:gridCol w:w="1800"/>
        <w:gridCol w:w="1800"/>
        <w:gridCol w:w="1400"/>
        <w:gridCol w:w="1440"/>
      </w:tblGrid>
      <w:tr>
        <w:trPr>
          <w:tblHeader/>
        </w:trPr>
        <w:tc>
          <w:tcPr>
            <w:tcW w:type="dxa" w:w="14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Shipments</w:t>
            </w:r>
          </w:p>
        </w:tc>
        <w:tc>
          <w:tcPr>
            <w:tcW w:type="dxa" w:w="156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On-Time %</w:t>
            </w:r>
          </w:p>
        </w:tc>
        <w:tc>
          <w:tcPr>
            <w:tcW w:type="dxa" w:w="18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Delay (days)</w:t>
            </w:r>
          </w:p>
        </w:tc>
        <w:tc>
          <w:tcPr>
            <w:tcW w:type="dxa" w:w="18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Cost (USD)</w:t>
            </w:r>
          </w:p>
        </w:tc>
        <w:tc>
          <w:tcPr>
            <w:tcW w:type="dxa" w:w="140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Damage %</w:t>
            </w:r>
          </w:p>
        </w:tc>
        <w:tc>
          <w:tcPr>
            <w:tcW w:type="dxa" w:w="1440"/>
            <w:shd w:fill="2E4B6B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Road</w:t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2,428</w:t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64.9%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0.19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$1,202.46</w:t>
            </w:r>
          </w:p>
        </w:tc>
        <w:tc>
          <w:tcPr>
            <w:tcW w:type="dxa" w:w="14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2.51%</w:t>
            </w:r>
          </w:p>
        </w:tc>
        <w:tc>
          <w:tcPr>
            <w:tcW w:type="dxa" w:w="144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4.68</w:t>
            </w:r>
          </w:p>
        </w:tc>
      </w:tr>
      <w:tr>
        <w:tc>
          <w:tcPr>
            <w:tcW w:type="dxa" w:w="14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Air</w:t>
            </w:r>
          </w:p>
        </w:tc>
        <w:tc>
          <w:tcPr>
            <w:tcW w:type="dxa" w:w="1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925</w:t>
            </w:r>
          </w:p>
        </w:tc>
        <w:tc>
          <w:tcPr>
            <w:tcW w:type="dxa" w:w="1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71.0%</w:t>
            </w:r>
          </w:p>
        </w:tc>
        <w:tc>
          <w:tcPr>
            <w:tcW w:type="dxa" w:w="18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0.28</w:t>
            </w:r>
          </w:p>
        </w:tc>
        <w:tc>
          <w:tcPr>
            <w:tcW w:type="dxa" w:w="18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$5,359.37</w:t>
            </w:r>
          </w:p>
        </w:tc>
        <w:tc>
          <w:tcPr>
            <w:tcW w:type="dxa" w:w="14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1.41%</w:t>
            </w:r>
          </w:p>
        </w:tc>
        <w:tc>
          <w:tcPr>
            <w:tcW w:type="dxa" w:w="144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4.73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Sea</w:t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894</w:t>
            </w:r>
          </w:p>
        </w:tc>
        <w:tc>
          <w:tcPr>
            <w:tcW w:type="dxa" w:w="156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59.7%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0.17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$879.63</w:t>
            </w:r>
          </w:p>
        </w:tc>
        <w:tc>
          <w:tcPr>
            <w:tcW w:type="dxa" w:w="140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5.48%</w:t>
            </w:r>
          </w:p>
        </w:tc>
        <w:tc>
          <w:tcPr>
            <w:tcW w:type="dxa" w:w="1440"/>
            <w:shd w:fill="FFFFFF" w:color="auto" w:val="clear"/>
          </w:tcPr>
          <w:p>
            <w:r>
              <w:rPr>
                <w:sz w:val="20"/>
                <w:szCs w:val="20"/>
              </w:rPr>
              <w:t xml:space="preserve">4.41</w:t>
            </w:r>
          </w:p>
        </w:tc>
      </w:tr>
      <w:tr>
        <w:tc>
          <w:tcPr>
            <w:tcW w:type="dxa" w:w="14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Rail</w:t>
            </w:r>
          </w:p>
        </w:tc>
        <w:tc>
          <w:tcPr>
            <w:tcW w:type="dxa" w:w="1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753</w:t>
            </w:r>
          </w:p>
        </w:tc>
        <w:tc>
          <w:tcPr>
            <w:tcW w:type="dxa" w:w="156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60.8%</w:t>
            </w:r>
          </w:p>
        </w:tc>
        <w:tc>
          <w:tcPr>
            <w:tcW w:type="dxa" w:w="18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0.19</w:t>
            </w:r>
          </w:p>
        </w:tc>
        <w:tc>
          <w:tcPr>
            <w:tcW w:type="dxa" w:w="18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$1,054.42</w:t>
            </w:r>
          </w:p>
        </w:tc>
        <w:tc>
          <w:tcPr>
            <w:tcW w:type="dxa" w:w="140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3.59%</w:t>
            </w:r>
          </w:p>
        </w:tc>
        <w:tc>
          <w:tcPr>
            <w:tcW w:type="dxa" w:w="1440"/>
            <w:shd w:fill="F4F7FA" w:color="auto" w:val="clear"/>
          </w:tcPr>
          <w:p>
            <w:r>
              <w:rPr>
                <w:sz w:val="20"/>
                <w:szCs w:val="20"/>
              </w:rPr>
              <w:t xml:space="preserve">4.60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t xml:space="preserve">3.3 Correlation Analysis</w:t>
      </w:r>
    </w:p>
    <w:p>
      <w:pPr>
        <w:spacing w:after="160"/>
      </w:pPr>
      <w:r>
        <w:t xml:space="preserve">Pearson correlation coefficients were computed across all numeric variables (full matrix in Section 4.6). The relationships most relevant to operational decision-making: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vs. transportation cost: r = 0.46 (moderate positive) — distance is a real but not dominant cost driver, since mode choice and surcharges also matter.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Delivery delay vs. customer rating: r = -0.54 (moderate-strong negative) — the single largest measurable driver of customer dissatisfaction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Damage flag vs. customer rating: r = -0.51 (moderate-strong negative) — nearly as damaging to satisfaction as late delivery.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Shipment volume vs. transportation cost: r ≈ 0.00 (negligible) — in this network, physical shipment size barely affects total cost compared to distance and mode.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Fuel surcharge vs. transportation cost: r = 0.03 (negligible) — surcharges are currently a minor cost component relative to base distance/mode cost.</w:t>
      </w:r>
    </w:p>
    <w:p>
      <w:pPr>
        <w:pStyle w:val="Heading1"/>
        <w:spacing w:after="160" w:before="360"/>
      </w:pPr>
      <w:r>
        <w:t xml:space="preserve">4. Visualizations and Interpretation</w:t>
      </w:r>
    </w:p>
    <w:p>
      <w:pPr>
        <w:spacing w:after="160"/>
      </w:pPr>
      <w:r>
        <w:t xml:space="preserve">Each chart below was chosen because its format matches the analytical question being asked: distributions use histograms, categorical comparisons use bar/box plots, trends over time use line charts, bivariate relationships use scatter plots, and multi-variable relationships use a heatmap. Python code excerpts (using matplotlib and seaborn) are included beneath each chart.</w:t>
      </w:r>
    </w:p>
    <w:p>
      <w:pPr>
        <w:pStyle w:val="Heading2"/>
        <w:spacing w:after="120" w:before="280"/>
      </w:pPr>
      <w:r>
        <w:t xml:space="preserve">4.1 Distribution of Delivery Delay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4.1 Distribution of Delivery Delay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sns.histplot(df['delivery_delay_days'], bins=30, kde=True)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plt.axvline(0, linestyle='--', label='On-time threshold')</w:t>
      </w:r>
      <w:r>
        <w:rPr>
          <w:rFonts w:ascii="Consolas" w:cs="Consolas" w:eastAsia="Consolas" w:hAnsi="Consolas"/>
          <w:sz w:val="18"/>
          <w:szCs w:val="18"/>
        </w:rPr>
        <w:br/>
        <w:t xml:space="preserve">plt.title('Distribution of Delivery Delay (Actual - Planned Days)')</w:t>
      </w:r>
    </w:p>
    <w:p>
      <w:pPr>
        <w:spacing w:after="160"/>
      </w:pPr>
      <w:r>
        <w:rPr>
          <w:b w:val="false"/>
          <w:bCs w:val="false"/>
        </w:rPr>
        <w:t xml:space="preserve">Why this chart: A histogram with a kernel density overlay is the standard tool for examining the shape, center, and spread of a continuous variable, and for spotting skew or outliers that summary statistics alone can hide.</w:t>
      </w:r>
    </w:p>
    <w:p>
      <w:pPr>
        <w:spacing w:after="160"/>
      </w:pPr>
      <w:r>
        <w:t xml:space="preserve">Insight: The distribution is centered near zero but has a distinct right tail extending to +10 days. This tail — rather than the average delay of 0.2 days — represents the shipments doing the most damage to customer experience, and is concentrated in the November-December peak (see Section 4.4).</w:t>
      </w:r>
    </w:p>
    <w:p>
      <w:pPr>
        <w:pStyle w:val="Heading2"/>
        <w:spacing w:after="120" w:before="280"/>
      </w:pPr>
      <w:r>
        <w:t xml:space="preserve">4.2 Transportation Cost by Transport Mode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4.2 Transportation Cost by Transport Mode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order = df.groupby('transport_mode')['transportation_cost']\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.median().sort_values(ascending=False).index</w:t>
      </w:r>
      <w:r>
        <w:rPr>
          <w:rFonts w:ascii="Consolas" w:cs="Consolas" w:eastAsia="Consolas" w:hAnsi="Consolas"/>
          <w:sz w:val="18"/>
          <w:szCs w:val="18"/>
        </w:rPr>
        <w:br/>
        <w:t xml:space="preserve">sns.boxplot(data=df, x='transport_mode', y='transportation_cost', order=order)</w:t>
      </w:r>
    </w:p>
    <w:p>
      <w:pPr>
        <w:spacing w:after="160"/>
      </w:pPr>
      <w:r>
        <w:rPr>
          <w:b w:val="false"/>
          <w:bCs w:val="false"/>
        </w:rPr>
        <w:t xml:space="preserve">Why this chart: Box plots reveal the median, interquartile range, and outliers of a numeric variable across categories simultaneously — far more informative than comparing means alone when a variable is skewed (as cost is here).</w:t>
      </w:r>
    </w:p>
    <w:p>
      <w:pPr>
        <w:spacing w:after="160"/>
      </w:pPr>
      <w:r>
        <w:t xml:space="preserve">Insight: Air freight's cost distribution sits well above the other three modes, with a wide spread and many high-cost outliers (long-haul international air shipments). Road, Rail, and Sea show similar, more compact cost distributions, confirming that mode selection — not shipment characteristics — is the primary cost lever.</w:t>
      </w:r>
    </w:p>
    <w:p>
      <w:pPr>
        <w:pStyle w:val="Heading2"/>
        <w:spacing w:after="120" w:before="280"/>
      </w:pPr>
      <w:r>
        <w:t xml:space="preserve">4.3 On-Time Delivery Rate by Transport Mode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4.3 On-Time Delivery Rate by Transport Mode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mode_ontime = df.groupby('transport_mode')['on_time_flag'].mean() * 100</w:t>
      </w:r>
      <w:r>
        <w:rPr>
          <w:rFonts w:ascii="Consolas" w:cs="Consolas" w:eastAsia="Consolas" w:hAnsi="Consolas"/>
          <w:sz w:val="18"/>
          <w:szCs w:val="18"/>
        </w:rPr>
        <w:br/>
        <w:t xml:space="preserve">plt.bar(mode_ontime.index, mode_ontime.values)</w:t>
      </w:r>
      <w:r>
        <w:rPr>
          <w:rFonts w:ascii="Consolas" w:cs="Consolas" w:eastAsia="Consolas" w:hAnsi="Consolas"/>
          <w:sz w:val="18"/>
          <w:szCs w:val="18"/>
        </w:rPr>
        <w:br/>
        <w:t xml:space="preserve">plt.axhline(mode_ontime.mean(), linestyle='--', label='Average')</w:t>
      </w:r>
    </w:p>
    <w:p>
      <w:pPr>
        <w:spacing w:after="160"/>
      </w:pPr>
      <w:r>
        <w:rPr>
          <w:b w:val="false"/>
          <w:bCs w:val="false"/>
        </w:rPr>
        <w:t xml:space="preserve">Why this chart: A simple bar chart is the clearest way to compare a single performance metric (on-time rate) across a small number of categories (transport modes).</w:t>
      </w:r>
    </w:p>
    <w:p>
      <w:pPr>
        <w:spacing w:after="160"/>
      </w:pPr>
      <w:r>
        <w:t xml:space="preserve">Insight: Air outperforms every other mode at 71.0% on-time, while Sea lags at 59.7%. The 11-point gap between the best and worst mode suggests that shifting time-sensitive, high-value shipments away from Sea freight — or renegotiating Sea carrier SLAs — is a concrete lever for improving overall network reliability.</w:t>
      </w:r>
    </w:p>
    <w:p>
      <w:pPr>
        <w:pStyle w:val="Heading2"/>
        <w:spacing w:after="120" w:before="280"/>
      </w:pPr>
      <w:r>
        <w:t xml:space="preserve">4.4 Monthly Shipment Volume vs. On-Time Rate (Seasonality)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4.4 Monthly Shipment Volume vs. On-Time Rate (Seasonality)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monthly = df.groupby('month').agg(shipments=('shipment_id','count'),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on_time_rate=('on_time_flag','mean'))</w:t>
      </w:r>
      <w:r>
        <w:rPr>
          <w:rFonts w:ascii="Consolas" w:cs="Consolas" w:eastAsia="Consolas" w:hAnsi="Consolas"/>
          <w:sz w:val="18"/>
          <w:szCs w:val="18"/>
        </w:rPr>
        <w:br/>
        <w:t xml:space="preserve">ax1.plot(months, monthly['shipments'])           # left axis</w:t>
      </w:r>
      <w:r>
        <w:rPr>
          <w:rFonts w:ascii="Consolas" w:cs="Consolas" w:eastAsia="Consolas" w:hAnsi="Consolas"/>
          <w:sz w:val="18"/>
          <w:szCs w:val="18"/>
        </w:rPr>
        <w:br/>
        <w:t xml:space="preserve">ax2.plot(months, monthly['on_time_rate'] * 100)  # right axis</w:t>
      </w:r>
    </w:p>
    <w:p>
      <w:pPr>
        <w:spacing w:after="160"/>
      </w:pPr>
      <w:r>
        <w:rPr>
          <w:b w:val="false"/>
          <w:bCs w:val="false"/>
        </w:rPr>
        <w:t xml:space="preserve">Why this chart: A dual-axis line chart is the right tool for showing how two related metrics move together over time — here, shipment volume and on-time rate across the calendar year.</w:t>
      </w:r>
    </w:p>
    <w:p>
      <w:pPr>
        <w:spacing w:after="160"/>
      </w:pPr>
      <w:r>
        <w:t xml:space="preserve">Insight: On-time performance is remarkably stable (70-75%) from January through October, then collapses to 26.3% in November and 28.5% in December — precisely when shipment volume peaks. This is the single most important finding in the analysis: the network's capacity is not sized for holiday-season demand, and this seasonal surge — not any structural mode or carrier problem — is the dominant driver of the network's mediocre annual on-time average.</w:t>
      </w:r>
    </w:p>
    <w:p>
      <w:pPr>
        <w:pStyle w:val="Heading2"/>
        <w:spacing w:after="120" w:before="280"/>
      </w:pPr>
      <w:r>
        <w:t xml:space="preserve">4.5 Transportation Cost vs. Distance by Mode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4.5 Transportation Cost vs. Distance by Mode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sns.scatterplot(data=sample, x='distance_km', y='transportation_cost',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hue='transport_mode', alpha=0.6)</w:t>
      </w:r>
    </w:p>
    <w:p>
      <w:pPr>
        <w:spacing w:after="160"/>
      </w:pPr>
      <w:r>
        <w:rPr>
          <w:b w:val="false"/>
          <w:bCs w:val="false"/>
        </w:rPr>
        <w:t xml:space="preserve">Why this chart: A scatter plot is the standard way to visualize the relationship between two continuous variables, and coloring by a third categorical variable (mode) shows whether that relationship differs by group.</w:t>
      </w:r>
    </w:p>
    <w:p>
      <w:pPr>
        <w:spacing w:after="160"/>
      </w:pPr>
      <w:r>
        <w:t xml:space="preserve">Insight: All four modes show cost rising with distance, but at very different rates (slopes) — Air's cost line is visibly steeper than Road, Rail, or Sea. This confirms that the moderate overall distance-cost correlation (r = 0.46) is really an average across modes with quite different cost-per-kilometer economics, reinforcing that route/mode assignment decisions should be distance-aware.</w:t>
      </w:r>
    </w:p>
    <w:p>
      <w:pPr>
        <w:pStyle w:val="Heading2"/>
        <w:spacing w:after="120" w:before="280"/>
      </w:pPr>
      <w:r>
        <w:t xml:space="preserve">4.6 Correlation Heatmap of Key Variables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4.6 Correlation Heatmap of Key Variables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corr = df[numeric_cols].corr()</w:t>
      </w:r>
      <w:r>
        <w:rPr>
          <w:rFonts w:ascii="Consolas" w:cs="Consolas" w:eastAsia="Consolas" w:hAnsi="Consolas"/>
          <w:sz w:val="18"/>
          <w:szCs w:val="18"/>
        </w:rPr>
        <w:br/>
        <w:t xml:space="preserve">sns.heatmap(corr, annot=True, fmt='.2f', cmap='coolwarm', center=0)</w:t>
      </w:r>
    </w:p>
    <w:p>
      <w:pPr>
        <w:spacing w:after="160"/>
      </w:pPr>
      <w:r>
        <w:rPr>
          <w:b w:val="false"/>
          <w:bCs w:val="false"/>
        </w:rPr>
        <w:t xml:space="preserve">Why this chart: A heatmap condenses many pairwise correlations into a single, scannable view — essential once more than 3-4 numeric variables are involved, where individual scatter plots would be impractical to compare.</w:t>
      </w:r>
    </w:p>
    <w:p>
      <w:pPr>
        <w:spacing w:after="160"/>
      </w:pPr>
      <w:r>
        <w:t xml:space="preserve">Insight: The heatmap confirms two clusters: (1) shipment_volume_m3 and weight_kg are highly correlated with each other (r = 0.91) but essentially uncorrelated with cost — a candidate for dimensionality reduction in future modeling; (2) delivery_delay_days and customer_rating form the strongest cross-category relationship (r = -0.54) in the dataset, underscoring that on-time performance — more than cost or size — is what drives customer perception.</w:t>
      </w:r>
    </w:p>
    <w:p>
      <w:pPr>
        <w:pStyle w:val="Heading2"/>
        <w:spacing w:after="120" w:before="280"/>
      </w:pPr>
      <w:r>
        <w:t xml:space="preserve">4.7 Damage Rate and Customer Rating by Transport Mode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Figure: 4.7 Damage Rate and Customer Rating by Transport Mode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mode_quality = df.groupby('transport_mode').agg(</w:t>
      </w:r>
      <w:r>
        <w:rPr>
          <w:rFonts w:ascii="Consolas" w:cs="Consolas" w:eastAsia="Consolas" w:hAnsi="Consolas"/>
          <w:sz w:val="18"/>
          <w:szCs w:val="18"/>
        </w:rPr>
        <w:br/>
        <w:t xml:space="preserve">    damage_rate=('damaged_flag','mean'), avg_rating=('customer_rating','mean'))</w:t>
      </w:r>
      <w:r>
        <w:rPr>
          <w:rFonts w:ascii="Consolas" w:cs="Consolas" w:eastAsia="Consolas" w:hAnsi="Consolas"/>
          <w:sz w:val="18"/>
          <w:szCs w:val="18"/>
        </w:rPr>
        <w:br/>
        <w:t xml:space="preserve">ax1.bar(x - w/2, mode_quality['damage_rate']*100)   # left axis</w:t>
      </w:r>
      <w:r>
        <w:rPr>
          <w:rFonts w:ascii="Consolas" w:cs="Consolas" w:eastAsia="Consolas" w:hAnsi="Consolas"/>
          <w:sz w:val="18"/>
          <w:szCs w:val="18"/>
        </w:rPr>
        <w:br/>
        <w:t xml:space="preserve">ax2.bar(x + w/2, mode_quality['avg_rating'])        # right axis</w:t>
      </w:r>
    </w:p>
    <w:p>
      <w:pPr>
        <w:spacing w:after="160"/>
      </w:pPr>
      <w:r>
        <w:rPr>
          <w:b w:val="false"/>
          <w:bCs w:val="false"/>
        </w:rPr>
        <w:t xml:space="preserve">Why this chart: A grouped dual-metric bar chart lets us see whether two related quality indicators (damage rate and customer rating) move together across categories, which a single chart of either metric alone would not show.</w:t>
      </w:r>
    </w:p>
    <w:p>
      <w:pPr>
        <w:spacing w:after="160"/>
      </w:pPr>
      <w:r>
        <w:t xml:space="preserve">Insight: Sea freight's damage rate (5.5%) is nearly 4x Air's (1.4%), and its average customer rating (4.41) is the lowest of all four modes — visually confirming the damage-satisfaction relationship identified in the correlation analysis and pinpointing Sea freight handling/packaging as a priority improvement area.</w:t>
      </w:r>
    </w:p>
    <w:p>
      <w:pPr>
        <w:pStyle w:val="Heading1"/>
        <w:spacing w:after="160" w:before="360"/>
      </w:pPr>
      <w:r>
        <w:t xml:space="preserve">5. Analytical Insights and Recommendations</w:t>
      </w:r>
    </w:p>
    <w:p>
      <w:pPr>
        <w:pStyle w:val="Heading2"/>
        <w:spacing w:after="120" w:before="280"/>
      </w:pPr>
      <w:r>
        <w:t xml:space="preserve">5.1 Operational Efficiency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network's overall 64.5% on-time rate is an average of a stable ~72% baseline and a November-December collapse to ~27%. Treating this as one number obscures the real problem: peak-season capacity planning, not year-round process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Recommendation: Model peak-season demand explicitly (e.g., using the prior year's Nov-Dec volume as a forecast input), and pre-book additional carrier capacity or temporary cross-docking capacity for those two months rather than relying on average-case staffing and routing plans.</w:t>
      </w:r>
    </w:p>
    <w:p>
      <w:pPr>
        <w:pStyle w:val="Heading2"/>
        <w:spacing w:after="120" w:before="280"/>
      </w:pPr>
      <w:r>
        <w:t xml:space="preserve">5.2 Cost Drivers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(r = 0.46) and transport mode are the primary determinants of shipment cost; shipment volume/weight are not (r ≈ 0.00). This means cost-reduction efforts should focus on route optimization and mode-mix decisions rather than load consolidation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Recommendation: For non-urgent shipments currently routed via Air, evaluate a shift to Road or Rail where transit-time SLAs allow — Air costs 4-6x more per shipment with only a 6-11 point on-time advantage over Road/Rail, a trade-off that may not be worthwhile for all cargo types.</w:t>
      </w:r>
    </w:p>
    <w:p>
      <w:pPr>
        <w:pStyle w:val="Heading2"/>
        <w:spacing w:after="120" w:before="280"/>
      </w:pPr>
      <w:r>
        <w:t xml:space="preserve">5.3 Bottlenecks and Service Quality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 freight is the weakest link on two independent dimensions simultaneously: lowest on-time rate (59.7%) and highest damage rate (5.5%), and correspondingly the lowest customer rating (4.41/5) of any mode.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Recommendation: Audit Sea freight packaging standards and carrier handling procedures to reduce damage, and consider tightening or renegotiating Sea carrier SLA terms given the mode's below-average reliability.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Delivery delay and damage are the two strongest predictors of poor customer ratings in this dataset (r = -0.54 and -0.51), both considerably stronger than the relationship between cost and rating. This suggests that investment in on-time reliability and cargo protection will move customer satisfaction more than price competitiveness will.</w:t>
      </w:r>
    </w:p>
    <w:p>
      <w:pPr>
        <w:pStyle w:val="Heading2"/>
        <w:spacing w:after="120" w:before="280"/>
      </w:pPr>
      <w:r>
        <w:t xml:space="preserve">5.4 Summary of Recommendations (Priority Order)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Build a peak-season (Nov-Dec) capacity plan — the single highest-impact fix identified in this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Investigate and remediate Sea freight damage causes (packaging, handling, carrier SLAs).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Reassess Air vs. Road/Rail mode assignment rules to balance the cost/service trade-off shipment-by-shipment rather than by blanket policy.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Track delivery delay and damage rate as leading indicators of customer satisfaction, rather than relying on cost or volume metrics alone.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60"/>
      </w:pPr>
      <w:r>
        <w:t xml:space="preserve">This analysis demonstrates how a structured EDA workflow — descriptive statistics, group comparisons, correlation analysis, and purpose-matched visualizations — can turn a raw logistics dataset into specific, prioritized operational recommendations. The most actionable finding is that the network's headline on-time rate is driven almost entirely by a predictable seasonal capacity shortfall rather than a chronic, uniform service problem, meaning a targeted seasonal intervention is likely to yield outsized returns relative to broad, network-wide process changes. Secondary findings around Sea-freight damage rates and mode-based cost/service trade-offs provide additional, well-supported levers for continued improvement.</w:t>
      </w:r>
    </w:p>
    <w:p>
      <w:pPr>
        <w:pStyle w:val="Heading2"/>
        <w:spacing w:after="120" w:before="280"/>
      </w:pPr>
      <w:r>
        <w:t xml:space="preserve">6.1 Tools and Techniques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(pandas, NumPy) for data simulation and manipulation.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pandas groupby/aggregation for categorical performance comparisons.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Pearson correlation (pandas .corr()) for bivariate relationship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 and seaborn for all visualizations: histogram+KDE, box plot, bar chart, dual-axis line chart, scatter plot, and correlation heatmap.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Advanced Data Analysis and Visualization in Logistics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5c60ffe1d7640342ddb52702712846b2b3353d.png"/><Relationship Id="rId10" Type="http://schemas.openxmlformats.org/officeDocument/2006/relationships/image" Target="media/cd7bc47ff5c1a09d7f7fef3f4dd832bdbd65c153.png"/><Relationship Id="rId11" Type="http://schemas.openxmlformats.org/officeDocument/2006/relationships/image" Target="media/30f1cc266ba0c75f10aab120d7256ea586a3e9ee.png"/><Relationship Id="rId12" Type="http://schemas.openxmlformats.org/officeDocument/2006/relationships/image" Target="media/2fe4518c911103d088cf8b015152ade19093270b.png"/><Relationship Id="rId13" Type="http://schemas.openxmlformats.org/officeDocument/2006/relationships/image" Target="media/0a43d0b446b9b9802f8d59bbe9d0ce4fc7181af2.png"/><Relationship Id="rId14" Type="http://schemas.openxmlformats.org/officeDocument/2006/relationships/image" Target="media/e9665068cd8c4b54d05028405c3047c15cfb671f.png"/><Relationship Id="rId15" Type="http://schemas.openxmlformats.org/officeDocument/2006/relationships/image" Target="media/70f0b802e392114b6f42c369a32a8df21bb5641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2026-09-05T03:54:55.290Z</dcterms:created>
  <dcterms:modified xsi:type="dcterms:W3CDTF">2026-09-05T03:54:55.301Z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