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2"/>
          <w:szCs w:val="32"/>
        </w:rPr>
        <w:t xml:space="preserve">SEVERITY &amp; CASE CLASSIFICATION</w:t>
      </w:r>
    </w:p>
    <w:p>
      <w:pPr>
        <w:spacing w:after="160" w:before="0"/>
        <w:jc w:val="center"/>
      </w:pPr>
      <w:r>
        <w:rPr>
          <w:rFonts w:ascii="Arial" w:cs="Arial" w:eastAsia="Arial" w:hAnsi="Arial"/>
          <w:i/>
          <w:iCs/>
          <w:sz w:val="20"/>
          <w:szCs w:val="20"/>
        </w:rPr>
        <w:t xml:space="preserve">Classification of Adverse Drug Reactions by Seriousness and Expectedness</w:t>
      </w:r>
    </w:p>
    <w:p>
      <w:pPr>
        <w:spacing w:after="100" w:before="200"/>
      </w:pPr>
      <w:r>
        <w:rPr>
          <w:rFonts w:ascii="Arial" w:cs="Arial" w:eastAsia="Arial" w:hAnsi="Arial"/>
          <w:b/>
          <w:bCs/>
          <w:color w:val="1F3864"/>
          <w:sz w:val="24"/>
          <w:szCs w:val="24"/>
        </w:rPr>
        <w:t xml:space="preserve">1. Guidelines used</w:t>
      </w:r>
    </w:p>
    <w:p>
      <w:pPr>
        <w:spacing w:after="80" w:before="0"/>
      </w:pPr>
      <w:r>
        <w:rPr>
          <w:rFonts w:ascii="Arial" w:cs="Arial" w:eastAsia="Arial" w:hAnsi="Arial"/>
          <w:b/>
          <w:bCs/>
          <w:sz w:val="19"/>
          <w:szCs w:val="19"/>
        </w:rPr>
        <w:t xml:space="preserve">Serious: </w:t>
      </w:r>
      <w:r>
        <w:rPr>
          <w:rFonts w:ascii="Arial" w:cs="Arial" w:eastAsia="Arial" w:hAnsi="Arial"/>
          <w:sz w:val="19"/>
          <w:szCs w:val="19"/>
        </w:rPr>
        <w:t xml:space="preserve">the reaction results in death, is life-threatening, requires or prolongs hospitalization, causes persistent disability, causes a congenital anomaly, or is another medically important condition. Otherwise it is non-serious.</w:t>
      </w:r>
    </w:p>
    <w:p>
      <w:pPr>
        <w:spacing w:after="80" w:before="0"/>
      </w:pPr>
      <w:r>
        <w:rPr>
          <w:rFonts w:ascii="Arial" w:cs="Arial" w:eastAsia="Arial" w:hAnsi="Arial"/>
          <w:b/>
          <w:bCs/>
          <w:sz w:val="19"/>
          <w:szCs w:val="19"/>
        </w:rPr>
        <w:t xml:space="preserve">Expected (listed): </w:t>
      </w:r>
      <w:r>
        <w:rPr>
          <w:rFonts w:ascii="Arial" w:cs="Arial" w:eastAsia="Arial" w:hAnsi="Arial"/>
          <w:sz w:val="19"/>
          <w:szCs w:val="19"/>
        </w:rPr>
        <w:t xml:space="preserve">consistent with the known information about the drug (product label, SmPC or known characteristics). A reaction not described there is unexpected (unlisted).</w:t>
      </w:r>
    </w:p>
    <w:p>
      <w:pPr>
        <w:spacing w:after="80" w:before="0"/>
      </w:pPr>
      <w:r>
        <w:rPr>
          <w:rFonts w:ascii="Arial" w:cs="Arial" w:eastAsia="Arial" w:hAnsi="Arial"/>
          <w:b/>
          <w:bCs/>
          <w:sz w:val="19"/>
          <w:szCs w:val="19"/>
        </w:rPr>
        <w:t xml:space="preserve">Note: </w:t>
      </w:r>
      <w:r>
        <w:rPr>
          <w:rFonts w:ascii="Arial" w:cs="Arial" w:eastAsia="Arial" w:hAnsi="Arial"/>
          <w:sz w:val="19"/>
          <w:szCs w:val="19"/>
        </w:rPr>
        <w:t xml:space="preserve">seriousness describes the outcome/severity of the event for the patient; expectedness describes whether the reaction is already documented for the drug. They are assessed independently.</w:t>
      </w:r>
    </w:p>
    <w:p>
      <w:pPr>
        <w:spacing w:after="100" w:before="200"/>
      </w:pPr>
      <w:r>
        <w:rPr>
          <w:rFonts w:ascii="Arial" w:cs="Arial" w:eastAsia="Arial" w:hAnsi="Arial"/>
          <w:b/>
          <w:bCs/>
          <w:color w:val="1F3864"/>
          <w:sz w:val="24"/>
          <w:szCs w:val="24"/>
        </w:rPr>
        <w:t xml:space="preserve">2. Case classification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900"/>
        <w:gridCol w:w="1500"/>
        <w:gridCol w:w="1500"/>
        <w:gridCol w:w="3360"/>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70"/>
              <w:left w:type="dxa" w:w="90"/>
              <w:bottom w:type="dxa" w:w="70"/>
              <w:right w:type="dxa" w:w="90"/>
            </w:tcMar>
          </w:tcPr>
          <w:p>
            <w:pPr>
              <w:spacing w:after="0" w:before="0"/>
            </w:pPr>
            <w:r>
              <w:rPr>
                <w:rFonts w:ascii="Arial" w:cs="Arial" w:eastAsia="Arial" w:hAnsi="Arial"/>
                <w:b/>
                <w:bCs/>
                <w:color w:val="FFFFFF"/>
                <w:sz w:val="18"/>
                <w:szCs w:val="18"/>
              </w:rPr>
              <w:t xml:space="preserve">Case</w:t>
            </w:r>
          </w:p>
        </w:tc>
        <w:tc>
          <w:tcPr>
            <w:tcW w:type="dxa" w:w="1300"/>
            <w:tcBorders>
              <w:top w:val="single" w:color="808080" w:sz="4"/>
              <w:left w:val="single" w:color="808080" w:sz="4"/>
              <w:bottom w:val="single" w:color="808080" w:sz="4"/>
              <w:right w:val="single" w:color="808080" w:sz="4"/>
            </w:tcBorders>
            <w:shd w:fill="1F3864" w:color="auto" w:val="clear"/>
            <w:tcMar>
              <w:top w:type="dxa" w:w="70"/>
              <w:left w:type="dxa" w:w="90"/>
              <w:bottom w:type="dxa" w:w="70"/>
              <w:right w:type="dxa" w:w="90"/>
            </w:tcMar>
          </w:tcPr>
          <w:p>
            <w:pPr>
              <w:spacing w:after="0" w:before="0"/>
            </w:pPr>
            <w:r>
              <w:rPr>
                <w:rFonts w:ascii="Arial" w:cs="Arial" w:eastAsia="Arial" w:hAnsi="Arial"/>
                <w:b/>
                <w:bCs/>
                <w:color w:val="FFFFFF"/>
                <w:sz w:val="18"/>
                <w:szCs w:val="18"/>
              </w:rPr>
              <w:t xml:space="preserve">Drug</w:t>
            </w:r>
          </w:p>
        </w:tc>
        <w:tc>
          <w:tcPr>
            <w:tcW w:type="dxa" w:w="1900"/>
            <w:tcBorders>
              <w:top w:val="single" w:color="808080" w:sz="4"/>
              <w:left w:val="single" w:color="808080" w:sz="4"/>
              <w:bottom w:val="single" w:color="808080" w:sz="4"/>
              <w:right w:val="single" w:color="808080" w:sz="4"/>
            </w:tcBorders>
            <w:shd w:fill="1F3864" w:color="auto" w:val="clear"/>
            <w:tcMar>
              <w:top w:type="dxa" w:w="70"/>
              <w:left w:type="dxa" w:w="90"/>
              <w:bottom w:type="dxa" w:w="70"/>
              <w:right w:type="dxa" w:w="90"/>
            </w:tcMar>
          </w:tcPr>
          <w:p>
            <w:pPr>
              <w:spacing w:after="0" w:before="0"/>
            </w:pPr>
            <w:r>
              <w:rPr>
                <w:rFonts w:ascii="Arial" w:cs="Arial" w:eastAsia="Arial" w:hAnsi="Arial"/>
                <w:b/>
                <w:bCs/>
                <w:color w:val="FFFFFF"/>
                <w:sz w:val="18"/>
                <w:szCs w:val="18"/>
              </w:rPr>
              <w:t xml:space="preserve">Adverse reaction</w:t>
            </w:r>
          </w:p>
        </w:tc>
        <w:tc>
          <w:tcPr>
            <w:tcW w:type="dxa" w:w="1500"/>
            <w:tcBorders>
              <w:top w:val="single" w:color="808080" w:sz="4"/>
              <w:left w:val="single" w:color="808080" w:sz="4"/>
              <w:bottom w:val="single" w:color="808080" w:sz="4"/>
              <w:right w:val="single" w:color="808080" w:sz="4"/>
            </w:tcBorders>
            <w:shd w:fill="1F3864" w:color="auto" w:val="clear"/>
            <w:tcMar>
              <w:top w:type="dxa" w:w="70"/>
              <w:left w:type="dxa" w:w="90"/>
              <w:bottom w:type="dxa" w:w="70"/>
              <w:right w:type="dxa" w:w="90"/>
            </w:tcMar>
          </w:tcPr>
          <w:p>
            <w:pPr>
              <w:spacing w:after="0" w:before="0"/>
            </w:pPr>
            <w:r>
              <w:rPr>
                <w:rFonts w:ascii="Arial" w:cs="Arial" w:eastAsia="Arial" w:hAnsi="Arial"/>
                <w:b/>
                <w:bCs/>
                <w:color w:val="FFFFFF"/>
                <w:sz w:val="18"/>
                <w:szCs w:val="18"/>
              </w:rPr>
              <w:t xml:space="preserve">Seriousness</w:t>
            </w:r>
          </w:p>
        </w:tc>
        <w:tc>
          <w:tcPr>
            <w:tcW w:type="dxa" w:w="1500"/>
            <w:tcBorders>
              <w:top w:val="single" w:color="808080" w:sz="4"/>
              <w:left w:val="single" w:color="808080" w:sz="4"/>
              <w:bottom w:val="single" w:color="808080" w:sz="4"/>
              <w:right w:val="single" w:color="808080" w:sz="4"/>
            </w:tcBorders>
            <w:shd w:fill="1F3864" w:color="auto" w:val="clear"/>
            <w:tcMar>
              <w:top w:type="dxa" w:w="70"/>
              <w:left w:type="dxa" w:w="90"/>
              <w:bottom w:type="dxa" w:w="70"/>
              <w:right w:type="dxa" w:w="90"/>
            </w:tcMar>
          </w:tcPr>
          <w:p>
            <w:pPr>
              <w:spacing w:after="0" w:before="0"/>
            </w:pPr>
            <w:r>
              <w:rPr>
                <w:rFonts w:ascii="Arial" w:cs="Arial" w:eastAsia="Arial" w:hAnsi="Arial"/>
                <w:b/>
                <w:bCs/>
                <w:color w:val="FFFFFF"/>
                <w:sz w:val="18"/>
                <w:szCs w:val="18"/>
              </w:rPr>
              <w:t xml:space="preserve">Expectedness</w:t>
            </w:r>
          </w:p>
        </w:tc>
        <w:tc>
          <w:tcPr>
            <w:tcW w:type="dxa" w:w="3360"/>
            <w:tcBorders>
              <w:top w:val="single" w:color="808080" w:sz="4"/>
              <w:left w:val="single" w:color="808080" w:sz="4"/>
              <w:bottom w:val="single" w:color="808080" w:sz="4"/>
              <w:right w:val="single" w:color="808080" w:sz="4"/>
            </w:tcBorders>
            <w:shd w:fill="1F3864" w:color="auto" w:val="clear"/>
            <w:tcMar>
              <w:top w:type="dxa" w:w="70"/>
              <w:left w:type="dxa" w:w="90"/>
              <w:bottom w:type="dxa" w:w="70"/>
              <w:right w:type="dxa" w:w="90"/>
            </w:tcMar>
          </w:tcPr>
          <w:p>
            <w:pPr>
              <w:spacing w:after="0" w:before="0"/>
            </w:pPr>
            <w:r>
              <w:rPr>
                <w:rFonts w:ascii="Arial" w:cs="Arial" w:eastAsia="Arial" w:hAnsi="Arial"/>
                <w:b/>
                <w:bCs/>
                <w:color w:val="FFFFFF"/>
                <w:sz w:val="18"/>
                <w:szCs w:val="18"/>
              </w:rPr>
              <w:t xml:space="preserve">Rationale</w:t>
            </w:r>
          </w:p>
        </w:tc>
      </w:tr>
      <w:tr>
        <w:tc>
          <w:tcPr>
            <w:tcW w:type="dxa" w:w="8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01</w:t>
            </w:r>
          </w:p>
        </w:tc>
        <w:tc>
          <w:tcPr>
            <w:tcW w:type="dxa" w:w="13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Amoxicillin</w:t>
            </w:r>
          </w:p>
        </w:tc>
        <w:tc>
          <w:tcPr>
            <w:tcW w:type="dxa" w:w="19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Skin rash, itching</w:t>
            </w:r>
          </w:p>
        </w:tc>
        <w:tc>
          <w:tcPr>
            <w:tcW w:type="dxa" w:w="1500"/>
            <w:tcBorders>
              <w:top w:val="single" w:color="808080" w:sz="4"/>
              <w:left w:val="single" w:color="808080" w:sz="4"/>
              <w:bottom w:val="single" w:color="808080" w:sz="4"/>
              <w:right w:val="single" w:color="808080" w:sz="4"/>
            </w:tcBorders>
            <w:shd w:fill="E8F5E9" w:color="auto" w:val="clear"/>
            <w:tcMar>
              <w:top w:type="dxa" w:w="70"/>
              <w:left w:type="dxa" w:w="90"/>
              <w:bottom w:type="dxa" w:w="70"/>
              <w:right w:type="dxa" w:w="90"/>
            </w:tcMar>
          </w:tcPr>
          <w:p>
            <w:pPr>
              <w:spacing w:after="0" w:before="0"/>
            </w:pPr>
            <w:r>
              <w:rPr>
                <w:rFonts w:ascii="Arial" w:cs="Arial" w:eastAsia="Arial" w:hAnsi="Arial"/>
                <w:b/>
                <w:bCs/>
                <w:color w:val="2E7D32"/>
                <w:sz w:val="18"/>
                <w:szCs w:val="18"/>
              </w:rPr>
              <w:t xml:space="preserve">NON-SERIOUS</w:t>
            </w:r>
          </w:p>
        </w:tc>
        <w:tc>
          <w:tcPr>
            <w:tcW w:type="dxa" w:w="15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bCs/>
                <w:sz w:val="18"/>
                <w:szCs w:val="18"/>
              </w:rPr>
              <w:t xml:space="preserve">EXPECTED</w:t>
            </w:r>
          </w:p>
        </w:tc>
        <w:tc>
          <w:tcPr>
            <w:tcW w:type="dxa" w:w="336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Mild, self-limiting skin reaction; no hospitalization, disability or life threat. Rash/urticaria is a listed hypersensitivity reaction in the amoxicillin label (SmPC).</w:t>
            </w:r>
          </w:p>
        </w:tc>
      </w:tr>
      <w:tr>
        <w:tc>
          <w:tcPr>
            <w:tcW w:type="dxa" w:w="8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02</w:t>
            </w:r>
          </w:p>
        </w:tc>
        <w:tc>
          <w:tcPr>
            <w:tcW w:type="dxa" w:w="13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Ibuprofen</w:t>
            </w:r>
          </w:p>
        </w:tc>
        <w:tc>
          <w:tcPr>
            <w:tcW w:type="dxa" w:w="19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Gastrointestinal bleeding requiring hospitalization</w:t>
            </w:r>
          </w:p>
        </w:tc>
        <w:tc>
          <w:tcPr>
            <w:tcW w:type="dxa" w:w="1500"/>
            <w:tcBorders>
              <w:top w:val="single" w:color="808080" w:sz="4"/>
              <w:left w:val="single" w:color="808080" w:sz="4"/>
              <w:bottom w:val="single" w:color="808080" w:sz="4"/>
              <w:right w:val="single" w:color="808080" w:sz="4"/>
            </w:tcBorders>
            <w:shd w:fill="FDE9E7" w:color="auto" w:val="clear"/>
            <w:tcMar>
              <w:top w:type="dxa" w:w="70"/>
              <w:left w:type="dxa" w:w="90"/>
              <w:bottom w:type="dxa" w:w="70"/>
              <w:right w:type="dxa" w:w="90"/>
            </w:tcMar>
          </w:tcPr>
          <w:p>
            <w:pPr>
              <w:spacing w:after="0" w:before="0"/>
            </w:pPr>
            <w:r>
              <w:rPr>
                <w:rFonts w:ascii="Arial" w:cs="Arial" w:eastAsia="Arial" w:hAnsi="Arial"/>
                <w:b/>
                <w:bCs/>
                <w:color w:val="C00000"/>
                <w:sz w:val="18"/>
                <w:szCs w:val="18"/>
              </w:rPr>
              <w:t xml:space="preserve">SERIOUS</w:t>
            </w:r>
          </w:p>
        </w:tc>
        <w:tc>
          <w:tcPr>
            <w:tcW w:type="dxa" w:w="15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bCs/>
                <w:sz w:val="18"/>
                <w:szCs w:val="18"/>
              </w:rPr>
              <w:t xml:space="preserve">EXPECTED</w:t>
            </w:r>
          </w:p>
        </w:tc>
        <w:tc>
          <w:tcPr>
            <w:tcW w:type="dxa" w:w="336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Required hospitalization, which meets a seriousness criterion. GI bleeding/ulceration is a known NSAID class effect and is listed in the label.</w:t>
            </w:r>
          </w:p>
        </w:tc>
      </w:tr>
      <w:tr>
        <w:tc>
          <w:tcPr>
            <w:tcW w:type="dxa" w:w="8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03</w:t>
            </w:r>
          </w:p>
        </w:tc>
        <w:tc>
          <w:tcPr>
            <w:tcW w:type="dxa" w:w="13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Metformin</w:t>
            </w:r>
          </w:p>
        </w:tc>
        <w:tc>
          <w:tcPr>
            <w:tcW w:type="dxa" w:w="19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Lactic acidosis</w:t>
            </w:r>
          </w:p>
        </w:tc>
        <w:tc>
          <w:tcPr>
            <w:tcW w:type="dxa" w:w="1500"/>
            <w:tcBorders>
              <w:top w:val="single" w:color="808080" w:sz="4"/>
              <w:left w:val="single" w:color="808080" w:sz="4"/>
              <w:bottom w:val="single" w:color="808080" w:sz="4"/>
              <w:right w:val="single" w:color="808080" w:sz="4"/>
            </w:tcBorders>
            <w:shd w:fill="FDE9E7" w:color="auto" w:val="clear"/>
            <w:tcMar>
              <w:top w:type="dxa" w:w="70"/>
              <w:left w:type="dxa" w:w="90"/>
              <w:bottom w:type="dxa" w:w="70"/>
              <w:right w:type="dxa" w:w="90"/>
            </w:tcMar>
          </w:tcPr>
          <w:p>
            <w:pPr>
              <w:spacing w:after="0" w:before="0"/>
            </w:pPr>
            <w:r>
              <w:rPr>
                <w:rFonts w:ascii="Arial" w:cs="Arial" w:eastAsia="Arial" w:hAnsi="Arial"/>
                <w:b/>
                <w:bCs/>
                <w:color w:val="C00000"/>
                <w:sz w:val="18"/>
                <w:szCs w:val="18"/>
              </w:rPr>
              <w:t xml:space="preserve">SERIOUS</w:t>
            </w:r>
          </w:p>
        </w:tc>
        <w:tc>
          <w:tcPr>
            <w:tcW w:type="dxa" w:w="15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bCs/>
                <w:sz w:val="18"/>
                <w:szCs w:val="18"/>
              </w:rPr>
              <w:t xml:space="preserve">EXPECTED</w:t>
            </w:r>
          </w:p>
        </w:tc>
        <w:tc>
          <w:tcPr>
            <w:tcW w:type="dxa" w:w="336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b w:val="false"/>
                <w:bCs w:val="false"/>
                <w:sz w:val="18"/>
                <w:szCs w:val="18"/>
              </w:rPr>
              <w:t xml:space="preserve">Potentially life-threatening, usually needs hospital care. Lactic acidosis is a known rare reaction and carries a boxed warning in metformin labelling.</w:t>
            </w:r>
          </w:p>
        </w:tc>
      </w:tr>
      <w:tr>
        <w:tc>
          <w:tcPr>
            <w:tcW w:type="dxa" w:w="800"/>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sz w:val="18"/>
                <w:szCs w:val="18"/>
              </w:rPr>
              <w:t xml:space="preserve">04</w:t>
            </w:r>
          </w:p>
        </w:tc>
        <w:tc>
          <w:tcPr>
            <w:tcW w:type="dxa" w:w="9560"/>
            <w:gridSpan w:val="5"/>
            <w:tcBorders>
              <w:top w:val="single" w:color="808080" w:sz="4"/>
              <w:left w:val="single" w:color="808080" w:sz="4"/>
              <w:bottom w:val="single" w:color="808080" w:sz="4"/>
              <w:right w:val="single" w:color="808080" w:sz="4"/>
            </w:tcBorders>
            <w:tcMar>
              <w:top w:type="dxa" w:w="70"/>
              <w:left w:type="dxa" w:w="90"/>
              <w:bottom w:type="dxa" w:w="70"/>
              <w:right w:type="dxa" w:w="90"/>
            </w:tcMar>
          </w:tcPr>
          <w:p>
            <w:pPr>
              <w:spacing w:after="0" w:before="0"/>
            </w:pPr>
            <w:r>
              <w:rPr>
                <w:rFonts w:ascii="Arial" w:cs="Arial" w:eastAsia="Arial" w:hAnsi="Arial"/>
                <w:i/>
                <w:iCs/>
                <w:sz w:val="18"/>
                <w:szCs w:val="18"/>
              </w:rPr>
              <w:t xml:space="preserve">[Add the 4th case from your task sheet here – it was not visible in the screenshot]</w:t>
            </w:r>
          </w:p>
        </w:tc>
      </w:tr>
    </w:tbl>
    <w:p>
      <w:pPr>
        <w:spacing w:after="100" w:before="200"/>
      </w:pPr>
      <w:r>
        <w:rPr>
          <w:rFonts w:ascii="Arial" w:cs="Arial" w:eastAsia="Arial" w:hAnsi="Arial"/>
          <w:b/>
          <w:bCs/>
          <w:color w:val="1F3864"/>
          <w:sz w:val="24"/>
          <w:szCs w:val="24"/>
        </w:rPr>
        <w:t xml:space="preserve">3.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453"/>
        <w:gridCol w:w="3453"/>
        <w:gridCol w:w="3454"/>
      </w:tblGrid>
      <w:tr>
        <w:tc>
          <w:tcPr>
            <w:tcW w:type="dxa" w:w="3453"/>
            <w:tcBorders>
              <w:top w:val="single" w:color="808080" w:sz="4"/>
              <w:left w:val="single" w:color="808080" w:sz="4"/>
              <w:bottom w:val="single" w:color="808080" w:sz="4"/>
              <w:right w:val="single" w:color="808080" w:sz="4"/>
            </w:tcBorders>
            <w:shd w:fill="EDF1F7" w:color="auto" w:val="clear"/>
            <w:tcMar>
              <w:top w:type="dxa" w:w="70"/>
              <w:left w:type="dxa" w:w="90"/>
              <w:bottom w:type="dxa" w:w="70"/>
              <w:right w:type="dxa" w:w="90"/>
            </w:tcMar>
          </w:tcPr>
          <w:p>
            <w:pPr>
              <w:spacing w:after="0" w:before="0"/>
              <w:jc w:val="center"/>
            </w:pPr>
            <w:r>
              <w:rPr>
                <w:rFonts w:ascii="Arial" w:cs="Arial" w:eastAsia="Arial" w:hAnsi="Arial"/>
                <w:b/>
                <w:bCs/>
                <w:sz w:val="19"/>
                <w:szCs w:val="19"/>
              </w:rPr>
              <w:t xml:space="preserve">Serious: 2 cases (02, 03)</w:t>
            </w:r>
          </w:p>
        </w:tc>
        <w:tc>
          <w:tcPr>
            <w:tcW w:type="dxa" w:w="3453"/>
            <w:tcBorders>
              <w:top w:val="single" w:color="808080" w:sz="4"/>
              <w:left w:val="single" w:color="808080" w:sz="4"/>
              <w:bottom w:val="single" w:color="808080" w:sz="4"/>
              <w:right w:val="single" w:color="808080" w:sz="4"/>
            </w:tcBorders>
            <w:shd w:fill="EDF1F7" w:color="auto" w:val="clear"/>
            <w:tcMar>
              <w:top w:type="dxa" w:w="70"/>
              <w:left w:type="dxa" w:w="90"/>
              <w:bottom w:type="dxa" w:w="70"/>
              <w:right w:type="dxa" w:w="90"/>
            </w:tcMar>
          </w:tcPr>
          <w:p>
            <w:pPr>
              <w:spacing w:after="0" w:before="0"/>
              <w:jc w:val="center"/>
            </w:pPr>
            <w:r>
              <w:rPr>
                <w:rFonts w:ascii="Arial" w:cs="Arial" w:eastAsia="Arial" w:hAnsi="Arial"/>
                <w:b/>
                <w:bCs/>
                <w:sz w:val="19"/>
                <w:szCs w:val="19"/>
              </w:rPr>
              <w:t xml:space="preserve">Non-serious: 1 case (01)</w:t>
            </w:r>
          </w:p>
        </w:tc>
        <w:tc>
          <w:tcPr>
            <w:tcW w:type="dxa" w:w="3454"/>
            <w:tcBorders>
              <w:top w:val="single" w:color="808080" w:sz="4"/>
              <w:left w:val="single" w:color="808080" w:sz="4"/>
              <w:bottom w:val="single" w:color="808080" w:sz="4"/>
              <w:right w:val="single" w:color="808080" w:sz="4"/>
            </w:tcBorders>
            <w:shd w:fill="EDF1F7" w:color="auto" w:val="clear"/>
            <w:tcMar>
              <w:top w:type="dxa" w:w="70"/>
              <w:left w:type="dxa" w:w="90"/>
              <w:bottom w:type="dxa" w:w="70"/>
              <w:right w:type="dxa" w:w="90"/>
            </w:tcMar>
          </w:tcPr>
          <w:p>
            <w:pPr>
              <w:spacing w:after="0" w:before="0"/>
              <w:jc w:val="center"/>
            </w:pPr>
            <w:r>
              <w:rPr>
                <w:rFonts w:ascii="Arial" w:cs="Arial" w:eastAsia="Arial" w:hAnsi="Arial"/>
                <w:b/>
                <w:bCs/>
                <w:sz w:val="19"/>
                <w:szCs w:val="19"/>
              </w:rPr>
              <w:t xml:space="preserve">Expected: 3 | Unexpected: 0</w:t>
            </w:r>
          </w:p>
        </w:tc>
      </w:tr>
    </w:tbl>
    <w:p>
      <w:pPr>
        <w:spacing w:after="80" w:before="120"/>
      </w:pPr>
      <w:r>
        <w:rPr>
          <w:rFonts w:ascii="Arial" w:cs="Arial" w:eastAsia="Arial" w:hAnsi="Arial"/>
          <w:sz w:val="19"/>
          <w:szCs w:val="19"/>
        </w:rPr>
        <w:t xml:space="preserve">Cases 02 and 03 are serious and need priority attention and expedited reporting to the pharmacovigilance centre, even though they are expected. Case 01 is routine and can be reported in the normal cycle. No unexpected reactions were identified, so no signal escalation is needed from these cases.</w:t>
      </w:r>
    </w:p>
    <w:p>
      <w:pPr>
        <w:spacing w:after="100" w:before="200"/>
      </w:pPr>
      <w:r>
        <w:rPr>
          <w:rFonts w:ascii="Arial" w:cs="Arial" w:eastAsia="Arial" w:hAnsi="Arial"/>
          <w:b/>
          <w:bCs/>
          <w:color w:val="1F3864"/>
          <w:sz w:val="24"/>
          <w:szCs w:val="24"/>
        </w:rPr>
        <w:t xml:space="preserve">4. Conclusion</w:t>
      </w:r>
    </w:p>
    <w:p>
      <w:pPr>
        <w:spacing w:after="80" w:before="0"/>
      </w:pPr>
      <w:r>
        <w:rPr>
          <w:rFonts w:ascii="Arial" w:cs="Arial" w:eastAsia="Arial" w:hAnsi="Arial"/>
          <w:sz w:val="19"/>
          <w:szCs w:val="19"/>
        </w:rPr>
        <w:t xml:space="preserve">Using standard pharmacovigilance criteria, one case is non-serious and two are serious. All three reactions are listed in the respective product information and are therefore expected.</w:t>
      </w:r>
    </w:p>
    <w:sectPr>
      <w:pgSz w:w="11906" w:h="16838" w:orient="portrait"/>
      <w:pgMar w:top="850" w:right="770" w:bottom="850" w:left="7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2026-10-24T10:26:32.469Z</dcterms:created>
  <dcterms:modified xsi:type="dcterms:W3CDTF">2026-10-24T10:26:32.470Z</dcterms:modified>
</cp:coreProperties>
</file>

<file path=docProps/custom.xml><?xml version="1.0" encoding="utf-8"?>
<Properties xmlns="http://schemas.openxmlformats.org/officeDocument/2006/custom-properties" xmlns:vt="http://schemas.openxmlformats.org/officeDocument/2006/docPropsVTypes"/>
</file>