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2"/>
          <w:szCs w:val="32"/>
        </w:rPr>
        <w:t xml:space="preserve">CAUSALITY ASSESSMENT</w:t>
      </w:r>
    </w:p>
    <w:p>
      <w:pPr>
        <w:spacing w:after="160" w:before="0"/>
        <w:jc w:val="center"/>
      </w:pPr>
      <w:r>
        <w:rPr>
          <w:rFonts w:ascii="Arial" w:cs="Arial" w:eastAsia="Arial" w:hAnsi="Arial"/>
          <w:i/>
          <w:iCs/>
          <w:sz w:val="20"/>
          <w:szCs w:val="20"/>
        </w:rPr>
        <w:t xml:space="preserve">Relationship between Amoxicillin and Itchy Skin Rash – Naranjo Scale and WHO-UMC System</w:t>
      </w:r>
    </w:p>
    <w:p>
      <w:pPr>
        <w:spacing w:after="100" w:before="200"/>
      </w:pPr>
      <w:r>
        <w:rPr>
          <w:rFonts w:ascii="Arial" w:cs="Arial" w:eastAsia="Arial" w:hAnsi="Arial"/>
          <w:b/>
          <w:bCs/>
          <w:color w:val="1F3864"/>
          <w:sz w:val="24"/>
          <w:szCs w:val="24"/>
        </w:rPr>
        <w:t xml:space="preserve">1. Case summary</w:t>
      </w:r>
    </w:p>
    <w:p>
      <w:pPr>
        <w:spacing w:after="80" w:before="0"/>
      </w:pPr>
      <w:r>
        <w:rPr>
          <w:rFonts w:ascii="Arial" w:cs="Arial" w:eastAsia="Arial" w:hAnsi="Arial"/>
          <w:sz w:val="19"/>
          <w:szCs w:val="19"/>
        </w:rPr>
        <w:t xml:space="preserve">On 01-Jun-2021, the patient (Raj) was started on Amoxicillin 500 mg thrice a day for a throat infection. On 02-Jun-2021 he developed itchy rashes over his body. On 03-Jun-2021 the dose was reduced to 250 mg thrice a day, and on 04-Jun-2021 the rash disappeared. As the infection intensified, the dose was increased back to 500 mg thrice a day on 05-Jun-2021, and on 06-Jun-2021 he again developed generalized itchy rashes.</w:t>
      </w:r>
    </w:p>
    <w:p>
      <w:pPr>
        <w:spacing w:after="100" w:before="200"/>
      </w:pPr>
      <w:r>
        <w:rPr>
          <w:rFonts w:ascii="Arial" w:cs="Arial" w:eastAsia="Arial" w:hAnsi="Arial"/>
          <w:b/>
          <w:bCs/>
          <w:color w:val="1F3864"/>
          <w:sz w:val="24"/>
          <w:szCs w:val="24"/>
        </w:rPr>
        <w:t xml:space="preserve">2. Assessment criteria</w:t>
      </w:r>
    </w:p>
    <w:p>
      <w:pPr>
        <w:spacing w:after="40" w:before="0"/>
      </w:pPr>
      <w:r>
        <w:rPr>
          <w:rFonts w:ascii="Arial" w:cs="Arial" w:eastAsia="Arial" w:hAnsi="Arial"/>
          <w:b/>
          <w:bCs/>
          <w:sz w:val="19"/>
          <w:szCs w:val="19"/>
        </w:rPr>
        <w:t xml:space="preserve">Temporal relationship: </w:t>
      </w:r>
      <w:r>
        <w:rPr>
          <w:rFonts w:ascii="Arial" w:cs="Arial" w:eastAsia="Arial" w:hAnsi="Arial"/>
          <w:sz w:val="19"/>
          <w:szCs w:val="19"/>
        </w:rPr>
        <w:t xml:space="preserve">the rash began one day after the drug was started.</w:t>
      </w:r>
    </w:p>
    <w:p>
      <w:pPr>
        <w:spacing w:after="40" w:before="0"/>
      </w:pPr>
      <w:r>
        <w:rPr>
          <w:rFonts w:ascii="Arial" w:cs="Arial" w:eastAsia="Arial" w:hAnsi="Arial"/>
          <w:b/>
          <w:bCs/>
          <w:sz w:val="19"/>
          <w:szCs w:val="19"/>
        </w:rPr>
        <w:t xml:space="preserve">Dechallenge: </w:t>
      </w:r>
      <w:r>
        <w:rPr>
          <w:rFonts w:ascii="Arial" w:cs="Arial" w:eastAsia="Arial" w:hAnsi="Arial"/>
          <w:sz w:val="19"/>
          <w:szCs w:val="19"/>
        </w:rPr>
        <w:t xml:space="preserve">the rash resolved when the dose was lowered.</w:t>
      </w:r>
    </w:p>
    <w:p>
      <w:pPr>
        <w:spacing w:after="40" w:before="0"/>
      </w:pPr>
      <w:r>
        <w:rPr>
          <w:rFonts w:ascii="Arial" w:cs="Arial" w:eastAsia="Arial" w:hAnsi="Arial"/>
          <w:b/>
          <w:bCs/>
          <w:sz w:val="19"/>
          <w:szCs w:val="19"/>
        </w:rPr>
        <w:t xml:space="preserve">Rechallenge: </w:t>
      </w:r>
      <w:r>
        <w:rPr>
          <w:rFonts w:ascii="Arial" w:cs="Arial" w:eastAsia="Arial" w:hAnsi="Arial"/>
          <w:sz w:val="19"/>
          <w:szCs w:val="19"/>
        </w:rPr>
        <w:t xml:space="preserve">the rash returned, in a more generalized form, when the full dose was restored.</w:t>
      </w:r>
    </w:p>
    <w:p>
      <w:pPr>
        <w:spacing w:after="80" w:before="0"/>
      </w:pPr>
      <w:r>
        <w:rPr>
          <w:rFonts w:ascii="Arial" w:cs="Arial" w:eastAsia="Arial" w:hAnsi="Arial"/>
          <w:b/>
          <w:bCs/>
          <w:sz w:val="19"/>
          <w:szCs w:val="19"/>
        </w:rPr>
        <w:t xml:space="preserve">Alternative causes: </w:t>
      </w:r>
      <w:r>
        <w:rPr>
          <w:rFonts w:ascii="Arial" w:cs="Arial" w:eastAsia="Arial" w:hAnsi="Arial"/>
          <w:sz w:val="19"/>
          <w:szCs w:val="19"/>
        </w:rPr>
        <w:t xml:space="preserve">none are described in the case.</w:t>
      </w:r>
    </w:p>
    <w:p>
      <w:pPr>
        <w:spacing w:after="100" w:before="200"/>
      </w:pPr>
      <w:r>
        <w:rPr>
          <w:rFonts w:ascii="Arial" w:cs="Arial" w:eastAsia="Arial" w:hAnsi="Arial"/>
          <w:b/>
          <w:bCs/>
          <w:color w:val="1F3864"/>
          <w:sz w:val="24"/>
          <w:szCs w:val="24"/>
        </w:rPr>
        <w:t xml:space="preserve">3. Naranjo Adverse Drug Reaction Probability Scale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3400"/>
        <w:gridCol w:w="800"/>
        <w:gridCol w:w="1360"/>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No.</w:t>
            </w:r>
          </w:p>
        </w:tc>
        <w:tc>
          <w:tcPr>
            <w:tcW w:type="dxa" w:w="4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Question</w:t>
            </w:r>
          </w:p>
        </w:tc>
        <w:tc>
          <w:tcPr>
            <w:tcW w:type="dxa" w:w="3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Answer and reasoning</w:t>
            </w:r>
          </w:p>
        </w:tc>
        <w:tc>
          <w:tcPr>
            <w:tcW w:type="dxa" w:w="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Score</w:t>
            </w:r>
          </w:p>
        </w:tc>
        <w:tc>
          <w:tcPr>
            <w:tcW w:type="dxa" w:w="13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Options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Are there previous conclusive reports on this reaction?</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skin rash/itching is a well-documented reaction to amoxicillin.</w:t>
            </w:r>
          </w:p>
        </w:tc>
        <w:tc>
          <w:tcPr>
            <w:tcW w:type="dxa" w:w="8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jc w:val="center"/>
            </w:pPr>
            <w:r>
              <w:rPr>
                <w:rFonts w:ascii="Arial" w:cs="Arial" w:eastAsia="Arial" w:hAnsi="Arial"/>
                <w:b/>
                <w:bCs/>
                <w:sz w:val="17"/>
                <w:szCs w:val="17"/>
              </w:rPr>
              <w:t xml:space="preserve">+1</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Did the adverse event appear after the suspected drug was administered?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itchy rashes appeared on 02-Jun, one day after starting amoxicillin (01-Jun).</w:t>
            </w:r>
          </w:p>
        </w:tc>
        <w:tc>
          <w:tcPr>
            <w:tcW w:type="dxa" w:w="8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jc w:val="center"/>
            </w:pPr>
            <w:r>
              <w:rPr>
                <w:rFonts w:ascii="Arial" w:cs="Arial" w:eastAsia="Arial" w:hAnsi="Arial"/>
                <w:b/>
                <w:bCs/>
                <w:sz w:val="17"/>
                <w:szCs w:val="17"/>
              </w:rPr>
              <w:t xml:space="preserve">+2</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+2 / No −1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Did the adverse reaction improve when the drug was discontinued or a specific antagonist was administered?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after the dose was reduced on 03-Jun, the rash disappeared on 04-Jun.</w:t>
            </w:r>
          </w:p>
        </w:tc>
        <w:tc>
          <w:tcPr>
            <w:tcW w:type="dxa" w:w="8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jc w:val="center"/>
            </w:pPr>
            <w:r>
              <w:rPr>
                <w:rFonts w:ascii="Arial" w:cs="Arial" w:eastAsia="Arial" w:hAnsi="Arial"/>
                <w:b/>
                <w:bCs/>
                <w:sz w:val="17"/>
                <w:szCs w:val="17"/>
              </w:rPr>
              <w:t xml:space="preserve">+1</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Did the adverse event reappear when the drug was re-administered?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when the dose was raised back to 500 mg on 05-Jun, generalized itchy rashes reappeared on 06-Jun.</w:t>
            </w:r>
          </w:p>
        </w:tc>
        <w:tc>
          <w:tcPr>
            <w:tcW w:type="dxa" w:w="8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jc w:val="center"/>
            </w:pPr>
            <w:r>
              <w:rPr>
                <w:rFonts w:ascii="Arial" w:cs="Arial" w:eastAsia="Arial" w:hAnsi="Arial"/>
                <w:b/>
                <w:bCs/>
                <w:sz w:val="17"/>
                <w:szCs w:val="17"/>
              </w:rPr>
              <w:t xml:space="preserve">+2</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+2 / No −1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Are there alternative causes (other than the drug) that could on their own have caused the reaction?</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known – no other cause is mentioned in the case.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jc w:val="center"/>
            </w:pPr>
            <w:r>
              <w:rPr>
                <w:rFonts w:ascii="Arial" w:cs="Arial" w:eastAsia="Arial" w:hAnsi="Arial"/>
                <w:b/>
                <w:bCs/>
                <w:sz w:val="17"/>
                <w:szCs w:val="17"/>
              </w:rPr>
              <w:t xml:space="preserve">0</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+2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Did the reaction reappear when a placebo was given?</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done.</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jc w:val="center"/>
            </w:pPr>
            <w:r>
              <w:rPr>
                <w:rFonts w:ascii="Arial" w:cs="Arial" w:eastAsia="Arial" w:hAnsi="Arial"/>
                <w:b/>
                <w:bCs/>
                <w:sz w:val="17"/>
                <w:szCs w:val="17"/>
              </w:rPr>
              <w:t xml:space="preserve">0</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+1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Was the drug detected in blood (or other fluids) in toxic concentrations?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measured.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jc w:val="center"/>
            </w:pPr>
            <w:r>
              <w:rPr>
                <w:rFonts w:ascii="Arial" w:cs="Arial" w:eastAsia="Arial" w:hAnsi="Arial"/>
                <w:b/>
                <w:bCs/>
                <w:sz w:val="17"/>
                <w:szCs w:val="17"/>
              </w:rPr>
              <w:t xml:space="preserve">0</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Was the reaction more severe when the dose was increased, or less severe when it was decreased?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 the rash cleared at 250 mg and returned, now generalized, at 500 mg.</w:t>
            </w:r>
          </w:p>
        </w:tc>
        <w:tc>
          <w:tcPr>
            <w:tcW w:type="dxa" w:w="8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jc w:val="center"/>
            </w:pPr>
            <w:r>
              <w:rPr>
                <w:rFonts w:ascii="Arial" w:cs="Arial" w:eastAsia="Arial" w:hAnsi="Arial"/>
                <w:b/>
                <w:bCs/>
                <w:sz w:val="17"/>
                <w:szCs w:val="17"/>
              </w:rPr>
              <w:t xml:space="preserve">+1</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Did the patient have a similar reaction to the same or similar drugs in any previous exposure?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known – no previous exposure is mentioned.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jc w:val="center"/>
            </w:pPr>
            <w:r>
              <w:rPr>
                <w:rFonts w:ascii="Arial" w:cs="Arial" w:eastAsia="Arial" w:hAnsi="Arial"/>
                <w:b/>
                <w:bCs/>
                <w:sz w:val="17"/>
                <w:szCs w:val="17"/>
              </w:rPr>
              <w:t xml:space="preserve">0</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Was the adverse event confirmed by any objective evidence?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Not available – no objective confirmation is mentioned.</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jc w:val="center"/>
            </w:pPr>
            <w:r>
              <w:rPr>
                <w:rFonts w:ascii="Arial" w:cs="Arial" w:eastAsia="Arial" w:hAnsi="Arial"/>
                <w:b/>
                <w:bCs/>
                <w:sz w:val="17"/>
                <w:szCs w:val="17"/>
              </w:rPr>
              <w:t xml:space="preserve">0</w:t>
            </w:r>
          </w:p>
        </w:tc>
        <w:tc>
          <w:tcPr>
            <w:tcW w:type="dxa" w:w="13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Yes +1 / No 0 / DNK 0</w:t>
            </w:r>
          </w:p>
        </w:tc>
      </w:tr>
      <w:tr>
        <w:tc>
          <w:tcPr>
            <w:tcW w:type="dxa" w:w="8200"/>
            <w:gridSpan w:val="3"/>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jc w:val="right"/>
            </w:pPr>
            <w:r>
              <w:rPr>
                <w:rFonts w:ascii="Arial" w:cs="Arial" w:eastAsia="Arial" w:hAnsi="Arial"/>
                <w:b/>
                <w:bCs/>
                <w:sz w:val="18"/>
                <w:szCs w:val="18"/>
              </w:rPr>
              <w:t xml:space="preserve">TOTAL SCORE</w:t>
            </w:r>
          </w:p>
        </w:tc>
        <w:tc>
          <w:tcPr>
            <w:tcW w:type="dxa" w:w="8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jc w:val="center"/>
            </w:pPr>
            <w:r>
              <w:rPr>
                <w:rFonts w:ascii="Arial" w:cs="Arial" w:eastAsia="Arial" w:hAnsi="Arial"/>
                <w:b/>
                <w:bCs/>
                <w:sz w:val="20"/>
                <w:szCs w:val="20"/>
              </w:rPr>
              <w:t xml:space="preserve">7</w:t>
            </w:r>
          </w:p>
        </w:tc>
        <w:tc>
          <w:tcPr>
            <w:tcW w:type="dxa" w:w="136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Probable</w:t>
            </w:r>
          </w:p>
        </w:tc>
      </w:tr>
    </w:tbl>
    <w:p>
      <w:pPr>
        <w:spacing w:after="80" w:before="60"/>
      </w:pPr>
      <w:r>
        <w:rPr>
          <w:rFonts w:ascii="Arial" w:cs="Arial" w:eastAsia="Arial" w:hAnsi="Arial"/>
          <w:i/>
          <w:iCs/>
          <w:sz w:val="16"/>
          <w:szCs w:val="16"/>
        </w:rPr>
        <w:t xml:space="preserve">DNK = Do not know. Reference: Naranjo CA et al. Clin Pharmacol Ther 1981; 30: 239–245.</w:t>
      </w:r>
    </w:p>
    <w:p>
      <w:pPr>
        <w:spacing w:after="100" w:before="200"/>
      </w:pPr>
      <w:r>
        <w:rPr>
          <w:rFonts w:ascii="Arial" w:cs="Arial" w:eastAsia="Arial" w:hAnsi="Arial"/>
          <w:b/>
          <w:bCs/>
          <w:color w:val="1F3864"/>
          <w:sz w:val="24"/>
          <w:szCs w:val="24"/>
        </w:rPr>
        <w:t xml:space="preserve">4. Interpretation of the Naranjo score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8"/>
                <w:szCs w:val="18"/>
              </w:rPr>
              <w:t xml:space="preserve">Causality</w:t>
            </w:r>
          </w:p>
        </w:tc>
        <w:tc>
          <w:tcPr>
            <w:tcW w:type="dxa" w:w="20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8"/>
                <w:szCs w:val="18"/>
              </w:rPr>
              <w:t xml:space="preserve">Score</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Definite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 9</w:t>
            </w:r>
          </w:p>
        </w:tc>
      </w:tr>
      <w:tr>
        <w:tc>
          <w:tcPr>
            <w:tcW w:type="dxa" w:w="20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Probable</w:t>
            </w:r>
          </w:p>
        </w:tc>
        <w:tc>
          <w:tcPr>
            <w:tcW w:type="dxa" w:w="20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pPr>
            <w:r>
              <w:rPr>
                <w:rFonts w:ascii="Arial" w:cs="Arial" w:eastAsia="Arial" w:hAnsi="Arial"/>
                <w:b/>
                <w:bCs/>
                <w:sz w:val="18"/>
                <w:szCs w:val="18"/>
              </w:rPr>
              <w:t xml:space="preserve">5 – 8   ◄ (7)</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Possible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1 – 4</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Doubtful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8"/>
                <w:szCs w:val="18"/>
              </w:rPr>
              <w:t xml:space="preserve">0</w:t>
            </w:r>
          </w:p>
        </w:tc>
      </w:tr>
    </w:tbl>
    <w:p>
      <w:pPr>
        <w:spacing w:after="80" w:before="100"/>
      </w:pPr>
      <w:r>
        <w:rPr>
          <w:rFonts w:ascii="Arial" w:cs="Arial" w:eastAsia="Arial" w:hAnsi="Arial"/>
          <w:b/>
          <w:bCs/>
          <w:sz w:val="19"/>
          <w:szCs w:val="19"/>
        </w:rPr>
        <w:t xml:space="preserve">The total score is 7, which falls in the Probable range (5–8).</w:t>
      </w:r>
    </w:p>
    <w:p>
      <w:pPr>
        <w:spacing w:after="100" w:before="200"/>
      </w:pPr>
      <w:r>
        <w:rPr>
          <w:rFonts w:ascii="Arial" w:cs="Arial" w:eastAsia="Arial" w:hAnsi="Arial"/>
          <w:b/>
          <w:bCs/>
          <w:color w:val="1F3864"/>
          <w:sz w:val="24"/>
          <w:szCs w:val="24"/>
        </w:rPr>
        <w:t xml:space="preserve">5. WHO-UMC causality assessment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8160"/>
      </w:tblGrid>
      <w:tr>
        <w:tc>
          <w:tcPr>
            <w:tcW w:type="dxa" w:w="22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Causality term</w:t>
            </w:r>
          </w:p>
        </w:tc>
        <w:tc>
          <w:tcPr>
            <w:tcW w:type="dxa" w:w="81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Assessment criteria (WHO-UMC)</w:t>
            </w:r>
          </w:p>
        </w:tc>
      </w:tr>
      <w:tr>
        <w:tc>
          <w:tcPr>
            <w:tcW w:type="dxa" w:w="22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Certain</w:t>
            </w:r>
          </w:p>
        </w:tc>
        <w:tc>
          <w:tcPr>
            <w:tcW w:type="dxa" w:w="81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Plausible time relationship; cannot be explained by disease or other drugs; response to withdrawal plausible; event definitive pharmacologically; rechallenge satisfactory, if necessary.</w:t>
            </w:r>
          </w:p>
        </w:tc>
      </w:tr>
      <w:tr>
        <w:tc>
          <w:tcPr>
            <w:tcW w:type="dxa" w:w="220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Probable / Likely</w:t>
            </w:r>
          </w:p>
        </w:tc>
        <w:tc>
          <w:tcPr>
            <w:tcW w:type="dxa" w:w="8160"/>
            <w:tcBorders>
              <w:top w:val="single" w:color="808080" w:sz="4"/>
              <w:left w:val="single" w:color="808080" w:sz="4"/>
              <w:bottom w:val="single" w:color="808080" w:sz="4"/>
              <w:right w:val="single" w:color="808080" w:sz="4"/>
            </w:tcBorders>
            <w:shd w:fill="E8F5E9" w:color="auto" w:val="clear"/>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Reasonable time relationship; unlikely to be attributed to disease or other drugs; response to withdrawal clinically reasonable; rechallenge not required.</w:t>
            </w:r>
          </w:p>
        </w:tc>
      </w:tr>
      <w:tr>
        <w:tc>
          <w:tcPr>
            <w:tcW w:type="dxa" w:w="22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Possible</w:t>
            </w:r>
          </w:p>
        </w:tc>
        <w:tc>
          <w:tcPr>
            <w:tcW w:type="dxa" w:w="81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Reasonable time relationship; could also be explained by disease or other drugs; information on withdrawal may be lacking or unclear.</w:t>
            </w:r>
          </w:p>
        </w:tc>
      </w:tr>
      <w:tr>
        <w:tc>
          <w:tcPr>
            <w:tcW w:type="dxa" w:w="22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Unlikely</w:t>
            </w:r>
          </w:p>
        </w:tc>
        <w:tc>
          <w:tcPr>
            <w:tcW w:type="dxa" w:w="81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Time to drug intake makes a relationship improbable; disease or other drugs provide plausible explanations.</w:t>
            </w:r>
          </w:p>
        </w:tc>
      </w:tr>
      <w:tr>
        <w:tc>
          <w:tcPr>
            <w:tcW w:type="dxa" w:w="22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Conditional / Unclassified</w:t>
            </w:r>
          </w:p>
        </w:tc>
        <w:tc>
          <w:tcPr>
            <w:tcW w:type="dxa" w:w="81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More data needed for proper assessment, or additional data under examination.</w:t>
            </w:r>
          </w:p>
        </w:tc>
      </w:tr>
      <w:tr>
        <w:tc>
          <w:tcPr>
            <w:tcW w:type="dxa" w:w="2200"/>
            <w:tcBorders>
              <w:top w:val="single" w:color="808080" w:sz="4"/>
              <w:left w:val="single" w:color="808080" w:sz="4"/>
              <w:bottom w:val="single" w:color="808080" w:sz="4"/>
              <w:right w:val="single" w:color="808080" w:sz="4"/>
            </w:tcBorders>
            <w:shd w:fill="EDF1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Unassessable / Unclassifiable</w:t>
            </w:r>
          </w:p>
        </w:tc>
        <w:tc>
          <w:tcPr>
            <w:tcW w:type="dxa" w:w="81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Information insufficient or contradictory and cannot be supplemented or verified.</w:t>
            </w:r>
          </w:p>
        </w:tc>
      </w:tr>
    </w:tbl>
    <w:p>
      <w:pPr>
        <w:spacing w:after="80" w:before="100"/>
      </w:pPr>
      <w:r>
        <w:rPr>
          <w:rFonts w:ascii="Arial" w:cs="Arial" w:eastAsia="Arial" w:hAnsi="Arial"/>
          <w:sz w:val="19"/>
          <w:szCs w:val="19"/>
        </w:rPr>
        <w:t xml:space="preserve">The reaction is classified as Probable / Likely: the time relationship is reasonable, the rash improved on dose reduction, and no other cause is evident. Rechallenge is not required for this category, although here it happened to be positive.</w:t>
      </w:r>
    </w:p>
    <w:p>
      <w:pPr>
        <w:spacing w:after="100" w:before="200"/>
      </w:pPr>
      <w:r>
        <w:rPr>
          <w:rFonts w:ascii="Arial" w:cs="Arial" w:eastAsia="Arial" w:hAnsi="Arial"/>
          <w:b/>
          <w:bCs/>
          <w:color w:val="1F3864"/>
          <w:sz w:val="24"/>
          <w:szCs w:val="24"/>
        </w:rPr>
        <w:t xml:space="preserve">6. Conclusion</w:t>
      </w:r>
    </w:p>
    <w:p>
      <w:pPr>
        <w:spacing w:after="80" w:before="0"/>
      </w:pPr>
      <w:r>
        <w:rPr>
          <w:rFonts w:ascii="Arial" w:cs="Arial" w:eastAsia="Arial" w:hAnsi="Arial"/>
          <w:b/>
          <w:bCs/>
          <w:color w:val="1F3864"/>
          <w:sz w:val="19"/>
          <w:szCs w:val="19"/>
        </w:rPr>
        <w:t xml:space="preserve">Causality: PROBABLE. </w:t>
      </w:r>
      <w:r>
        <w:rPr>
          <w:rFonts w:ascii="Arial" w:cs="Arial" w:eastAsia="Arial" w:hAnsi="Arial"/>
          <w:sz w:val="19"/>
          <w:szCs w:val="19"/>
        </w:rPr>
        <w:t xml:space="preserve">Amoxicillin is the probable cause of the itchy skin rash in this patient (Naranjo score 7; WHO-UMC Probable/Likely). The reaction is a Type B (hypersensitivity) reaction and should be reported to the pharmacovigilance centre. The prescriber should consider an alternative antibiotic for the throat infection.</w:t>
      </w:r>
    </w:p>
    <w:sectPr>
      <w:pgSz w:w="11906" w:h="16838" w:orient="portrait"/>
      <w:pgMar w:top="850" w:right="770" w:bottom="850" w:left="7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2026-10-24T10:46:21.971Z</dcterms:created>
  <dcterms:modified xsi:type="dcterms:W3CDTF">2026-10-24T10:46:21.982Z</dcterms:modified>
</cp:coreProperties>
</file>

<file path=docProps/custom.xml><?xml version="1.0" encoding="utf-8"?>
<Properties xmlns="http://schemas.openxmlformats.org/officeDocument/2006/custom-properties" xmlns:vt="http://schemas.openxmlformats.org/officeDocument/2006/docPropsVTypes"/>
</file>