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2"/>
          <w:szCs w:val="32"/>
        </w:rPr>
        <w:t xml:space="preserve">INDIVIDUAL CASE SAFETY REPORT (ICSR)</w:t>
      </w:r>
    </w:p>
    <w:p>
      <w:pPr>
        <w:spacing w:after="140" w:before="0"/>
        <w:jc w:val="center"/>
      </w:pPr>
      <w:r>
        <w:rPr>
          <w:rFonts w:ascii="Arial" w:cs="Arial" w:eastAsia="Arial" w:hAnsi="Arial"/>
          <w:i/>
          <w:iCs/>
          <w:sz w:val="20"/>
          <w:szCs w:val="20"/>
        </w:rPr>
        <w:t xml:space="preserve">Pharmacovigilance Case Assessment – Drug Safety Associate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300"/>
        <w:gridCol w:w="7060"/>
      </w:tblGrid>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Case description</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Spontaneous report of itching and skin rash in a patient taking Amoxicillin for acute bacterial sinusitis.</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Report type / source</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Initial report; Spontaneous (unsolicited), reported by a healthcare professional</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Date received (Day 0)</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[dd/mm/yy]</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Prepared by</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[Your Name], Drug Safety Associate (Intern)</w:t>
            </w:r>
          </w:p>
        </w:tc>
      </w:tr>
    </w:tbl>
    <w:p>
      <w:pPr>
        <w:spacing w:after="80" w:before="160"/>
      </w:pPr>
      <w:r>
        <w:rPr>
          <w:rFonts w:ascii="Arial" w:cs="Arial" w:eastAsia="Arial" w:hAnsi="Arial"/>
          <w:b/>
          <w:bCs/>
          <w:color w:val="1F3864"/>
          <w:sz w:val="24"/>
          <w:szCs w:val="24"/>
        </w:rPr>
        <w:t xml:space="preserve">1. ADR Identification</w:t>
      </w:r>
    </w:p>
    <w:p>
      <w:pPr>
        <w:spacing w:after="80" w:before="0"/>
      </w:pPr>
      <w:r>
        <w:rPr>
          <w:rFonts w:ascii="Arial" w:cs="Arial" w:eastAsia="Arial" w:hAnsi="Arial"/>
          <w:sz w:val="19"/>
          <w:szCs w:val="19"/>
        </w:rPr>
        <w:t xml:space="preserve">The reported event was assessed against the four minimum criteria for a valid ICSR: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560"/>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Validity criterion</w:t>
            </w:r>
          </w:p>
        </w:tc>
        <w:tc>
          <w:tcPr>
            <w:tcW w:type="dxa" w:w="32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Information in case</w:t>
            </w:r>
          </w:p>
        </w:tc>
        <w:tc>
          <w:tcPr>
            <w:tcW w:type="dxa" w:w="45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Status</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Identifiable patient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Patient initials R.P., male, 32 years, 65 kg</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Met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Identifiable reporter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Healthcare professional (name and address on report)</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Met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Suspect drug</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Amoxicillin 500 mg tablet, oral, TID</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Met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Adverse event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Generalized itching and skin rashes over the chest</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Met</w:t>
            </w:r>
          </w:p>
        </w:tc>
      </w:tr>
    </w:tbl>
    <w:p>
      <w:pPr>
        <w:spacing w:after="80" w:before="80"/>
      </w:pPr>
      <w:r>
        <w:rPr>
          <w:rFonts w:ascii="Arial" w:cs="Arial" w:eastAsia="Arial" w:hAnsi="Arial"/>
          <w:b/>
          <w:bCs/>
          <w:sz w:val="19"/>
          <w:szCs w:val="19"/>
        </w:rPr>
        <w:t xml:space="preserve">Conclusion: all four criteria are met, so this is a VALID ICSR. It is entered into the safety database after a duplicate check (none found).</w:t>
      </w:r>
    </w:p>
    <w:p>
      <w:pPr>
        <w:spacing w:after="80" w:before="0"/>
      </w:pPr>
      <w:r>
        <w:rPr>
          <w:rFonts w:ascii="Arial" w:cs="Arial" w:eastAsia="Arial" w:hAnsi="Arial"/>
          <w:b/>
          <w:bCs/>
          <w:sz w:val="19"/>
          <w:szCs w:val="19"/>
        </w:rPr>
        <w:t xml:space="preserve">Identified ADR: </w:t>
      </w:r>
      <w:r>
        <w:rPr>
          <w:rFonts w:ascii="Arial" w:cs="Arial" w:eastAsia="Arial" w:hAnsi="Arial"/>
          <w:sz w:val="19"/>
          <w:szCs w:val="19"/>
        </w:rPr>
        <w:t xml:space="preserve">pruritus and skin rash, a suspected hypersensitivity reaction to Amoxicillin. Type B (unpredictable, not dose dependent).</w:t>
      </w:r>
    </w:p>
    <w:p>
      <w:pPr>
        <w:spacing w:after="80" w:before="160"/>
      </w:pPr>
      <w:r>
        <w:rPr>
          <w:rFonts w:ascii="Arial" w:cs="Arial" w:eastAsia="Arial" w:hAnsi="Arial"/>
          <w:b/>
          <w:bCs/>
          <w:color w:val="1F3864"/>
          <w:sz w:val="24"/>
          <w:szCs w:val="24"/>
        </w:rPr>
        <w:t xml:space="preserve">2. ICSR – Case Details</w:t>
      </w:r>
    </w:p>
    <w:p>
      <w:pPr>
        <w:spacing w:after="40" w:before="0"/>
      </w:pPr>
      <w:r>
        <w:rPr>
          <w:rFonts w:ascii="Arial" w:cs="Arial" w:eastAsia="Arial" w:hAnsi="Arial"/>
          <w:b/>
          <w:bCs/>
          <w:sz w:val="19"/>
          <w:szCs w:val="19"/>
        </w:rPr>
        <w:t xml:space="preserve">A. Patient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300"/>
        <w:gridCol w:w="7060"/>
      </w:tblGrid>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Initials / Sex / Age / Weight</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R.P. / Male / 32 years / 65 kg</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Medical and drug history</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No history of allergy. No family history of diabetes or hypertension.</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Concomitant medication</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None reported</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Relevant tests</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None reported</w:t>
            </w:r>
          </w:p>
        </w:tc>
      </w:tr>
    </w:tbl>
    <w:p>
      <w:pPr>
        <w:spacing w:after="60" w:before="0"/>
      </w:pPr>
      <w:r>
        <w:rPr>
          <w:rFonts w:ascii="Arial" w:cs="Arial" w:eastAsia="Arial" w:hAnsi="Arial"/>
          <w:sz w:val="19"/>
          <w:szCs w:val="19"/>
        </w:rPr>
        <w:t xml:space="preserve"/>
      </w:r>
    </w:p>
    <w:p>
      <w:pPr>
        <w:spacing w:after="40" w:before="0"/>
      </w:pPr>
      <w:r>
        <w:rPr>
          <w:rFonts w:ascii="Arial" w:cs="Arial" w:eastAsia="Arial" w:hAnsi="Arial"/>
          <w:b/>
          <w:bCs/>
          <w:sz w:val="19"/>
          <w:szCs w:val="19"/>
        </w:rPr>
        <w:t xml:space="preserve">B. Suspect drug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300"/>
        <w:gridCol w:w="7060"/>
      </w:tblGrid>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Drug (generic)</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Amoxicillin (tablet)</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Dose / route / frequency</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500 mg / Oral / Three times a day (TID)</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Indication</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Acute bacterial sinusitis</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Therapy start / stop</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01/03/26 – 03/03/26 (3 days)</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Manufacturer / batch / expiry</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Not known</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Action taken with drug</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Drug withdrawn</w:t>
            </w:r>
          </w:p>
        </w:tc>
      </w:tr>
    </w:tbl>
    <w:p>
      <w:pPr>
        <w:spacing w:after="60" w:before="0"/>
      </w:pPr>
      <w:r>
        <w:rPr>
          <w:rFonts w:ascii="Arial" w:cs="Arial" w:eastAsia="Arial" w:hAnsi="Arial"/>
          <w:sz w:val="19"/>
          <w:szCs w:val="19"/>
        </w:rPr>
        <w:t xml:space="preserve"/>
      </w:r>
    </w:p>
    <w:p>
      <w:pPr>
        <w:spacing w:after="40" w:before="0"/>
      </w:pPr>
      <w:r>
        <w:rPr>
          <w:rFonts w:ascii="Arial" w:cs="Arial" w:eastAsia="Arial" w:hAnsi="Arial"/>
          <w:b/>
          <w:bCs/>
          <w:sz w:val="19"/>
          <w:szCs w:val="19"/>
        </w:rPr>
        <w:t xml:space="preserve">C. Adverse event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300"/>
        <w:gridCol w:w="7060"/>
      </w:tblGrid>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Event</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Generalized itching and skin rashes over the chest</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Onset date</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03/03/26 (2 days after starting the drug)</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Treatment of event</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Antihistaminics</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Dechallenge</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Positive – reaction abated after the drug was stopped</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Rechallenge</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Not done</w:t>
            </w:r>
          </w:p>
        </w:tc>
      </w:tr>
      <w:tr>
        <w:tc>
          <w:tcPr>
            <w:tcW w:type="dxa" w:w="33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Outcome</w:t>
            </w:r>
          </w:p>
        </w:tc>
        <w:tc>
          <w:tcPr>
            <w:tcW w:type="dxa" w:w="7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sz w:val="18"/>
                <w:szCs w:val="18"/>
              </w:rPr>
              <w:t xml:space="preserve">Recovered / resolved on 06/03/26</w:t>
            </w:r>
          </w:p>
        </w:tc>
      </w:tr>
    </w:tbl>
    <w:p>
      <w:pPr>
        <w:spacing w:after="60" w:before="0"/>
      </w:pPr>
      <w:r>
        <w:rPr>
          <w:rFonts w:ascii="Arial" w:cs="Arial" w:eastAsia="Arial" w:hAnsi="Arial"/>
          <w:sz w:val="19"/>
          <w:szCs w:val="19"/>
        </w:rPr>
        <w:t xml:space="preserve"/>
      </w:r>
    </w:p>
    <w:p>
      <w:pPr>
        <w:spacing w:after="40" w:before="0"/>
      </w:pPr>
      <w:r>
        <w:rPr>
          <w:rFonts w:ascii="Arial" w:cs="Arial" w:eastAsia="Arial" w:hAnsi="Arial"/>
          <w:b/>
          <w:bCs/>
          <w:sz w:val="19"/>
          <w:szCs w:val="19"/>
        </w:rPr>
        <w:t xml:space="preserve">D. Coding of medical terms and drugs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760"/>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Reported term</w:t>
            </w:r>
          </w:p>
        </w:tc>
        <w:tc>
          <w:tcPr>
            <w:tcW w:type="dxa" w:w="28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MedDRA preferred term (PT)</w:t>
            </w:r>
          </w:p>
        </w:tc>
        <w:tc>
          <w:tcPr>
            <w:tcW w:type="dxa" w:w="2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MedDRA SOC</w:t>
            </w:r>
          </w:p>
        </w:tc>
        <w:tc>
          <w:tcPr>
            <w:tcW w:type="dxa" w:w="27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WHO-DD / note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Itching</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Pruritus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Skin and subcutaneous tissue disorders</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Skin rashes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Rash</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Skin and subcutaneous tissue disorders</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Acute bacterial sinusitis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Sinusitis bacterial</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Infections and infestations</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Indication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Amoxicillin</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Amoxicillin (ATC J01CA04)</w:t>
            </w:r>
          </w:p>
        </w:tc>
      </w:tr>
    </w:tbl>
    <w:p>
      <w:pPr>
        <w:spacing w:after="60" w:before="0"/>
      </w:pPr>
      <w:r>
        <w:rPr>
          <w:rFonts w:ascii="Arial" w:cs="Arial" w:eastAsia="Arial" w:hAnsi="Arial"/>
          <w:sz w:val="19"/>
          <w:szCs w:val="19"/>
        </w:rPr>
        <w:t xml:space="preserve"/>
      </w:r>
    </w:p>
    <w:p>
      <w:pPr>
        <w:spacing w:after="40" w:before="0"/>
      </w:pPr>
      <w:r>
        <w:rPr>
          <w:rFonts w:ascii="Arial" w:cs="Arial" w:eastAsia="Arial" w:hAnsi="Arial"/>
          <w:b/>
          <w:bCs/>
          <w:sz w:val="19"/>
          <w:szCs w:val="19"/>
        </w:rPr>
        <w:t xml:space="preserve">E. Case narrative</w:t>
      </w:r>
    </w:p>
    <w:p>
      <w:pPr>
        <w:spacing w:after="80" w:before="0"/>
      </w:pPr>
      <w:r>
        <w:rPr>
          <w:rFonts w:ascii="Arial" w:cs="Arial" w:eastAsia="Arial" w:hAnsi="Arial"/>
          <w:sz w:val="19"/>
          <w:szCs w:val="19"/>
        </w:rPr>
        <w:t xml:space="preserve">A spontaneous report was received from a healthcare professional regarding a 32-year-old male patient (initials R.P., 65 kg) with no history of allergy. The patient was prescribed Amoxicillin 500 mg orally three times a day for acute bacterial sinusitis, started on 01/03/26. On 03/03/26 he developed generalized itching and skin rashes over the chest. Amoxicillin was withdrawn on the same day and the patient was treated with antihistaminics. The reaction abated after withdrawal and the patient recovered on 06/03/26. No concomitant medications were reported and the drug was not re-administered. The reporter considers the event to be probably related to Amoxicillin.</w:t>
      </w:r>
    </w:p>
    <w:p>
      <w:pPr>
        <w:spacing w:after="80" w:before="0"/>
      </w:pPr>
      <w:r>
        <w:rPr>
          <w:rFonts w:ascii="Arial" w:cs="Arial" w:eastAsia="Arial" w:hAnsi="Arial"/>
          <w:b/>
          <w:bCs/>
          <w:sz w:val="19"/>
          <w:szCs w:val="19"/>
        </w:rPr>
        <w:t xml:space="preserve">Company comment: </w:t>
      </w:r>
      <w:r>
        <w:rPr>
          <w:rFonts w:ascii="Arial" w:cs="Arial" w:eastAsia="Arial" w:hAnsi="Arial"/>
          <w:sz w:val="19"/>
          <w:szCs w:val="19"/>
        </w:rPr>
        <w:t xml:space="preserve">The event is a labelled hypersensitivity reaction to Amoxicillin, with a plausible time relationship and positive dechallenge. No alternative cause was identified.</w:t>
      </w:r>
    </w:p>
    <w:p>
      <w:pPr>
        <w:spacing w:after="80" w:before="160"/>
      </w:pPr>
      <w:r>
        <w:rPr>
          <w:rFonts w:ascii="Arial" w:cs="Arial" w:eastAsia="Arial" w:hAnsi="Arial"/>
          <w:b/>
          <w:bCs/>
          <w:color w:val="1F3864"/>
          <w:sz w:val="24"/>
          <w:szCs w:val="24"/>
        </w:rPr>
        <w:t xml:space="preserve">3. Causality Assessment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3600"/>
        <w:gridCol w:w="700"/>
        <w:gridCol w:w="1260"/>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No.</w:t>
            </w:r>
          </w:p>
        </w:tc>
        <w:tc>
          <w:tcPr>
            <w:tcW w:type="dxa" w:w="43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Naranjo question</w:t>
            </w:r>
          </w:p>
        </w:tc>
        <w:tc>
          <w:tcPr>
            <w:tcW w:type="dxa" w:w="3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Answer in this case</w:t>
            </w:r>
          </w:p>
        </w:tc>
        <w:tc>
          <w:tcPr>
            <w:tcW w:type="dxa" w:w="7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Score</w:t>
            </w:r>
          </w:p>
        </w:tc>
        <w:tc>
          <w:tcPr>
            <w:tcW w:type="dxa" w:w="12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Option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Previous conclusive reports on this reaction?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rash is a known amoxicillin reaction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Event appeared after the suspected drug was given?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2 days after starting</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Improved when drug discontinued?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abated after stopping</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Reappeared when drug re-administered?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re-administered</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0</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DNK</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Alternative causes that could have caused the reaction?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 – no other drugs or cause reported</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Reaction on placebo?</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done</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0</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DNK</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Drug detected in toxic concentration?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measured</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0</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DNK</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More severe with higher dose / less with lower dose?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assessed</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0</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DNK</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Similar reaction on previous exposure?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None known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0</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DNK</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10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Confirmed by objective evidence?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available</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0</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DNK</w:t>
            </w:r>
          </w:p>
        </w:tc>
      </w:tr>
    </w:tbl>
    <w:p>
      <w:pPr>
        <w:spacing w:after="80" w:before="80"/>
      </w:pPr>
      <w:r>
        <w:rPr>
          <w:rFonts w:ascii="Arial" w:cs="Arial" w:eastAsia="Arial" w:hAnsi="Arial"/>
          <w:b/>
          <w:bCs/>
          <w:sz w:val="19"/>
          <w:szCs w:val="19"/>
        </w:rPr>
        <w:t xml:space="preserve">Naranjo total score: 6 → PROBABLE </w:t>
      </w:r>
      <w:r>
        <w:rPr>
          <w:rFonts w:ascii="Arial" w:cs="Arial" w:eastAsia="Arial" w:hAnsi="Arial"/>
          <w:sz w:val="19"/>
          <w:szCs w:val="19"/>
        </w:rPr>
        <w:t xml:space="preserve">(Definite ≥ 9, Probable 5–8, Possible 1–4, Doubtful 0).</w:t>
      </w:r>
    </w:p>
    <w:p>
      <w:pPr>
        <w:spacing w:after="80" w:before="0"/>
      </w:pPr>
      <w:r>
        <w:rPr>
          <w:rFonts w:ascii="Arial" w:cs="Arial" w:eastAsia="Arial" w:hAnsi="Arial"/>
          <w:b/>
          <w:bCs/>
          <w:sz w:val="19"/>
          <w:szCs w:val="19"/>
        </w:rPr>
        <w:t xml:space="preserve">WHO-UMC: PROBABLE / LIKELY </w:t>
      </w:r>
      <w:r>
        <w:rPr>
          <w:rFonts w:ascii="Arial" w:cs="Arial" w:eastAsia="Arial" w:hAnsi="Arial"/>
          <w:sz w:val="19"/>
          <w:szCs w:val="19"/>
        </w:rPr>
        <w:t xml:space="preserve">– reasonable time relationship, unlikely to be due to disease or other drugs, response to withdrawal clinically reasonable, rechallenge not required.</w:t>
      </w:r>
    </w:p>
    <w:p>
      <w:pPr>
        <w:spacing w:after="80" w:before="160"/>
      </w:pPr>
      <w:r>
        <w:rPr>
          <w:rFonts w:ascii="Arial" w:cs="Arial" w:eastAsia="Arial" w:hAnsi="Arial"/>
          <w:b/>
          <w:bCs/>
          <w:color w:val="1F3864"/>
          <w:sz w:val="24"/>
          <w:szCs w:val="24"/>
        </w:rPr>
        <w:t xml:space="preserve">4. Severity and Case Classification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4660"/>
      </w:tblGrid>
      <w:tr>
        <w:trPr>
          <w:tblHeader/>
        </w:trPr>
        <w:tc>
          <w:tcPr>
            <w:tcW w:type="dxa" w:w="33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Parameter</w:t>
            </w:r>
          </w:p>
        </w:tc>
        <w:tc>
          <w:tcPr>
            <w:tcW w:type="dxa" w:w="2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Classification</w:t>
            </w:r>
          </w:p>
        </w:tc>
        <w:tc>
          <w:tcPr>
            <w:tcW w:type="dxa" w:w="46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Reason</w:t>
            </w:r>
          </w:p>
        </w:tc>
      </w:tr>
      <w:t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Seriousness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NON-SERIOUS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 death, life threat, hospitalization, disability or congenital anomaly; recovered with antihistaminics.</w:t>
            </w:r>
          </w:p>
        </w:tc>
      </w:tr>
      <w:t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Expectedness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EXPECTED (listed)</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Rash and pruritus are listed in the Amoxicillin product information.</w:t>
            </w:r>
          </w:p>
        </w:tc>
      </w:tr>
      <w:t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Type of ADR</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Type B</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Unpredictable, hypersensitivity, not dose dependent.</w:t>
            </w:r>
          </w:p>
        </w:tc>
      </w:tr>
      <w:t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Causality</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PROBABLE</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Naranjo 6; WHO-UMC Probable/Likely.</w:t>
            </w:r>
          </w:p>
        </w:tc>
      </w:tr>
      <w:t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Outcome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Recovered</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Resolved on 06/03/26.</w:t>
            </w:r>
          </w:p>
        </w:tc>
      </w:tr>
    </w:tbl>
    <w:p>
      <w:pPr>
        <w:spacing w:after="80" w:before="160"/>
      </w:pPr>
      <w:r>
        <w:rPr>
          <w:rFonts w:ascii="Arial" w:cs="Arial" w:eastAsia="Arial" w:hAnsi="Arial"/>
          <w:b/>
          <w:bCs/>
          <w:color w:val="1F3864"/>
          <w:sz w:val="24"/>
          <w:szCs w:val="24"/>
        </w:rPr>
        <w:t xml:space="preserve">5. Case Processing Workflow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Step</w:t>
            </w:r>
          </w:p>
        </w:tc>
        <w:tc>
          <w:tcPr>
            <w:tcW w:type="dxa" w:w="79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Action for this case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Triage</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Valid ICSR (4 criteria met). No duplicate found. Prioritised as non-serious.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Data entry</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All data entered in the safety database; MedDRA and WHO-DD coding done; narrative and company comment written.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Quality review</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Checked for completeness, accuracy, proper coding, narrative and correct case details.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Medical review</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Physician confirms coding, seriousness, causality and company comment.</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bCs/>
                <w:sz w:val="17"/>
                <w:szCs w:val="17"/>
              </w:rPr>
              <w:t xml:space="preserve">Submission</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Non-serious case: submit to the regulatory authority within 90 days of Day 0.</w:t>
            </w:r>
          </w:p>
        </w:tc>
      </w:tr>
    </w:tbl>
    <w:p>
      <w:pPr>
        <w:spacing w:after="80" w:before="120"/>
      </w:pPr>
      <w:r>
        <w:rPr>
          <w:rFonts w:ascii="Arial" w:cs="Arial" w:eastAsia="Arial" w:hAnsi="Arial"/>
          <w:b/>
          <w:bCs/>
          <w:sz w:val="19"/>
          <w:szCs w:val="19"/>
        </w:rPr>
        <w:t xml:space="preserve">Conclusion: This is a valid, non-serious, expected Type B hypersensitivity reaction (pruritus and rash) probably caused by Amoxicillin, with the patient recovered. It is reportable in the routine 90-day cycle.</w:t>
      </w:r>
    </w:p>
    <w:sectPr>
      <w:pgSz w:w="11906" w:h="16838" w:orient="portrait"/>
      <w:pgMar w:top="600" w:right="770" w:bottom="600" w:left="7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2026-10-24T13:59:17.763Z</dcterms:created>
  <dcterms:modified xsi:type="dcterms:W3CDTF">2026-10-24T13:59:17.763Z</dcterms:modified>
</cp:coreProperties>
</file>

<file path=docProps/custom.xml><?xml version="1.0" encoding="utf-8"?>
<Properties xmlns="http://schemas.openxmlformats.org/officeDocument/2006/custom-properties" xmlns:vt="http://schemas.openxmlformats.org/officeDocument/2006/docPropsVTypes"/>
</file>