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pPr>
      <w:r>
        <w:rPr>
          <w:rFonts w:ascii="Calibri" w:cs="Calibri" w:eastAsia="Calibri" w:hAnsi="Calibri"/>
          <w:b/>
          <w:bCs/>
          <w:color w:val="2C5F2E"/>
          <w:sz w:val="80"/>
          <w:szCs w:val="80"/>
        </w:rPr>
        <w:t xml:space="preserve">SAMRUDO</w:t>
      </w:r>
    </w:p>
    <w:p>
      <w:pPr>
        <w:spacing w:after="200" w:before="0"/>
      </w:pPr>
      <w:r>
        <w:rPr>
          <w:rFonts w:ascii="Calibri" w:cs="Calibri" w:eastAsia="Calibri" w:hAnsi="Calibri"/>
          <w:b/>
          <w:bCs/>
          <w:color w:val="C49B1A"/>
          <w:sz w:val="36"/>
          <w:szCs w:val="36"/>
        </w:rPr>
        <w:t xml:space="preserve">$SMRD</w:t>
      </w:r>
    </w:p>
    <w:p>
      <w:pPr>
        <w:spacing w:after="600" w:before="0"/>
      </w:pPr>
      <w:r>
        <w:rPr>
          <w:rFonts w:ascii="Calibri" w:cs="Calibri" w:eastAsia="Calibri" w:hAnsi="Calibri"/>
          <w:i/>
          <w:iCs/>
          <w:color w:val="444444"/>
          <w:sz w:val="32"/>
          <w:szCs w:val="32"/>
        </w:rPr>
        <w:t xml:space="preserve">India's Global Payment Layer</w:t>
      </w:r>
    </w:p>
    <w:p>
      <w:pPr>
        <w:pBdr>
          <w:bottom w:val="single" w:color="E0DDD4" w:sz="4"/>
        </w:pBdr>
        <w:spacing w:after="200" w:before="200"/>
      </w:pPr>
    </w:p>
    <w:p>
      <w:pPr>
        <w:spacing w:after="120" w:before="400"/>
      </w:pPr>
      <w:r>
        <w:rPr>
          <w:rFonts w:ascii="Calibri" w:cs="Calibri" w:eastAsia="Calibri" w:hAnsi="Calibri"/>
          <w:color w:val="888888"/>
          <w:sz w:val="24"/>
          <w:szCs w:val="24"/>
        </w:rPr>
        <w:t xml:space="preserve">Whitepaper  |  Version 1.0  |  2026</w:t>
      </w:r>
    </w:p>
    <w:p>
      <w:pPr>
        <w:spacing w:after="120" w:before="120"/>
      </w:pPr>
      <w:r>
        <w:rPr>
          <w:rFonts w:ascii="Calibri" w:cs="Calibri" w:eastAsia="Calibri" w:hAnsi="Calibri"/>
          <w:color w:val="444444"/>
          <w:sz w:val="22"/>
          <w:szCs w:val="22"/>
        </w:rPr>
        <w:t xml:space="preserve">Powered by BharatChain — Filling the gaps UPI cannot</w:t>
      </w:r>
    </w:p>
    <w:p>
      <w:pPr>
        <w:spacing w:after="2880" w:before="120"/>
      </w:pPr>
      <w:r>
        <w:rPr>
          <w:rFonts w:ascii="Calibri" w:cs="Calibri" w:eastAsia="Calibri" w:hAnsi="Calibri"/>
          <w:color w:val="4A9B4E"/>
          <w:sz w:val="22"/>
          <w:szCs w:val="22"/>
        </w:rPr>
        <w:t xml:space="preserve">samrudo.io  |  contact@samrudo.io</w:t>
      </w:r>
    </w:p>
    <w:p>
      <w:r>
        <w:br w:type="page"/>
      </w:r>
    </w:p>
    <w:p>
      <w:pPr>
        <w:pStyle w:val="Heading1"/>
        <w:spacing w:after="160" w:before="320"/>
      </w:pPr>
      <w:r>
        <w:t xml:space="preserve">Abstract</w:t>
      </w:r>
      <w:r>
        <w:rPr>
          <w:rFonts w:ascii="Calibri" w:cs="Calibri" w:eastAsia="Calibri" w:hAnsi="Calibri"/>
          <w:b/>
          <w:bCs/>
          <w:color w:val="2C5F2E"/>
          <w:sz w:val="28"/>
          <w:szCs w:val="28"/>
        </w:rPr>
        <w:t xml:space="preserve">Abstract</w:t>
      </w:r>
    </w:p>
    <w:p>
      <w:pPr>
        <w:spacing w:after="180" w:before="100" w:line="340"/>
      </w:pPr>
      <w:r>
        <w:rPr>
          <w:rFonts w:ascii="Calibri" w:cs="Calibri" w:eastAsia="Calibri" w:hAnsi="Calibri"/>
          <w:color w:val="444444"/>
          <w:sz w:val="22"/>
          <w:szCs w:val="22"/>
        </w:rPr>
        <w:t xml:space="preserve">Samrudo ($SMRD) is India's first purpose-built global payment blockchain — designed to do everything UPI does, and everything UPI cannot. Built on BharatChain, a Layer-1 blockchain optimised for India's scale, language diversity, and regulatory environment, Samrudo bridges the ₹135 billion annual remittance gap, enables compliant decentralised finance (DeFi) for 91 million Indian crypto users, and tokenises real-world Indian assets including gold, real estate, and agricultural commodities.</w:t>
      </w:r>
    </w:p>
    <w:p>
      <w:pPr>
        <w:spacing w:after="180" w:before="100" w:line="340"/>
      </w:pPr>
      <w:r>
        <w:rPr>
          <w:rFonts w:ascii="Calibri" w:cs="Calibri" w:eastAsia="Calibri" w:hAnsi="Calibri"/>
          <w:color w:val="444444"/>
          <w:sz w:val="22"/>
          <w:szCs w:val="22"/>
        </w:rPr>
        <w:t xml:space="preserve">The name Samrudo is coined from Samridhi (समृद्धि) — Sanskrit for prosperity and abundance. Our mission is simple: make Indian prosperity flow globally, at UPI speed, with blockchain security.</w:t>
      </w:r>
    </w:p>
    <w:p>
      <w:pPr>
        <w:spacing w:after="180" w:before="100" w:line="340"/>
      </w:pPr>
      <w:r>
        <w:rPr>
          <w:rFonts w:ascii="Calibri" w:cs="Calibri" w:eastAsia="Calibri" w:hAnsi="Calibri"/>
          <w:color w:val="444444"/>
          <w:sz w:val="22"/>
          <w:szCs w:val="22"/>
        </w:rPr>
        <w:t xml:space="preserve">With 72.7% of Indian crypto volume going offshore due to poor INR rails, no regional language support in any existing crypto product, and zero compliant DeFi infrastructure for Indian users, Samrudo fills every gap the existing Indian crypto ecosystem has left open.</w:t>
      </w:r>
    </w:p>
    <w:p>
      <w:pPr>
        <w:pBdr>
          <w:bottom w:val="single" w:color="E0DDD4" w:sz="4"/>
        </w:pBdr>
        <w:spacing w:after="200" w:before="200"/>
      </w:pPr>
    </w:p>
    <w:p>
      <w:pPr>
        <w:pStyle w:val="Heading1"/>
        <w:spacing w:after="160" w:before="320"/>
      </w:pPr>
      <w:r>
        <w:t xml:space="preserve">Table of Contents</w:t>
      </w:r>
      <w:r>
        <w:rPr>
          <w:rFonts w:ascii="Calibri" w:cs="Calibri" w:eastAsia="Calibri" w:hAnsi="Calibri"/>
          <w:b/>
          <w:bCs/>
          <w:color w:val="2C5F2E"/>
          <w:sz w:val="28"/>
          <w:szCs w:val="28"/>
        </w:rPr>
        <w:t xml:space="preserve">Table of Contents</w:t>
      </w:r>
    </w:p>
    <w:p>
      <w:pPr>
        <w:spacing w:after="80" w:before="80"/>
      </w:pPr>
      <w:r>
        <w:rPr>
          <w:rFonts w:ascii="Calibri" w:cs="Calibri" w:eastAsia="Calibri" w:hAnsi="Calibri"/>
          <w:color w:val="2C5F2E"/>
          <w:sz w:val="22"/>
          <w:szCs w:val="22"/>
        </w:rPr>
        <w:t xml:space="preserve">1. Executive Summary</w:t>
      </w:r>
    </w:p>
    <w:p>
      <w:pPr>
        <w:spacing w:after="80" w:before="80"/>
      </w:pPr>
      <w:r>
        <w:rPr>
          <w:rFonts w:ascii="Calibri" w:cs="Calibri" w:eastAsia="Calibri" w:hAnsi="Calibri"/>
          <w:color w:val="2C5F2E"/>
          <w:sz w:val="22"/>
          <w:szCs w:val="22"/>
        </w:rPr>
        <w:t xml:space="preserve">2. Problem Statement</w:t>
      </w:r>
    </w:p>
    <w:p>
      <w:pPr>
        <w:spacing w:after="80" w:before="80"/>
      </w:pPr>
      <w:r>
        <w:rPr>
          <w:rFonts w:ascii="Calibri" w:cs="Calibri" w:eastAsia="Calibri" w:hAnsi="Calibri"/>
          <w:color w:val="2C5F2E"/>
          <w:sz w:val="22"/>
          <w:szCs w:val="22"/>
        </w:rPr>
        <w:t xml:space="preserve">3. Market Opportunity</w:t>
      </w:r>
    </w:p>
    <w:p>
      <w:pPr>
        <w:spacing w:after="80" w:before="80"/>
      </w:pPr>
      <w:r>
        <w:rPr>
          <w:rFonts w:ascii="Calibri" w:cs="Calibri" w:eastAsia="Calibri" w:hAnsi="Calibri"/>
          <w:color w:val="2C5F2E"/>
          <w:sz w:val="22"/>
          <w:szCs w:val="22"/>
        </w:rPr>
        <w:t xml:space="preserve">4. Solution — Samrudo &amp; BharatChain</w:t>
      </w:r>
    </w:p>
    <w:p>
      <w:pPr>
        <w:spacing w:after="80" w:before="80"/>
      </w:pPr>
      <w:r>
        <w:rPr>
          <w:rFonts w:ascii="Calibri" w:cs="Calibri" w:eastAsia="Calibri" w:hAnsi="Calibri"/>
          <w:color w:val="2C5F2E"/>
          <w:sz w:val="22"/>
          <w:szCs w:val="22"/>
        </w:rPr>
        <w:t xml:space="preserve">5. Core Features</w:t>
      </w:r>
    </w:p>
    <w:p>
      <w:pPr>
        <w:spacing w:after="80" w:before="80"/>
      </w:pPr>
      <w:r>
        <w:rPr>
          <w:rFonts w:ascii="Calibri" w:cs="Calibri" w:eastAsia="Calibri" w:hAnsi="Calibri"/>
          <w:color w:val="2C5F2E"/>
          <w:sz w:val="22"/>
          <w:szCs w:val="22"/>
        </w:rPr>
        <w:t xml:space="preserve">6. Technology Architecture</w:t>
      </w:r>
    </w:p>
    <w:p>
      <w:pPr>
        <w:spacing w:after="80" w:before="80"/>
      </w:pPr>
      <w:r>
        <w:rPr>
          <w:rFonts w:ascii="Calibri" w:cs="Calibri" w:eastAsia="Calibri" w:hAnsi="Calibri"/>
          <w:color w:val="2C5F2E"/>
          <w:sz w:val="22"/>
          <w:szCs w:val="22"/>
        </w:rPr>
        <w:t xml:space="preserve">7. Tokenomics</w:t>
      </w:r>
    </w:p>
    <w:p>
      <w:pPr>
        <w:spacing w:after="80" w:before="80"/>
      </w:pPr>
      <w:r>
        <w:rPr>
          <w:rFonts w:ascii="Calibri" w:cs="Calibri" w:eastAsia="Calibri" w:hAnsi="Calibri"/>
          <w:color w:val="2C5F2E"/>
          <w:sz w:val="22"/>
          <w:szCs w:val="22"/>
        </w:rPr>
        <w:t xml:space="preserve">8. Regulatory Strategy</w:t>
      </w:r>
    </w:p>
    <w:p>
      <w:pPr>
        <w:spacing w:after="80" w:before="80"/>
      </w:pPr>
      <w:r>
        <w:rPr>
          <w:rFonts w:ascii="Calibri" w:cs="Calibri" w:eastAsia="Calibri" w:hAnsi="Calibri"/>
          <w:color w:val="2C5F2E"/>
          <w:sz w:val="22"/>
          <w:szCs w:val="22"/>
        </w:rPr>
        <w:t xml:space="preserve">9. Go-to-Market Strategy</w:t>
      </w:r>
    </w:p>
    <w:p>
      <w:pPr>
        <w:spacing w:after="80" w:before="80"/>
      </w:pPr>
      <w:r>
        <w:rPr>
          <w:rFonts w:ascii="Calibri" w:cs="Calibri" w:eastAsia="Calibri" w:hAnsi="Calibri"/>
          <w:color w:val="2C5F2E"/>
          <w:sz w:val="22"/>
          <w:szCs w:val="22"/>
        </w:rPr>
        <w:t xml:space="preserve">10. Roadmap</w:t>
      </w:r>
    </w:p>
    <w:p>
      <w:pPr>
        <w:spacing w:after="80" w:before="80"/>
      </w:pPr>
      <w:r>
        <w:rPr>
          <w:rFonts w:ascii="Calibri" w:cs="Calibri" w:eastAsia="Calibri" w:hAnsi="Calibri"/>
          <w:color w:val="2C5F2E"/>
          <w:sz w:val="22"/>
          <w:szCs w:val="22"/>
        </w:rPr>
        <w:t xml:space="preserve">11. Team Structure</w:t>
      </w:r>
    </w:p>
    <w:p>
      <w:pPr>
        <w:spacing w:after="80" w:before="80"/>
      </w:pPr>
      <w:r>
        <w:rPr>
          <w:rFonts w:ascii="Calibri" w:cs="Calibri" w:eastAsia="Calibri" w:hAnsi="Calibri"/>
          <w:color w:val="2C5F2E"/>
          <w:sz w:val="22"/>
          <w:szCs w:val="22"/>
        </w:rPr>
        <w:t xml:space="preserve">12. Risk Factors</w:t>
      </w:r>
    </w:p>
    <w:p>
      <w:pPr>
        <w:spacing w:after="80" w:before="80"/>
      </w:pPr>
      <w:r>
        <w:rPr>
          <w:rFonts w:ascii="Calibri" w:cs="Calibri" w:eastAsia="Calibri" w:hAnsi="Calibri"/>
          <w:color w:val="2C5F2E"/>
          <w:sz w:val="22"/>
          <w:szCs w:val="22"/>
        </w:rPr>
        <w:t xml:space="preserve">13. Legal Disclaimer</w:t>
      </w:r>
    </w:p>
    <w:p>
      <w:r>
        <w:br w:type="page"/>
      </w:r>
    </w:p>
    <w:p>
      <w:pPr>
        <w:pStyle w:val="Heading1"/>
        <w:spacing w:after="160" w:before="320"/>
      </w:pPr>
      <w:r>
        <w:t xml:space="preserve">1. Executive Summary</w:t>
      </w:r>
      <w:r>
        <w:rPr>
          <w:rFonts w:ascii="Calibri" w:cs="Calibri" w:eastAsia="Calibri" w:hAnsi="Calibri"/>
          <w:b/>
          <w:bCs/>
          <w:color w:val="2C5F2E"/>
          <w:sz w:val="28"/>
          <w:szCs w:val="28"/>
        </w:rPr>
        <w:t xml:space="preserve">1. Executive Summary</w:t>
      </w:r>
    </w:p>
    <w:p>
      <w:pPr>
        <w:spacing w:after="180" w:before="100" w:line="340"/>
      </w:pPr>
      <w:r>
        <w:rPr>
          <w:rFonts w:ascii="Calibri" w:cs="Calibri" w:eastAsia="Calibri" w:hAnsi="Calibri"/>
          <w:color w:val="444444"/>
          <w:sz w:val="22"/>
          <w:szCs w:val="22"/>
        </w:rPr>
        <w:t xml:space="preserve">India is the world's largest remittance receiver ($135B+ annually), has 91 million crypto users, and operates the world's most successful instant payment system — UPI. Yet Indian crypto users are underserved at every level: no native UPI integration, no regional language wallet, no compliant DeFi, and no tokenised real-world assets.</w:t>
      </w:r>
    </w:p>
    <w:p>
      <w:pPr>
        <w:spacing w:after="180" w:before="100" w:line="340"/>
      </w:pPr>
      <w:r>
        <w:rPr>
          <w:rFonts w:ascii="Calibri" w:cs="Calibri" w:eastAsia="Calibri" w:hAnsi="Calibri"/>
          <w:color w:val="444444"/>
          <w:sz w:val="22"/>
          <w:szCs w:val="22"/>
        </w:rPr>
        <w:t xml:space="preserve">Samrudo solves all of this in one unified blockchain ecosystem:</w:t>
      </w:r>
    </w:p>
    <w:p>
      <w:pPr>
        <w:pStyle w:val="ListParagraph"/>
        <w:numPr>
          <w:ilvl w:val="0"/>
          <w:numId w:val="1"/>
        </w:numPr>
        <w:spacing w:after="60" w:before="60" w:line="300"/>
      </w:pPr>
      <w:r>
        <w:rPr>
          <w:rFonts w:ascii="Calibri" w:cs="Calibri" w:eastAsia="Calibri" w:hAnsi="Calibri"/>
          <w:color w:val="444444"/>
          <w:sz w:val="22"/>
          <w:szCs w:val="22"/>
        </w:rPr>
        <w:t xml:space="preserve">Native UPI bridge — pay any UPI QR directly from your Samrudo wallet, no exchange needed</w:t>
      </w:r>
    </w:p>
    <w:p>
      <w:pPr>
        <w:pStyle w:val="ListParagraph"/>
        <w:numPr>
          <w:ilvl w:val="0"/>
          <w:numId w:val="1"/>
        </w:numPr>
        <w:spacing w:after="60" w:before="60" w:line="300"/>
      </w:pPr>
      <w:r>
        <w:rPr>
          <w:rFonts w:ascii="Calibri" w:cs="Calibri" w:eastAsia="Calibri" w:hAnsi="Calibri"/>
          <w:color w:val="444444"/>
          <w:sz w:val="22"/>
          <w:szCs w:val="22"/>
        </w:rPr>
        <w:t xml:space="preserve">22 Indian languages — the first crypto wallet built for Tier 2, 3, and 4 India</w:t>
      </w:r>
    </w:p>
    <w:p>
      <w:pPr>
        <w:pStyle w:val="ListParagraph"/>
        <w:numPr>
          <w:ilvl w:val="0"/>
          <w:numId w:val="1"/>
        </w:numPr>
        <w:spacing w:after="60" w:before="60" w:line="300"/>
      </w:pPr>
      <w:r>
        <w:rPr>
          <w:rFonts w:ascii="Calibri" w:cs="Calibri" w:eastAsia="Calibri" w:hAnsi="Calibri"/>
          <w:color w:val="444444"/>
          <w:sz w:val="22"/>
          <w:szCs w:val="22"/>
        </w:rPr>
        <w:t xml:space="preserve">FIU-IND compliant DeFi — regulated decentralised finance that satisfies Indian law</w:t>
      </w:r>
    </w:p>
    <w:p>
      <w:pPr>
        <w:pStyle w:val="ListParagraph"/>
        <w:numPr>
          <w:ilvl w:val="0"/>
          <w:numId w:val="1"/>
        </w:numPr>
        <w:spacing w:after="60" w:before="60" w:line="300"/>
      </w:pPr>
      <w:r>
        <w:rPr>
          <w:rFonts w:ascii="Calibri" w:cs="Calibri" w:eastAsia="Calibri" w:hAnsi="Calibri"/>
          <w:color w:val="444444"/>
          <w:sz w:val="22"/>
          <w:szCs w:val="22"/>
        </w:rPr>
        <w:t xml:space="preserve">RWA tokenisation — Indian gold, real estate, and agri-commodities on-chain</w:t>
      </w:r>
    </w:p>
    <w:p>
      <w:pPr>
        <w:pStyle w:val="ListParagraph"/>
        <w:numPr>
          <w:ilvl w:val="0"/>
          <w:numId w:val="1"/>
        </w:numPr>
        <w:spacing w:after="60" w:before="60" w:line="300"/>
      </w:pPr>
      <w:r>
        <w:rPr>
          <w:rFonts w:ascii="Calibri" w:cs="Calibri" w:eastAsia="Calibri" w:hAnsi="Calibri"/>
          <w:color w:val="444444"/>
          <w:sz w:val="22"/>
          <w:szCs w:val="22"/>
        </w:rPr>
        <w:t xml:space="preserve">Micro-fee engine — under ₹0.01 per transaction for everyday payments</w:t>
      </w:r>
    </w:p>
    <w:p>
      <w:pPr>
        <w:pStyle w:val="ListParagraph"/>
        <w:numPr>
          <w:ilvl w:val="0"/>
          <w:numId w:val="1"/>
        </w:numPr>
        <w:spacing w:after="60" w:before="60" w:line="300"/>
      </w:pPr>
      <w:r>
        <w:rPr>
          <w:rFonts w:ascii="Calibri" w:cs="Calibri" w:eastAsia="Calibri" w:hAnsi="Calibri"/>
          <w:color w:val="444444"/>
          <w:sz w:val="22"/>
          <w:szCs w:val="22"/>
        </w:rPr>
        <w:t xml:space="preserve">Cross-border remittance rails — India ↔ UAE, UK, USA, Singapore at 0.1% fees</w:t>
      </w:r>
    </w:p>
    <w:p>
      <w:pPr>
        <w:spacing w:after="180" w:before="100" w:line="340"/>
      </w:pPr>
      <w:r>
        <w:rPr>
          <w:rFonts w:ascii="Calibri" w:cs="Calibri" w:eastAsia="Calibri" w:hAnsi="Calibri"/>
          <w:color w:val="444444"/>
          <w:sz w:val="22"/>
          <w:szCs w:val="22"/>
        </w:rPr>
        <w:t xml:space="preserve">Token: $SMRD | Chain: BharatChain (own L1) | Consensus: Delegated Proof of Stake | Target users: 91M Indian crypto users + 32M Indian diaspora globally</w:t>
      </w:r>
    </w:p>
    <w:p>
      <w:pPr>
        <w:pBdr>
          <w:bottom w:val="single" w:color="E0DDD4" w:sz="4"/>
        </w:pBdr>
        <w:spacing w:after="200" w:before="200"/>
      </w:pPr>
    </w:p>
    <w:p>
      <w:pPr>
        <w:pStyle w:val="Heading1"/>
        <w:spacing w:after="160" w:before="320"/>
      </w:pPr>
      <w:r>
        <w:t xml:space="preserve">2. Problem Statement</w:t>
      </w:r>
      <w:r>
        <w:rPr>
          <w:rFonts w:ascii="Calibri" w:cs="Calibri" w:eastAsia="Calibri" w:hAnsi="Calibri"/>
          <w:b/>
          <w:bCs/>
          <w:color w:val="2C5F2E"/>
          <w:sz w:val="28"/>
          <w:szCs w:val="28"/>
        </w:rPr>
        <w:t xml:space="preserve">2. Problem Statement</w:t>
      </w:r>
    </w:p>
    <w:p>
      <w:pPr>
        <w:pStyle w:val="Heading2"/>
        <w:spacing w:after="160" w:before="320"/>
      </w:pPr>
      <w:r>
        <w:t xml:space="preserve">2.1 The UPI Gap</w:t>
      </w:r>
      <w:r>
        <w:rPr>
          <w:rFonts w:ascii="Calibri" w:cs="Calibri" w:eastAsia="Calibri" w:hAnsi="Calibri"/>
          <w:b/>
          <w:bCs/>
          <w:color w:val="2C5F2E"/>
          <w:sz w:val="28"/>
          <w:szCs w:val="28"/>
        </w:rPr>
        <w:t xml:space="preserve">2.1 The UPI Gap</w:t>
      </w:r>
    </w:p>
    <w:p>
      <w:pPr>
        <w:spacing w:after="180" w:before="100" w:line="340"/>
      </w:pPr>
      <w:r>
        <w:rPr>
          <w:rFonts w:ascii="Calibri" w:cs="Calibri" w:eastAsia="Calibri" w:hAnsi="Calibri"/>
          <w:color w:val="444444"/>
          <w:sz w:val="22"/>
          <w:szCs w:val="22"/>
        </w:rPr>
        <w:t xml:space="preserve">UPI revolutionised Indian domestic payments — ₹20 lakh crore processed monthly, 300+ million users, sub-3-second settlement. But UPI has hard limits:</w:t>
      </w:r>
    </w:p>
    <w:p>
      <w:pPr>
        <w:pStyle w:val="ListParagraph"/>
        <w:numPr>
          <w:ilvl w:val="0"/>
          <w:numId w:val="1"/>
        </w:numPr>
        <w:spacing w:after="60" w:before="60" w:line="300"/>
      </w:pPr>
      <w:r>
        <w:rPr>
          <w:rFonts w:ascii="Calibri" w:cs="Calibri" w:eastAsia="Calibri" w:hAnsi="Calibri"/>
          <w:color w:val="444444"/>
          <w:sz w:val="22"/>
          <w:szCs w:val="22"/>
        </w:rPr>
        <w:t xml:space="preserve">No cross-border support — UPI cannot send money to UK, UAE, or USA directly</w:t>
      </w:r>
    </w:p>
    <w:p>
      <w:pPr>
        <w:pStyle w:val="ListParagraph"/>
        <w:numPr>
          <w:ilvl w:val="0"/>
          <w:numId w:val="1"/>
        </w:numPr>
        <w:spacing w:after="60" w:before="60" w:line="300"/>
      </w:pPr>
      <w:r>
        <w:rPr>
          <w:rFonts w:ascii="Calibri" w:cs="Calibri" w:eastAsia="Calibri" w:hAnsi="Calibri"/>
          <w:color w:val="444444"/>
          <w:sz w:val="22"/>
          <w:szCs w:val="22"/>
        </w:rPr>
        <w:t xml:space="preserve">No asset investment — UPI cannot buy gold, real estate fractional ownership, or commodities</w:t>
      </w:r>
    </w:p>
    <w:p>
      <w:pPr>
        <w:pStyle w:val="ListParagraph"/>
        <w:numPr>
          <w:ilvl w:val="0"/>
          <w:numId w:val="1"/>
        </w:numPr>
        <w:spacing w:after="60" w:before="60" w:line="300"/>
      </w:pPr>
      <w:r>
        <w:rPr>
          <w:rFonts w:ascii="Calibri" w:cs="Calibri" w:eastAsia="Calibri" w:hAnsi="Calibri"/>
          <w:color w:val="444444"/>
          <w:sz w:val="22"/>
          <w:szCs w:val="22"/>
        </w:rPr>
        <w:t xml:space="preserve">No DeFi — UPI has no lending, staking, or yield generation capability</w:t>
      </w:r>
    </w:p>
    <w:p>
      <w:pPr>
        <w:pStyle w:val="ListParagraph"/>
        <w:numPr>
          <w:ilvl w:val="0"/>
          <w:numId w:val="1"/>
        </w:numPr>
        <w:spacing w:after="60" w:before="60" w:line="300"/>
      </w:pPr>
      <w:r>
        <w:rPr>
          <w:rFonts w:ascii="Calibri" w:cs="Calibri" w:eastAsia="Calibri" w:hAnsi="Calibri"/>
          <w:color w:val="444444"/>
          <w:sz w:val="22"/>
          <w:szCs w:val="22"/>
        </w:rPr>
        <w:t xml:space="preserve">No programmable money — UPI cannot execute smart contracts or conditional payments</w:t>
      </w:r>
    </w:p>
    <w:p>
      <w:pPr>
        <w:pStyle w:val="ListParagraph"/>
        <w:numPr>
          <w:ilvl w:val="0"/>
          <w:numId w:val="1"/>
        </w:numPr>
        <w:spacing w:after="60" w:before="60" w:line="300"/>
      </w:pPr>
      <w:r>
        <w:rPr>
          <w:rFonts w:ascii="Calibri" w:cs="Calibri" w:eastAsia="Calibri" w:hAnsi="Calibri"/>
          <w:color w:val="444444"/>
          <w:sz w:val="22"/>
          <w:szCs w:val="22"/>
        </w:rPr>
        <w:t xml:space="preserve">Controlled by NPCI — a single point of failure; blocked randomly for crypto-related transactions</w:t>
      </w:r>
    </w:p>
    <w:p>
      <w:pPr>
        <w:pStyle w:val="Heading2"/>
        <w:spacing w:after="160" w:before="320"/>
      </w:pPr>
      <w:r>
        <w:t xml:space="preserve">2.2 The Indian Crypto Gap</w:t>
      </w:r>
      <w:r>
        <w:rPr>
          <w:rFonts w:ascii="Calibri" w:cs="Calibri" w:eastAsia="Calibri" w:hAnsi="Calibri"/>
          <w:b/>
          <w:bCs/>
          <w:color w:val="2C5F2E"/>
          <w:sz w:val="28"/>
          <w:szCs w:val="28"/>
        </w:rPr>
        <w:t xml:space="preserve">2.2 The Indian Crypto Gap</w:t>
      </w:r>
    </w:p>
    <w:p>
      <w:pPr>
        <w:spacing w:after="180" w:before="100" w:line="340"/>
      </w:pPr>
      <w:r>
        <w:rPr>
          <w:rFonts w:ascii="Calibri" w:cs="Calibri" w:eastAsia="Calibri" w:hAnsi="Calibri"/>
          <w:color w:val="444444"/>
          <w:sz w:val="22"/>
          <w:szCs w:val="22"/>
        </w:rPr>
        <w:t xml:space="preserve">Existing Indian crypto projects (Polygon, WazirX, Push Protocol, Stader Labs) are all built on foreign blockchains (Ethereum, Solana, Binance Chain) with no India-native context:</w:t>
      </w:r>
    </w:p>
    <w:p>
      <w:pPr>
        <w:pStyle w:val="ListParagraph"/>
        <w:numPr>
          <w:ilvl w:val="0"/>
          <w:numId w:val="1"/>
        </w:numPr>
        <w:spacing w:after="60" w:before="60" w:line="300"/>
      </w:pPr>
      <w:r>
        <w:rPr>
          <w:rFonts w:ascii="Calibri" w:cs="Calibri" w:eastAsia="Calibri" w:hAnsi="Calibri"/>
          <w:color w:val="444444"/>
          <w:sz w:val="22"/>
          <w:szCs w:val="22"/>
        </w:rPr>
        <w:t xml:space="preserve">72.7% of Indian crypto trading volume goes offshore due to poor INR on/off ramps</w:t>
      </w:r>
    </w:p>
    <w:p>
      <w:pPr>
        <w:pStyle w:val="ListParagraph"/>
        <w:numPr>
          <w:ilvl w:val="0"/>
          <w:numId w:val="1"/>
        </w:numPr>
        <w:spacing w:after="60" w:before="60" w:line="300"/>
      </w:pPr>
      <w:r>
        <w:rPr>
          <w:rFonts w:ascii="Calibri" w:cs="Calibri" w:eastAsia="Calibri" w:hAnsi="Calibri"/>
          <w:color w:val="444444"/>
          <w:sz w:val="22"/>
          <w:szCs w:val="22"/>
        </w:rPr>
        <w:t xml:space="preserve">Zero wallets support Hindi, Tamil, Telugu, Marathi, Bengali, or any regional language</w:t>
      </w:r>
    </w:p>
    <w:p>
      <w:pPr>
        <w:pStyle w:val="ListParagraph"/>
        <w:numPr>
          <w:ilvl w:val="0"/>
          <w:numId w:val="1"/>
        </w:numPr>
        <w:spacing w:after="60" w:before="60" w:line="300"/>
      </w:pPr>
      <w:r>
        <w:rPr>
          <w:rFonts w:ascii="Calibri" w:cs="Calibri" w:eastAsia="Calibri" w:hAnsi="Calibri"/>
          <w:color w:val="444444"/>
          <w:sz w:val="22"/>
          <w:szCs w:val="22"/>
        </w:rPr>
        <w:t xml:space="preserve">No FIU-IND compliant DeFi product exists for Indian users</w:t>
      </w:r>
    </w:p>
    <w:p>
      <w:pPr>
        <w:pStyle w:val="ListParagraph"/>
        <w:numPr>
          <w:ilvl w:val="0"/>
          <w:numId w:val="1"/>
        </w:numPr>
        <w:spacing w:after="60" w:before="60" w:line="300"/>
      </w:pPr>
      <w:r>
        <w:rPr>
          <w:rFonts w:ascii="Calibri" w:cs="Calibri" w:eastAsia="Calibri" w:hAnsi="Calibri"/>
          <w:color w:val="444444"/>
          <w:sz w:val="22"/>
          <w:szCs w:val="22"/>
        </w:rPr>
        <w:t xml:space="preserve">No Indian blockchain has tokenised gold, real estate, or agricultural commodities</w:t>
      </w:r>
    </w:p>
    <w:p>
      <w:pPr>
        <w:pStyle w:val="ListParagraph"/>
        <w:numPr>
          <w:ilvl w:val="0"/>
          <w:numId w:val="1"/>
        </w:numPr>
        <w:spacing w:after="60" w:before="60" w:line="300"/>
      </w:pPr>
      <w:r>
        <w:rPr>
          <w:rFonts w:ascii="Calibri" w:cs="Calibri" w:eastAsia="Calibri" w:hAnsi="Calibri"/>
          <w:color w:val="444444"/>
          <w:sz w:val="22"/>
          <w:szCs w:val="22"/>
        </w:rPr>
        <w:t xml:space="preserve">30% TDS on crypto gains + poor exchange infrastructure drives users underground</w:t>
      </w:r>
    </w:p>
    <w:p>
      <w:pPr>
        <w:pStyle w:val="Heading2"/>
        <w:spacing w:after="160" w:before="320"/>
      </w:pPr>
      <w:r>
        <w:t xml:space="preserve">2.3 The Remittance Gap</w:t>
      </w:r>
      <w:r>
        <w:rPr>
          <w:rFonts w:ascii="Calibri" w:cs="Calibri" w:eastAsia="Calibri" w:hAnsi="Calibri"/>
          <w:b/>
          <w:bCs/>
          <w:color w:val="2C5F2E"/>
          <w:sz w:val="28"/>
          <w:szCs w:val="28"/>
        </w:rPr>
        <w:t xml:space="preserve">2.3 The Remittance Gap</w:t>
      </w:r>
    </w:p>
    <w:p>
      <w:pPr>
        <w:spacing w:after="180" w:before="100" w:line="340"/>
      </w:pPr>
      <w:r>
        <w:rPr>
          <w:rFonts w:ascii="Calibri" w:cs="Calibri" w:eastAsia="Calibri" w:hAnsi="Calibri"/>
          <w:color w:val="444444"/>
          <w:sz w:val="22"/>
          <w:szCs w:val="22"/>
        </w:rPr>
        <w:t xml:space="preserve">India receives $135 billion in annual remittances — the world's largest. Current remittance channels charge 4–8% fees and take 1–5 business days. Samrudo targets this with 0.1% fees and instant settlement — saving Indian families ₹50,000–₹2,00,000 per year in transfer costs alone.</w:t>
      </w:r>
    </w:p>
    <w:p>
      <w:pPr>
        <w:pBdr>
          <w:bottom w:val="single" w:color="E0DDD4" w:sz="4"/>
        </w:pBdr>
        <w:spacing w:after="200" w:before="200"/>
      </w:pPr>
    </w:p>
    <w:p>
      <w:pPr>
        <w:pStyle w:val="Heading1"/>
        <w:spacing w:after="160" w:before="320"/>
      </w:pPr>
      <w:r>
        <w:t xml:space="preserve">3. Market Opportunity</w:t>
      </w:r>
      <w:r>
        <w:rPr>
          <w:rFonts w:ascii="Calibri" w:cs="Calibri" w:eastAsia="Calibri" w:hAnsi="Calibri"/>
          <w:b/>
          <w:bCs/>
          <w:color w:val="2C5F2E"/>
          <w:sz w:val="28"/>
          <w:szCs w:val="28"/>
        </w:rPr>
        <w:t xml:space="preserve">3. Market Opportunity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shd w:fill="EAF3DE" w:val="clear"/>
          </w:tcPr>
          <w:p>
            <w:r>
              <w:rPr>
                <w:rFonts w:ascii="Calibri" w:cs="Calibri" w:eastAsia="Calibri" w:hAnsi="Calibri"/>
                <w:b/>
                <w:bCs/>
                <w:color w:val="2C5F2E"/>
                <w:sz w:val="20"/>
                <w:szCs w:val="20"/>
              </w:rPr>
              <w:t xml:space="preserve">India crypto users (2026)</w:t>
            </w:r>
          </w:p>
        </w:tc>
        <w:tc>
          <w:tcPr>
            <w:tcW w:type="dxa" w:w="5500"/>
            <w:shd w:fill="EAF3DE" w:val="clear"/>
          </w:tcPr>
          <w:p>
            <w:r>
              <w:rPr>
                <w:rFonts w:ascii="Calibri" w:cs="Calibri" w:eastAsia="Calibri" w:hAnsi="Calibri"/>
                <w:color w:val="444444"/>
                <w:sz w:val="20"/>
                <w:szCs w:val="20"/>
              </w:rPr>
              <w:t xml:space="preserve">91 million</w:t>
            </w:r>
          </w:p>
        </w:tc>
      </w:tr>
      <w:tr>
        <w:tc>
          <w:tcPr>
            <w:tcW w:type="dxa" w:w="4000"/>
          </w:tcPr>
          <w:p>
            <w:r>
              <w:rPr>
                <w:rFonts w:ascii="Calibri" w:cs="Calibri" w:eastAsia="Calibri" w:hAnsi="Calibri"/>
                <w:b/>
                <w:bCs/>
                <w:color w:val="2C5F2E"/>
                <w:sz w:val="20"/>
                <w:szCs w:val="20"/>
              </w:rPr>
              <w:t xml:space="preserve">India crypto market revenue (2026)</w:t>
            </w:r>
          </w:p>
        </w:tc>
        <w:tc>
          <w:tcPr>
            <w:tcW w:type="dxa" w:w="5500"/>
          </w:tcPr>
          <w:p>
            <w:r>
              <w:rPr>
                <w:rFonts w:ascii="Calibri" w:cs="Calibri" w:eastAsia="Calibri" w:hAnsi="Calibri"/>
                <w:color w:val="444444"/>
                <w:sz w:val="20"/>
                <w:szCs w:val="20"/>
              </w:rPr>
              <w:t xml:space="preserve">$9.1 billion</w:t>
            </w:r>
          </w:p>
        </w:tc>
      </w:tr>
      <w:tr>
        <w:tc>
          <w:tcPr>
            <w:tcW w:type="dxa" w:w="4000"/>
            <w:shd w:fill="EAF3DE" w:val="clear"/>
          </w:tcPr>
          <w:p>
            <w:r>
              <w:rPr>
                <w:rFonts w:ascii="Calibri" w:cs="Calibri" w:eastAsia="Calibri" w:hAnsi="Calibri"/>
                <w:b/>
                <w:bCs/>
                <w:color w:val="2C5F2E"/>
                <w:sz w:val="20"/>
                <w:szCs w:val="20"/>
              </w:rPr>
              <w:t xml:space="preserve">India annual remittance inflow</w:t>
            </w:r>
          </w:p>
        </w:tc>
        <w:tc>
          <w:tcPr>
            <w:tcW w:type="dxa" w:w="5500"/>
            <w:shd w:fill="EAF3DE" w:val="clear"/>
          </w:tcPr>
          <w:p>
            <w:r>
              <w:rPr>
                <w:rFonts w:ascii="Calibri" w:cs="Calibri" w:eastAsia="Calibri" w:hAnsi="Calibri"/>
                <w:color w:val="444444"/>
                <w:sz w:val="20"/>
                <w:szCs w:val="20"/>
              </w:rPr>
              <w:t xml:space="preserve">$135 billion</w:t>
            </w:r>
          </w:p>
        </w:tc>
      </w:tr>
      <w:tr>
        <w:tc>
          <w:tcPr>
            <w:tcW w:type="dxa" w:w="4000"/>
          </w:tcPr>
          <w:p>
            <w:r>
              <w:rPr>
                <w:rFonts w:ascii="Calibri" w:cs="Calibri" w:eastAsia="Calibri" w:hAnsi="Calibri"/>
                <w:b/>
                <w:bCs/>
                <w:color w:val="2C5F2E"/>
                <w:sz w:val="20"/>
                <w:szCs w:val="20"/>
              </w:rPr>
              <w:t xml:space="preserve">Indian diaspora globally</w:t>
            </w:r>
          </w:p>
        </w:tc>
        <w:tc>
          <w:tcPr>
            <w:tcW w:type="dxa" w:w="5500"/>
          </w:tcPr>
          <w:p>
            <w:r>
              <w:rPr>
                <w:rFonts w:ascii="Calibri" w:cs="Calibri" w:eastAsia="Calibri" w:hAnsi="Calibri"/>
                <w:color w:val="444444"/>
                <w:sz w:val="20"/>
                <w:szCs w:val="20"/>
              </w:rPr>
              <w:t xml:space="preserve">32 million</w:t>
            </w:r>
          </w:p>
        </w:tc>
      </w:tr>
      <w:tr>
        <w:tc>
          <w:tcPr>
            <w:tcW w:type="dxa" w:w="4000"/>
            <w:shd w:fill="EAF3DE" w:val="clear"/>
          </w:tcPr>
          <w:p>
            <w:r>
              <w:rPr>
                <w:rFonts w:ascii="Calibri" w:cs="Calibri" w:eastAsia="Calibri" w:hAnsi="Calibri"/>
                <w:b/>
                <w:bCs/>
                <w:color w:val="2C5F2E"/>
                <w:sz w:val="20"/>
                <w:szCs w:val="20"/>
              </w:rPr>
              <w:t xml:space="preserve">India real estate market</w:t>
            </w:r>
          </w:p>
        </w:tc>
        <w:tc>
          <w:tcPr>
            <w:tcW w:type="dxa" w:w="5500"/>
            <w:shd w:fill="EAF3DE" w:val="clear"/>
          </w:tcPr>
          <w:p>
            <w:r>
              <w:rPr>
                <w:rFonts w:ascii="Calibri" w:cs="Calibri" w:eastAsia="Calibri" w:hAnsi="Calibri"/>
                <w:color w:val="444444"/>
                <w:sz w:val="20"/>
                <w:szCs w:val="20"/>
              </w:rPr>
              <w:t xml:space="preserve">$3.8 trillion</w:t>
            </w:r>
          </w:p>
        </w:tc>
      </w:tr>
      <w:tr>
        <w:tc>
          <w:tcPr>
            <w:tcW w:type="dxa" w:w="4000"/>
          </w:tcPr>
          <w:p>
            <w:r>
              <w:rPr>
                <w:rFonts w:ascii="Calibri" w:cs="Calibri" w:eastAsia="Calibri" w:hAnsi="Calibri"/>
                <w:b/>
                <w:bCs/>
                <w:color w:val="2C5F2E"/>
                <w:sz w:val="20"/>
                <w:szCs w:val="20"/>
              </w:rPr>
              <w:t xml:space="preserve">India gold holdings (world's largest)</w:t>
            </w:r>
          </w:p>
        </w:tc>
        <w:tc>
          <w:tcPr>
            <w:tcW w:type="dxa" w:w="5500"/>
          </w:tcPr>
          <w:p>
            <w:r>
              <w:rPr>
                <w:rFonts w:ascii="Calibri" w:cs="Calibri" w:eastAsia="Calibri" w:hAnsi="Calibri"/>
                <w:color w:val="444444"/>
                <w:sz w:val="20"/>
                <w:szCs w:val="20"/>
              </w:rPr>
              <w:t xml:space="preserve">~25,000 tonnes</w:t>
            </w:r>
          </w:p>
        </w:tc>
      </w:tr>
      <w:tr>
        <w:tc>
          <w:tcPr>
            <w:tcW w:type="dxa" w:w="4000"/>
            <w:shd w:fill="EAF3DE" w:val="clear"/>
          </w:tcPr>
          <w:p>
            <w:r>
              <w:rPr>
                <w:rFonts w:ascii="Calibri" w:cs="Calibri" w:eastAsia="Calibri" w:hAnsi="Calibri"/>
                <w:b/>
                <w:bCs/>
                <w:color w:val="2C5F2E"/>
                <w:sz w:val="20"/>
                <w:szCs w:val="20"/>
              </w:rPr>
              <w:t xml:space="preserve">UPI monthly transaction volume</w:t>
            </w:r>
          </w:p>
        </w:tc>
        <w:tc>
          <w:tcPr>
            <w:tcW w:type="dxa" w:w="5500"/>
            <w:shd w:fill="EAF3DE" w:val="clear"/>
          </w:tcPr>
          <w:p>
            <w:r>
              <w:rPr>
                <w:rFonts w:ascii="Calibri" w:cs="Calibri" w:eastAsia="Calibri" w:hAnsi="Calibri"/>
                <w:color w:val="444444"/>
                <w:sz w:val="20"/>
                <w:szCs w:val="20"/>
              </w:rPr>
              <w:t xml:space="preserve">₹20 lakh crore</w:t>
            </w:r>
          </w:p>
        </w:tc>
      </w:tr>
      <w:tr>
        <w:tc>
          <w:tcPr>
            <w:tcW w:type="dxa" w:w="4000"/>
          </w:tcPr>
          <w:p>
            <w:r>
              <w:rPr>
                <w:rFonts w:ascii="Calibri" w:cs="Calibri" w:eastAsia="Calibri" w:hAnsi="Calibri"/>
                <w:b/>
                <w:bCs/>
                <w:color w:val="2C5F2E"/>
                <w:sz w:val="20"/>
                <w:szCs w:val="20"/>
              </w:rPr>
              <w:t xml:space="preserve">Crypto SIP adoption growth (2025)</w:t>
            </w:r>
          </w:p>
        </w:tc>
        <w:tc>
          <w:tcPr>
            <w:tcW w:type="dxa" w:w="5500"/>
          </w:tcPr>
          <w:p>
            <w:r>
              <w:rPr>
                <w:rFonts w:ascii="Calibri" w:cs="Calibri" w:eastAsia="Calibri" w:hAnsi="Calibri"/>
                <w:color w:val="444444"/>
                <w:sz w:val="20"/>
                <w:szCs w:val="20"/>
              </w:rPr>
              <w:t xml:space="preserve">+623% YoY</w:t>
            </w:r>
          </w:p>
        </w:tc>
      </w:tr>
      <w:tr>
        <w:tc>
          <w:tcPr>
            <w:tcW w:type="dxa" w:w="4000"/>
            <w:shd w:fill="EAF3DE" w:val="clear"/>
          </w:tcPr>
          <w:p>
            <w:r>
              <w:rPr>
                <w:rFonts w:ascii="Calibri" w:cs="Calibri" w:eastAsia="Calibri" w:hAnsi="Calibri"/>
                <w:b/>
                <w:bCs/>
                <w:color w:val="2C5F2E"/>
                <w:sz w:val="20"/>
                <w:szCs w:val="20"/>
              </w:rPr>
              <w:t xml:space="preserve">Global tokenisation market (2030)</w:t>
            </w:r>
          </w:p>
        </w:tc>
        <w:tc>
          <w:tcPr>
            <w:tcW w:type="dxa" w:w="5500"/>
            <w:shd w:fill="EAF3DE" w:val="clear"/>
          </w:tcPr>
          <w:p>
            <w:r>
              <w:rPr>
                <w:rFonts w:ascii="Calibri" w:cs="Calibri" w:eastAsia="Calibri" w:hAnsi="Calibri"/>
                <w:color w:val="444444"/>
                <w:sz w:val="20"/>
                <w:szCs w:val="20"/>
              </w:rPr>
              <w:t xml:space="preserve">$30 trillion</w:t>
            </w:r>
          </w:p>
        </w:tc>
      </w:tr>
    </w:tbl>
    <w:p>
      <w:pPr>
        <w:spacing w:before="300"/>
      </w:pPr>
    </w:p>
    <w:p>
      <w:pPr>
        <w:spacing w:after="180" w:before="100" w:line="340"/>
      </w:pPr>
      <w:r>
        <w:rPr>
          <w:rFonts w:ascii="Calibri" w:cs="Calibri" w:eastAsia="Calibri" w:hAnsi="Calibri"/>
          <w:color w:val="444444"/>
          <w:sz w:val="22"/>
          <w:szCs w:val="22"/>
        </w:rPr>
        <w:t xml:space="preserve">Samrudo's total addressable market across cross-border payments, compliant DeFi, and RWA tokenisation in India exceeds $500 billion by 2030.</w:t>
      </w:r>
    </w:p>
    <w:p>
      <w:pPr>
        <w:pBdr>
          <w:bottom w:val="single" w:color="E0DDD4" w:sz="4"/>
        </w:pBdr>
        <w:spacing w:after="200" w:before="200"/>
      </w:pPr>
    </w:p>
    <w:p>
      <w:pPr>
        <w:pStyle w:val="Heading1"/>
        <w:spacing w:after="160" w:before="320"/>
      </w:pPr>
      <w:r>
        <w:t xml:space="preserve">4. Solution — Samrudo &amp; BharatChain</w:t>
      </w:r>
      <w:r>
        <w:rPr>
          <w:rFonts w:ascii="Calibri" w:cs="Calibri" w:eastAsia="Calibri" w:hAnsi="Calibri"/>
          <w:b/>
          <w:bCs/>
          <w:color w:val="2C5F2E"/>
          <w:sz w:val="28"/>
          <w:szCs w:val="28"/>
        </w:rPr>
        <w:t xml:space="preserve">4. Solution — Samrudo &amp; BharatChain</w:t>
      </w:r>
    </w:p>
    <w:p>
      <w:pPr>
        <w:pStyle w:val="Heading2"/>
        <w:spacing w:after="160" w:before="320"/>
      </w:pPr>
      <w:r>
        <w:t xml:space="preserve">4.1 BharatChain — India's First Native L1</w:t>
      </w:r>
      <w:r>
        <w:rPr>
          <w:rFonts w:ascii="Calibri" w:cs="Calibri" w:eastAsia="Calibri" w:hAnsi="Calibri"/>
          <w:b/>
          <w:bCs/>
          <w:color w:val="2C5F2E"/>
          <w:sz w:val="28"/>
          <w:szCs w:val="28"/>
        </w:rPr>
        <w:t xml:space="preserve">4.1 BharatChain — India's First Native L1</w:t>
      </w:r>
    </w:p>
    <w:p>
      <w:pPr>
        <w:spacing w:after="180" w:before="100" w:line="340"/>
      </w:pPr>
      <w:r>
        <w:rPr>
          <w:rFonts w:ascii="Calibri" w:cs="Calibri" w:eastAsia="Calibri" w:hAnsi="Calibri"/>
          <w:color w:val="444444"/>
          <w:sz w:val="22"/>
          <w:szCs w:val="22"/>
        </w:rPr>
        <w:t xml:space="preserve">BharatChain is the underlying Layer-1 blockchain powering Samrudo. Unlike existing Indian crypto projects that rely on Ethereum or Solana, BharatChain is purpose-built for India:</w:t>
      </w:r>
    </w:p>
    <w:p>
      <w:pPr>
        <w:pStyle w:val="ListParagraph"/>
        <w:numPr>
          <w:ilvl w:val="0"/>
          <w:numId w:val="1"/>
        </w:numPr>
        <w:spacing w:after="60" w:before="60" w:line="300"/>
      </w:pPr>
      <w:r>
        <w:rPr>
          <w:rFonts w:ascii="Calibri" w:cs="Calibri" w:eastAsia="Calibri" w:hAnsi="Calibri"/>
          <w:color w:val="444444"/>
          <w:sz w:val="22"/>
          <w:szCs w:val="22"/>
        </w:rPr>
        <w:t xml:space="preserve">Consensus: Delegated Proof of Stake (DPoS) — 21 elected validator nodes, energy efficient</w:t>
      </w:r>
    </w:p>
    <w:p>
      <w:pPr>
        <w:pStyle w:val="ListParagraph"/>
        <w:numPr>
          <w:ilvl w:val="0"/>
          <w:numId w:val="1"/>
        </w:numPr>
        <w:spacing w:after="60" w:before="60" w:line="300"/>
      </w:pPr>
      <w:r>
        <w:rPr>
          <w:rFonts w:ascii="Calibri" w:cs="Calibri" w:eastAsia="Calibri" w:hAnsi="Calibri"/>
          <w:color w:val="444444"/>
          <w:sz w:val="22"/>
          <w:szCs w:val="22"/>
        </w:rPr>
        <w:t xml:space="preserve">Block time: 1.5 seconds — matching UPI's near-instant settlement experience</w:t>
      </w:r>
    </w:p>
    <w:p>
      <w:pPr>
        <w:pStyle w:val="ListParagraph"/>
        <w:numPr>
          <w:ilvl w:val="0"/>
          <w:numId w:val="1"/>
        </w:numPr>
        <w:spacing w:after="60" w:before="60" w:line="300"/>
      </w:pPr>
      <w:r>
        <w:rPr>
          <w:rFonts w:ascii="Calibri" w:cs="Calibri" w:eastAsia="Calibri" w:hAnsi="Calibri"/>
          <w:color w:val="444444"/>
          <w:sz w:val="22"/>
          <w:szCs w:val="22"/>
        </w:rPr>
        <w:t xml:space="preserve">Throughput: 10,000+ TPS — handles India's payment scale</w:t>
      </w:r>
    </w:p>
    <w:p>
      <w:pPr>
        <w:pStyle w:val="ListParagraph"/>
        <w:numPr>
          <w:ilvl w:val="0"/>
          <w:numId w:val="1"/>
        </w:numPr>
        <w:spacing w:after="60" w:before="60" w:line="300"/>
      </w:pPr>
      <w:r>
        <w:rPr>
          <w:rFonts w:ascii="Calibri" w:cs="Calibri" w:eastAsia="Calibri" w:hAnsi="Calibri"/>
          <w:color w:val="444444"/>
          <w:sz w:val="22"/>
          <w:szCs w:val="22"/>
        </w:rPr>
        <w:t xml:space="preserve">Fee structure: micro-fee engine targeting under ₹0.01 per transaction</w:t>
      </w:r>
    </w:p>
    <w:p>
      <w:pPr>
        <w:pStyle w:val="ListParagraph"/>
        <w:numPr>
          <w:ilvl w:val="0"/>
          <w:numId w:val="1"/>
        </w:numPr>
        <w:spacing w:after="60" w:before="60" w:line="300"/>
      </w:pPr>
      <w:r>
        <w:rPr>
          <w:rFonts w:ascii="Calibri" w:cs="Calibri" w:eastAsia="Calibri" w:hAnsi="Calibri"/>
          <w:color w:val="444444"/>
          <w:sz w:val="22"/>
          <w:szCs w:val="22"/>
        </w:rPr>
        <w:t xml:space="preserve">EVM compatible — existing Ethereum dApps can deploy on BharatChain with zero code changes</w:t>
      </w:r>
    </w:p>
    <w:p>
      <w:pPr>
        <w:pStyle w:val="ListParagraph"/>
        <w:numPr>
          <w:ilvl w:val="0"/>
          <w:numId w:val="1"/>
        </w:numPr>
        <w:spacing w:after="60" w:before="60" w:line="300"/>
      </w:pPr>
      <w:r>
        <w:rPr>
          <w:rFonts w:ascii="Calibri" w:cs="Calibri" w:eastAsia="Calibri" w:hAnsi="Calibri"/>
          <w:color w:val="444444"/>
          <w:sz w:val="22"/>
          <w:szCs w:val="22"/>
        </w:rPr>
        <w:t xml:space="preserve">Native INR stablecoin — INRX, a fully reserved INR-backed stablecoin built into the chain</w:t>
      </w:r>
    </w:p>
    <w:p>
      <w:pPr>
        <w:pStyle w:val="Heading2"/>
        <w:spacing w:after="160" w:before="320"/>
      </w:pPr>
      <w:r>
        <w:t xml:space="preserve">4.2 Samrudo Token ($SMRD)</w:t>
      </w:r>
      <w:r>
        <w:rPr>
          <w:rFonts w:ascii="Calibri" w:cs="Calibri" w:eastAsia="Calibri" w:hAnsi="Calibri"/>
          <w:b/>
          <w:bCs/>
          <w:color w:val="2C5F2E"/>
          <w:sz w:val="28"/>
          <w:szCs w:val="28"/>
        </w:rPr>
        <w:t xml:space="preserve">4.2 Samrudo Token ($SMRD)</w:t>
      </w:r>
    </w:p>
    <w:p>
      <w:pPr>
        <w:spacing w:after="180" w:before="100" w:line="340"/>
      </w:pPr>
      <w:r>
        <w:rPr>
          <w:rFonts w:ascii="Calibri" w:cs="Calibri" w:eastAsia="Calibri" w:hAnsi="Calibri"/>
          <w:color w:val="444444"/>
          <w:sz w:val="22"/>
          <w:szCs w:val="22"/>
        </w:rPr>
        <w:t xml:space="preserve">$SMRD is the native utility and governance token of BharatChain. It powers all transaction fees, staking rewards, governance voting, and RWA tokenisation on the network.</w:t>
      </w:r>
    </w:p>
    <w:p>
      <w:pPr>
        <w:pBdr>
          <w:bottom w:val="single" w:color="E0DDD4" w:sz="4"/>
        </w:pBdr>
        <w:spacing w:after="200" w:before="200"/>
      </w:pPr>
    </w:p>
    <w:p>
      <w:pPr>
        <w:pStyle w:val="Heading1"/>
        <w:spacing w:after="160" w:before="320"/>
      </w:pPr>
      <w:r>
        <w:t xml:space="preserve">5. Core Features</w:t>
      </w:r>
      <w:r>
        <w:rPr>
          <w:rFonts w:ascii="Calibri" w:cs="Calibri" w:eastAsia="Calibri" w:hAnsi="Calibri"/>
          <w:b/>
          <w:bCs/>
          <w:color w:val="2C5F2E"/>
          <w:sz w:val="28"/>
          <w:szCs w:val="28"/>
        </w:rPr>
        <w:t xml:space="preserve">5. Core Features</w:t>
      </w:r>
    </w:p>
    <w:p>
      <w:pPr>
        <w:pStyle w:val="Heading2"/>
        <w:spacing w:after="160" w:before="320"/>
      </w:pPr>
      <w:r>
        <w:t xml:space="preserve">5.1 Native UPI Bridge</w:t>
      </w:r>
      <w:r>
        <w:rPr>
          <w:rFonts w:ascii="Calibri" w:cs="Calibri" w:eastAsia="Calibri" w:hAnsi="Calibri"/>
          <w:b/>
          <w:bCs/>
          <w:color w:val="2C5F2E"/>
          <w:sz w:val="28"/>
          <w:szCs w:val="28"/>
        </w:rPr>
        <w:t xml:space="preserve">5.1 Native UPI Bridge</w:t>
      </w:r>
    </w:p>
    <w:p>
      <w:pPr>
        <w:spacing w:after="180" w:before="100" w:line="340"/>
      </w:pPr>
      <w:r>
        <w:rPr>
          <w:rFonts w:ascii="Calibri" w:cs="Calibri" w:eastAsia="Calibri" w:hAnsi="Calibri"/>
          <w:color w:val="444444"/>
          <w:sz w:val="22"/>
          <w:szCs w:val="22"/>
        </w:rPr>
        <w:t xml:space="preserve">Samrudo Wallet users can scan any UPI QR code and pay directly from their crypto balance — converted to INR in real time via the INRX stablecoin. No centralised exchange required. This makes Samrudo the first crypto wallet where you can pay your electricity bill, rent, or kirana store directly from a DeFi wallet.</w:t>
      </w:r>
    </w:p>
    <w:p>
      <w:pPr>
        <w:pStyle w:val="Heading2"/>
        <w:spacing w:after="160" w:before="320"/>
      </w:pPr>
      <w:r>
        <w:t xml:space="preserve">5.2 22 Indian Language Support</w:t>
      </w:r>
      <w:r>
        <w:rPr>
          <w:rFonts w:ascii="Calibri" w:cs="Calibri" w:eastAsia="Calibri" w:hAnsi="Calibri"/>
          <w:b/>
          <w:bCs/>
          <w:color w:val="2C5F2E"/>
          <w:sz w:val="28"/>
          <w:szCs w:val="28"/>
        </w:rPr>
        <w:t xml:space="preserve">5.2 22 Indian Language Support</w:t>
      </w:r>
    </w:p>
    <w:p>
      <w:pPr>
        <w:spacing w:after="180" w:before="100" w:line="340"/>
      </w:pPr>
      <w:r>
        <w:rPr>
          <w:rFonts w:ascii="Calibri" w:cs="Calibri" w:eastAsia="Calibri" w:hAnsi="Calibri"/>
          <w:color w:val="444444"/>
          <w:sz w:val="22"/>
          <w:szCs w:val="22"/>
        </w:rPr>
        <w:t xml:space="preserve">Samrudo Wallet is available in all 22 scheduled Indian languages — Hindi, Tamil, Telugu, Marathi, Bengali, Gujarati, Kannada, Malayalam, Punjabi, Odia, and 12 more. This is the first crypto product built for Bharat, not just urban India.</w:t>
      </w:r>
    </w:p>
    <w:p>
      <w:pPr>
        <w:pStyle w:val="Heading2"/>
        <w:spacing w:after="160" w:before="320"/>
      </w:pPr>
      <w:r>
        <w:t xml:space="preserve">5.3 FIU-IND Compliant DeFi</w:t>
      </w:r>
      <w:r>
        <w:rPr>
          <w:rFonts w:ascii="Calibri" w:cs="Calibri" w:eastAsia="Calibri" w:hAnsi="Calibri"/>
          <w:b/>
          <w:bCs/>
          <w:color w:val="2C5F2E"/>
          <w:sz w:val="28"/>
          <w:szCs w:val="28"/>
        </w:rPr>
        <w:t xml:space="preserve">5.3 FIU-IND Compliant DeFi</w:t>
      </w:r>
    </w:p>
    <w:p>
      <w:pPr>
        <w:spacing w:after="180" w:before="100" w:line="340"/>
      </w:pPr>
      <w:r>
        <w:rPr>
          <w:rFonts w:ascii="Calibri" w:cs="Calibri" w:eastAsia="Calibri" w:hAnsi="Calibri"/>
          <w:color w:val="444444"/>
          <w:sz w:val="22"/>
          <w:szCs w:val="22"/>
        </w:rPr>
        <w:t xml:space="preserve">Samrudo's DeFi layer uses a permissioned pool architecture — KYC-verified Indian users access lending, staking, and yield products that satisfy FIU-IND (Financial Intelligence Unit India) reporting requirements. This is compliant DeFi — not a legal grey zone.</w:t>
      </w:r>
    </w:p>
    <w:p>
      <w:pPr>
        <w:pStyle w:val="ListParagraph"/>
        <w:numPr>
          <w:ilvl w:val="0"/>
          <w:numId w:val="1"/>
        </w:numPr>
        <w:spacing w:after="60" w:before="60" w:line="300"/>
      </w:pPr>
      <w:r>
        <w:rPr>
          <w:rFonts w:ascii="Calibri" w:cs="Calibri" w:eastAsia="Calibri" w:hAnsi="Calibri"/>
          <w:color w:val="444444"/>
          <w:sz w:val="22"/>
          <w:szCs w:val="22"/>
        </w:rPr>
        <w:t xml:space="preserve">Lending pools: borrow INRX against $SMRD, BTC, or ETH collateral</w:t>
      </w:r>
    </w:p>
    <w:p>
      <w:pPr>
        <w:pStyle w:val="ListParagraph"/>
        <w:numPr>
          <w:ilvl w:val="0"/>
          <w:numId w:val="1"/>
        </w:numPr>
        <w:spacing w:after="60" w:before="60" w:line="300"/>
      </w:pPr>
      <w:r>
        <w:rPr>
          <w:rFonts w:ascii="Calibri" w:cs="Calibri" w:eastAsia="Calibri" w:hAnsi="Calibri"/>
          <w:color w:val="444444"/>
          <w:sz w:val="22"/>
          <w:szCs w:val="22"/>
        </w:rPr>
        <w:t xml:space="preserve">Staking: earn 8–15% APY by staking $SMRD and validating BharatChain</w:t>
      </w:r>
    </w:p>
    <w:p>
      <w:pPr>
        <w:pStyle w:val="ListParagraph"/>
        <w:numPr>
          <w:ilvl w:val="0"/>
          <w:numId w:val="1"/>
        </w:numPr>
        <w:spacing w:after="60" w:before="60" w:line="300"/>
      </w:pPr>
      <w:r>
        <w:rPr>
          <w:rFonts w:ascii="Calibri" w:cs="Calibri" w:eastAsia="Calibri" w:hAnsi="Calibri"/>
          <w:color w:val="444444"/>
          <w:sz w:val="22"/>
          <w:szCs w:val="22"/>
        </w:rPr>
        <w:t xml:space="preserve">Yield farming: provide liquidity to INRX/SMRD pools and earn rewards</w:t>
      </w:r>
    </w:p>
    <w:p>
      <w:pPr>
        <w:pStyle w:val="ListParagraph"/>
        <w:numPr>
          <w:ilvl w:val="0"/>
          <w:numId w:val="1"/>
        </w:numPr>
        <w:spacing w:after="60" w:before="60" w:line="300"/>
      </w:pPr>
      <w:r>
        <w:rPr>
          <w:rFonts w:ascii="Calibri" w:cs="Calibri" w:eastAsia="Calibri" w:hAnsi="Calibri"/>
          <w:color w:val="444444"/>
          <w:sz w:val="22"/>
          <w:szCs w:val="22"/>
        </w:rPr>
        <w:t xml:space="preserve">SIP mode: automated weekly/monthly crypto investments like a mutual fund</w:t>
      </w:r>
    </w:p>
    <w:p>
      <w:pPr>
        <w:pStyle w:val="Heading2"/>
        <w:spacing w:after="160" w:before="320"/>
      </w:pPr>
      <w:r>
        <w:t xml:space="preserve">5.4 RWA Tokenisation</w:t>
      </w:r>
      <w:r>
        <w:rPr>
          <w:rFonts w:ascii="Calibri" w:cs="Calibri" w:eastAsia="Calibri" w:hAnsi="Calibri"/>
          <w:b/>
          <w:bCs/>
          <w:color w:val="2C5F2E"/>
          <w:sz w:val="28"/>
          <w:szCs w:val="28"/>
        </w:rPr>
        <w:t xml:space="preserve">5.4 RWA Tokenisation</w:t>
      </w:r>
    </w:p>
    <w:p>
      <w:pPr>
        <w:spacing w:after="180" w:before="100" w:line="340"/>
      </w:pPr>
      <w:r>
        <w:rPr>
          <w:rFonts w:ascii="Calibri" w:cs="Calibri" w:eastAsia="Calibri" w:hAnsi="Calibri"/>
          <w:color w:val="444444"/>
          <w:sz w:val="22"/>
          <w:szCs w:val="22"/>
        </w:rPr>
        <w:t xml:space="preserve">Samrudo's Real World Asset layer brings India's largest asset classes onto BharatChain:</w:t>
      </w:r>
    </w:p>
    <w:p>
      <w:pPr>
        <w:pStyle w:val="ListParagraph"/>
        <w:numPr>
          <w:ilvl w:val="0"/>
          <w:numId w:val="1"/>
        </w:numPr>
        <w:spacing w:after="60" w:before="60" w:line="300"/>
      </w:pPr>
      <w:r>
        <w:rPr>
          <w:rFonts w:ascii="Calibri" w:cs="Calibri" w:eastAsia="Calibri" w:hAnsi="Calibri"/>
          <w:color w:val="444444"/>
          <w:sz w:val="22"/>
          <w:szCs w:val="22"/>
        </w:rPr>
        <w:t xml:space="preserve">Digital Gold (DGLD): tokenised physical gold, 1 DGLD = 1 gram of audited gold</w:t>
      </w:r>
    </w:p>
    <w:p>
      <w:pPr>
        <w:pStyle w:val="ListParagraph"/>
        <w:numPr>
          <w:ilvl w:val="0"/>
          <w:numId w:val="1"/>
        </w:numPr>
        <w:spacing w:after="60" w:before="60" w:line="300"/>
      </w:pPr>
      <w:r>
        <w:rPr>
          <w:rFonts w:ascii="Calibri" w:cs="Calibri" w:eastAsia="Calibri" w:hAnsi="Calibri"/>
          <w:color w:val="444444"/>
          <w:sz w:val="22"/>
          <w:szCs w:val="22"/>
        </w:rPr>
        <w:t xml:space="preserve">Fractional Real Estate (REIT tokens): own ₹100 worth of Mumbai commercial property</w:t>
      </w:r>
    </w:p>
    <w:p>
      <w:pPr>
        <w:pStyle w:val="ListParagraph"/>
        <w:numPr>
          <w:ilvl w:val="0"/>
          <w:numId w:val="1"/>
        </w:numPr>
        <w:spacing w:after="60" w:before="60" w:line="300"/>
      </w:pPr>
      <w:r>
        <w:rPr>
          <w:rFonts w:ascii="Calibri" w:cs="Calibri" w:eastAsia="Calibri" w:hAnsi="Calibri"/>
          <w:color w:val="444444"/>
          <w:sz w:val="22"/>
          <w:szCs w:val="22"/>
        </w:rPr>
        <w:t xml:space="preserve">Agri tokens: invest in wheat, rice, and cotton futures backed by NCDEX contracts</w:t>
      </w:r>
    </w:p>
    <w:p>
      <w:pPr>
        <w:pStyle w:val="Heading2"/>
        <w:spacing w:after="160" w:before="320"/>
      </w:pPr>
      <w:r>
        <w:t xml:space="preserve">5.5 Cross-Border Remittance Rails</w:t>
      </w:r>
      <w:r>
        <w:rPr>
          <w:rFonts w:ascii="Calibri" w:cs="Calibri" w:eastAsia="Calibri" w:hAnsi="Calibri"/>
          <w:b/>
          <w:bCs/>
          <w:color w:val="2C5F2E"/>
          <w:sz w:val="28"/>
          <w:szCs w:val="28"/>
        </w:rPr>
        <w:t xml:space="preserve">5.5 Cross-Border Remittance Rails</w:t>
      </w:r>
    </w:p>
    <w:p>
      <w:pPr>
        <w:spacing w:after="180" w:before="100" w:line="340"/>
      </w:pPr>
      <w:r>
        <w:rPr>
          <w:rFonts w:ascii="Calibri" w:cs="Calibri" w:eastAsia="Calibri" w:hAnsi="Calibri"/>
          <w:color w:val="444444"/>
          <w:sz w:val="22"/>
          <w:szCs w:val="22"/>
        </w:rPr>
        <w:t xml:space="preserve">Send money from UAE, UK, USA, or Singapore to any Indian UPI address in under 30 seconds at 0.1% fees — compared to 4–8% via SWIFT or hawala networks. Samrudo partners with licensed money transfer operators (MTOs) in each corridor for regulatory compliance.</w:t>
      </w:r>
    </w:p>
    <w:p>
      <w:pPr>
        <w:pStyle w:val="Heading2"/>
        <w:spacing w:after="160" w:before="320"/>
      </w:pPr>
      <w:r>
        <w:t xml:space="preserve">5.6 Freelancer Earn + Spend</w:t>
      </w:r>
      <w:r>
        <w:rPr>
          <w:rFonts w:ascii="Calibri" w:cs="Calibri" w:eastAsia="Calibri" w:hAnsi="Calibri"/>
          <w:b/>
          <w:bCs/>
          <w:color w:val="2C5F2E"/>
          <w:sz w:val="28"/>
          <w:szCs w:val="28"/>
        </w:rPr>
        <w:t xml:space="preserve">5.6 Freelancer Earn + Spend</w:t>
      </w:r>
    </w:p>
    <w:p>
      <w:pPr>
        <w:spacing w:after="180" w:before="100" w:line="340"/>
      </w:pPr>
      <w:r>
        <w:rPr>
          <w:rFonts w:ascii="Calibri" w:cs="Calibri" w:eastAsia="Calibri" w:hAnsi="Calibri"/>
          <w:color w:val="444444"/>
          <w:sz w:val="22"/>
          <w:szCs w:val="22"/>
        </w:rPr>
        <w:t xml:space="preserve">India's 15 million freelancers can now receive USD/USDT payments from global clients directly into their Samrudo wallet, convert to INRX automatically, and spend via UPI — with auto-generated Form 26AS compatible income reports for ITR filing.</w:t>
      </w:r>
    </w:p>
    <w:p>
      <w:pPr>
        <w:pBdr>
          <w:bottom w:val="single" w:color="E0DDD4" w:sz="4"/>
        </w:pBdr>
        <w:spacing w:after="200" w:before="200"/>
      </w:pPr>
    </w:p>
    <w:p>
      <w:pPr>
        <w:pStyle w:val="Heading1"/>
        <w:spacing w:after="160" w:before="320"/>
      </w:pPr>
      <w:r>
        <w:t xml:space="preserve">6. Technology Architecture</w:t>
      </w:r>
      <w:r>
        <w:rPr>
          <w:rFonts w:ascii="Calibri" w:cs="Calibri" w:eastAsia="Calibri" w:hAnsi="Calibri"/>
          <w:b/>
          <w:bCs/>
          <w:color w:val="2C5F2E"/>
          <w:sz w:val="28"/>
          <w:szCs w:val="28"/>
        </w:rPr>
        <w:t xml:space="preserve">6. Technology Architecture</w:t>
      </w:r>
    </w:p>
    <w:p>
      <w:pPr>
        <w:pStyle w:val="Heading2"/>
        <w:spacing w:after="160" w:before="320"/>
      </w:pPr>
      <w:r>
        <w:t xml:space="preserve">6.1 Consensus Mechanism</w:t>
      </w:r>
      <w:r>
        <w:rPr>
          <w:rFonts w:ascii="Calibri" w:cs="Calibri" w:eastAsia="Calibri" w:hAnsi="Calibri"/>
          <w:b/>
          <w:bCs/>
          <w:color w:val="2C5F2E"/>
          <w:sz w:val="28"/>
          <w:szCs w:val="28"/>
        </w:rPr>
        <w:t xml:space="preserve">6.1 Consensus Mechanism</w:t>
      </w:r>
    </w:p>
    <w:p>
      <w:pPr>
        <w:spacing w:after="180" w:before="100" w:line="340"/>
      </w:pPr>
      <w:r>
        <w:rPr>
          <w:rFonts w:ascii="Calibri" w:cs="Calibri" w:eastAsia="Calibri" w:hAnsi="Calibri"/>
          <w:color w:val="444444"/>
          <w:sz w:val="22"/>
          <w:szCs w:val="22"/>
        </w:rPr>
        <w:t xml:space="preserve">BharatChain uses Delegated Proof of Stake (DPoS) with 21 elected validator nodes. Token holders stake $SMRD to vote for validators. Validators earn block rewards + transaction fees. Minimum validator stake: 1,00,000 $SMRD. Slashing conditions: double-signing, downtime &gt; 12 hours.</w:t>
      </w:r>
    </w:p>
    <w:p>
      <w:pPr>
        <w:pStyle w:val="Heading2"/>
        <w:spacing w:after="160" w:before="320"/>
      </w:pPr>
      <w:r>
        <w:t xml:space="preserve">6.2 Smart Contract Layer</w:t>
      </w:r>
      <w:r>
        <w:rPr>
          <w:rFonts w:ascii="Calibri" w:cs="Calibri" w:eastAsia="Calibri" w:hAnsi="Calibri"/>
          <w:b/>
          <w:bCs/>
          <w:color w:val="2C5F2E"/>
          <w:sz w:val="28"/>
          <w:szCs w:val="28"/>
        </w:rPr>
        <w:t xml:space="preserve">6.2 Smart Contract Layer</w:t>
      </w:r>
    </w:p>
    <w:p>
      <w:pPr>
        <w:spacing w:after="180" w:before="100" w:line="340"/>
      </w:pPr>
      <w:r>
        <w:rPr>
          <w:rFonts w:ascii="Calibri" w:cs="Calibri" w:eastAsia="Calibri" w:hAnsi="Calibri"/>
          <w:color w:val="444444"/>
          <w:sz w:val="22"/>
          <w:szCs w:val="22"/>
        </w:rPr>
        <w:t xml:space="preserve">BharatChain is EVM-compatible — Solidity smart contracts deploy without modification. The native smart contract VM also supports CosmWasm for interoperability with Cosmos-based chains (IBC protocol). This enables Samrudo to bridge assets with Cosmos, Ethereum, and BNB Chain natively.</w:t>
      </w:r>
    </w:p>
    <w:p>
      <w:pPr>
        <w:pStyle w:val="Heading2"/>
        <w:spacing w:after="160" w:before="320"/>
      </w:pPr>
      <w:r>
        <w:t xml:space="preserve">6.3 UPI Bridge Architecture</w:t>
      </w:r>
      <w:r>
        <w:rPr>
          <w:rFonts w:ascii="Calibri" w:cs="Calibri" w:eastAsia="Calibri" w:hAnsi="Calibri"/>
          <w:b/>
          <w:bCs/>
          <w:color w:val="2C5F2E"/>
          <w:sz w:val="28"/>
          <w:szCs w:val="28"/>
        </w:rPr>
        <w:t xml:space="preserve">6.3 UPI Bridge Architecture</w:t>
      </w:r>
    </w:p>
    <w:p>
      <w:pPr>
        <w:spacing w:after="180" w:before="100" w:line="340"/>
      </w:pPr>
      <w:r>
        <w:rPr>
          <w:rFonts w:ascii="Calibri" w:cs="Calibri" w:eastAsia="Calibri" w:hAnsi="Calibri"/>
          <w:color w:val="444444"/>
          <w:sz w:val="22"/>
          <w:szCs w:val="22"/>
        </w:rPr>
        <w:t xml:space="preserve">The UPI bridge operates through a licensed Payment Aggregator (PA) partnership under RBI's PA regulations. Flow: User scans UPI QR → Samrudo app decodes VPA → INRX locked in escrow smart contract → PA layer converts INRX to INR → UPI payment sent to merchant VPA → confirmation in &lt; 30 seconds.</w:t>
      </w:r>
    </w:p>
    <w:p>
      <w:pPr>
        <w:pStyle w:val="Heading2"/>
        <w:spacing w:after="160" w:before="320"/>
      </w:pPr>
      <w:r>
        <w:t xml:space="preserve">6.4 Security Model</w:t>
      </w:r>
      <w:r>
        <w:rPr>
          <w:rFonts w:ascii="Calibri" w:cs="Calibri" w:eastAsia="Calibri" w:hAnsi="Calibri"/>
          <w:b/>
          <w:bCs/>
          <w:color w:val="2C5F2E"/>
          <w:sz w:val="28"/>
          <w:szCs w:val="28"/>
        </w:rPr>
        <w:t xml:space="preserve">6.4 Security Model</w:t>
      </w:r>
    </w:p>
    <w:p>
      <w:pPr>
        <w:spacing w:after="180" w:before="100" w:line="340"/>
      </w:pPr>
      <w:r>
        <w:rPr>
          <w:rFonts w:ascii="Calibri" w:cs="Calibri" w:eastAsia="Calibri" w:hAnsi="Calibri"/>
          <w:color w:val="444444"/>
          <w:sz w:val="22"/>
          <w:szCs w:val="22"/>
        </w:rPr>
        <w:t xml:space="preserve">BharatChain employs multi-layer security: formal verification of core contracts (CertiK audit), a ₹10 crore bug bounty program, a Samrudo Security Council (7 multisig) for emergency pauses, and quarterly third-party penetration testing. All validator keys use HSM (Hardware Security Modules).</w:t>
      </w:r>
    </w:p>
    <w:p>
      <w:pPr>
        <w:pBdr>
          <w:bottom w:val="single" w:color="E0DDD4" w:sz="4"/>
        </w:pBdr>
        <w:spacing w:after="200" w:before="200"/>
      </w:pPr>
    </w:p>
    <w:p>
      <w:pPr>
        <w:pStyle w:val="Heading1"/>
        <w:spacing w:after="160" w:before="320"/>
      </w:pPr>
      <w:r>
        <w:t xml:space="preserve">7. Tokenomics</w:t>
      </w:r>
      <w:r>
        <w:rPr>
          <w:rFonts w:ascii="Calibri" w:cs="Calibri" w:eastAsia="Calibri" w:hAnsi="Calibri"/>
          <w:b/>
          <w:bCs/>
          <w:color w:val="2C5F2E"/>
          <w:sz w:val="28"/>
          <w:szCs w:val="28"/>
        </w:rPr>
        <w:t xml:space="preserve">7. Tokenomics</w:t>
      </w:r>
    </w:p>
    <w:p>
      <w:pPr>
        <w:pStyle w:val="Heading2"/>
        <w:spacing w:after="160" w:before="320"/>
      </w:pPr>
      <w:r>
        <w:t xml:space="preserve">7.1 Token Supply</w:t>
      </w:r>
      <w:r>
        <w:rPr>
          <w:rFonts w:ascii="Calibri" w:cs="Calibri" w:eastAsia="Calibri" w:hAnsi="Calibri"/>
          <w:b/>
          <w:bCs/>
          <w:color w:val="2C5F2E"/>
          <w:sz w:val="28"/>
          <w:szCs w:val="28"/>
        </w:rPr>
        <w:t xml:space="preserve">7.1 Token Supply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shd w:fill="EAF3DE" w:val="clear"/>
          </w:tcPr>
          <w:p>
            <w:r>
              <w:rPr>
                <w:rFonts w:ascii="Calibri" w:cs="Calibri" w:eastAsia="Calibri" w:hAnsi="Calibri"/>
                <w:b/>
                <w:bCs/>
                <w:color w:val="2C5F2E"/>
                <w:sz w:val="20"/>
                <w:szCs w:val="20"/>
              </w:rPr>
              <w:t xml:space="preserve">Token name</w:t>
            </w:r>
          </w:p>
        </w:tc>
        <w:tc>
          <w:tcPr>
            <w:tcW w:type="dxa" w:w="5500"/>
            <w:shd w:fill="EAF3DE" w:val="clear"/>
          </w:tcPr>
          <w:p>
            <w:r>
              <w:rPr>
                <w:rFonts w:ascii="Calibri" w:cs="Calibri" w:eastAsia="Calibri" w:hAnsi="Calibri"/>
                <w:color w:val="444444"/>
                <w:sz w:val="20"/>
                <w:szCs w:val="20"/>
              </w:rPr>
              <w:t xml:space="preserve">Samrudo</w:t>
            </w:r>
          </w:p>
        </w:tc>
      </w:tr>
      <w:tr>
        <w:tc>
          <w:tcPr>
            <w:tcW w:type="dxa" w:w="4000"/>
          </w:tcPr>
          <w:p>
            <w:r>
              <w:rPr>
                <w:rFonts w:ascii="Calibri" w:cs="Calibri" w:eastAsia="Calibri" w:hAnsi="Calibri"/>
                <w:b/>
                <w:bCs/>
                <w:color w:val="2C5F2E"/>
                <w:sz w:val="20"/>
                <w:szCs w:val="20"/>
              </w:rPr>
              <w:t xml:space="preserve">Ticker symbol</w:t>
            </w:r>
          </w:p>
        </w:tc>
        <w:tc>
          <w:tcPr>
            <w:tcW w:type="dxa" w:w="5500"/>
          </w:tcPr>
          <w:p>
            <w:r>
              <w:rPr>
                <w:rFonts w:ascii="Calibri" w:cs="Calibri" w:eastAsia="Calibri" w:hAnsi="Calibri"/>
                <w:color w:val="444444"/>
                <w:sz w:val="20"/>
                <w:szCs w:val="20"/>
              </w:rPr>
              <w:t xml:space="preserve">$SMRD</w:t>
            </w:r>
          </w:p>
        </w:tc>
      </w:tr>
      <w:tr>
        <w:tc>
          <w:tcPr>
            <w:tcW w:type="dxa" w:w="4000"/>
            <w:shd w:fill="EAF3DE" w:val="clear"/>
          </w:tcPr>
          <w:p>
            <w:r>
              <w:rPr>
                <w:rFonts w:ascii="Calibri" w:cs="Calibri" w:eastAsia="Calibri" w:hAnsi="Calibri"/>
                <w:b/>
                <w:bCs/>
                <w:color w:val="2C5F2E"/>
                <w:sz w:val="20"/>
                <w:szCs w:val="20"/>
              </w:rPr>
              <w:t xml:space="preserve">Total supply</w:t>
            </w:r>
          </w:p>
        </w:tc>
        <w:tc>
          <w:tcPr>
            <w:tcW w:type="dxa" w:w="5500"/>
            <w:shd w:fill="EAF3DE" w:val="clear"/>
          </w:tcPr>
          <w:p>
            <w:r>
              <w:rPr>
                <w:rFonts w:ascii="Calibri" w:cs="Calibri" w:eastAsia="Calibri" w:hAnsi="Calibri"/>
                <w:color w:val="444444"/>
                <w:sz w:val="20"/>
                <w:szCs w:val="20"/>
              </w:rPr>
              <w:t xml:space="preserve">1,000,000,000 (1 billion) $SMRD — fixed</w:t>
            </w:r>
          </w:p>
        </w:tc>
      </w:tr>
      <w:tr>
        <w:tc>
          <w:tcPr>
            <w:tcW w:type="dxa" w:w="4000"/>
          </w:tcPr>
          <w:p>
            <w:r>
              <w:rPr>
                <w:rFonts w:ascii="Calibri" w:cs="Calibri" w:eastAsia="Calibri" w:hAnsi="Calibri"/>
                <w:b/>
                <w:bCs/>
                <w:color w:val="2C5F2E"/>
                <w:sz w:val="20"/>
                <w:szCs w:val="20"/>
              </w:rPr>
              <w:t xml:space="preserve">Blockchain</w:t>
            </w:r>
          </w:p>
        </w:tc>
        <w:tc>
          <w:tcPr>
            <w:tcW w:type="dxa" w:w="5500"/>
          </w:tcPr>
          <w:p>
            <w:r>
              <w:rPr>
                <w:rFonts w:ascii="Calibri" w:cs="Calibri" w:eastAsia="Calibri" w:hAnsi="Calibri"/>
                <w:color w:val="444444"/>
                <w:sz w:val="20"/>
                <w:szCs w:val="20"/>
              </w:rPr>
              <w:t xml:space="preserve">BharatChain (own L1)</w:t>
            </w:r>
          </w:p>
        </w:tc>
      </w:tr>
      <w:tr>
        <w:tc>
          <w:tcPr>
            <w:tcW w:type="dxa" w:w="4000"/>
            <w:shd w:fill="EAF3DE" w:val="clear"/>
          </w:tcPr>
          <w:p>
            <w:r>
              <w:rPr>
                <w:rFonts w:ascii="Calibri" w:cs="Calibri" w:eastAsia="Calibri" w:hAnsi="Calibri"/>
                <w:b/>
                <w:bCs/>
                <w:color w:val="2C5F2E"/>
                <w:sz w:val="20"/>
                <w:szCs w:val="20"/>
              </w:rPr>
              <w:t xml:space="preserve">Token standard</w:t>
            </w:r>
          </w:p>
        </w:tc>
        <w:tc>
          <w:tcPr>
            <w:tcW w:type="dxa" w:w="5500"/>
            <w:shd w:fill="EAF3DE" w:val="clear"/>
          </w:tcPr>
          <w:p>
            <w:r>
              <w:rPr>
                <w:rFonts w:ascii="Calibri" w:cs="Calibri" w:eastAsia="Calibri" w:hAnsi="Calibri"/>
                <w:color w:val="444444"/>
                <w:sz w:val="20"/>
                <w:szCs w:val="20"/>
              </w:rPr>
              <w:t xml:space="preserve">Native BharatChain + ERC-20 bridge</w:t>
            </w:r>
          </w:p>
        </w:tc>
      </w:tr>
      <w:tr>
        <w:tc>
          <w:tcPr>
            <w:tcW w:type="dxa" w:w="4000"/>
          </w:tcPr>
          <w:p>
            <w:r>
              <w:rPr>
                <w:rFonts w:ascii="Calibri" w:cs="Calibri" w:eastAsia="Calibri" w:hAnsi="Calibri"/>
                <w:b/>
                <w:bCs/>
                <w:color w:val="2C5F2E"/>
                <w:sz w:val="20"/>
                <w:szCs w:val="20"/>
              </w:rPr>
              <w:t xml:space="preserve">Decimals</w:t>
            </w:r>
          </w:p>
        </w:tc>
        <w:tc>
          <w:tcPr>
            <w:tcW w:type="dxa" w:w="5500"/>
          </w:tcPr>
          <w:p>
            <w:r>
              <w:rPr>
                <w:rFonts w:ascii="Calibri" w:cs="Calibri" w:eastAsia="Calibri" w:hAnsi="Calibri"/>
                <w:color w:val="444444"/>
                <w:sz w:val="20"/>
                <w:szCs w:val="20"/>
              </w:rPr>
              <w:t xml:space="preserve">18</w:t>
            </w:r>
          </w:p>
        </w:tc>
      </w:tr>
    </w:tbl>
    <w:p>
      <w:pPr>
        <w:spacing w:before="300"/>
      </w:pPr>
    </w:p>
    <w:p>
      <w:pPr>
        <w:pStyle w:val="Heading2"/>
        <w:spacing w:after="160" w:before="320"/>
      </w:pPr>
      <w:r>
        <w:t xml:space="preserve">7.2 Token Distribution</w:t>
      </w:r>
      <w:r>
        <w:rPr>
          <w:rFonts w:ascii="Calibri" w:cs="Calibri" w:eastAsia="Calibri" w:hAnsi="Calibri"/>
          <w:b/>
          <w:bCs/>
          <w:color w:val="2C5F2E"/>
          <w:sz w:val="28"/>
          <w:szCs w:val="28"/>
        </w:rPr>
        <w:t xml:space="preserve">7.2 Token Distribution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shd w:fill="EAF3DE" w:val="clear"/>
          </w:tcPr>
          <w:p>
            <w:r>
              <w:rPr>
                <w:rFonts w:ascii="Calibri" w:cs="Calibri" w:eastAsia="Calibri" w:hAnsi="Calibri"/>
                <w:b/>
                <w:bCs/>
                <w:color w:val="2C5F2E"/>
                <w:sz w:val="20"/>
                <w:szCs w:val="20"/>
              </w:rPr>
              <w:t xml:space="preserve">Community &amp; ecosystem</w:t>
            </w:r>
          </w:p>
        </w:tc>
        <w:tc>
          <w:tcPr>
            <w:tcW w:type="dxa" w:w="5500"/>
            <w:shd w:fill="EAF3DE" w:val="clear"/>
          </w:tcPr>
          <w:p>
            <w:r>
              <w:rPr>
                <w:rFonts w:ascii="Calibri" w:cs="Calibri" w:eastAsia="Calibri" w:hAnsi="Calibri"/>
                <w:color w:val="444444"/>
                <w:sz w:val="20"/>
                <w:szCs w:val="20"/>
              </w:rPr>
              <w:t xml:space="preserve">35% — 350M SMRD</w:t>
            </w:r>
          </w:p>
        </w:tc>
      </w:tr>
      <w:tr>
        <w:tc>
          <w:tcPr>
            <w:tcW w:type="dxa" w:w="4000"/>
          </w:tcPr>
          <w:p>
            <w:r>
              <w:rPr>
                <w:rFonts w:ascii="Calibri" w:cs="Calibri" w:eastAsia="Calibri" w:hAnsi="Calibri"/>
                <w:b/>
                <w:bCs/>
                <w:color w:val="2C5F2E"/>
                <w:sz w:val="20"/>
                <w:szCs w:val="20"/>
              </w:rPr>
              <w:t xml:space="preserve">Founders &amp; team</w:t>
            </w:r>
          </w:p>
        </w:tc>
        <w:tc>
          <w:tcPr>
            <w:tcW w:type="dxa" w:w="5500"/>
          </w:tcPr>
          <w:p>
            <w:r>
              <w:rPr>
                <w:rFonts w:ascii="Calibri" w:cs="Calibri" w:eastAsia="Calibri" w:hAnsi="Calibri"/>
                <w:color w:val="444444"/>
                <w:sz w:val="20"/>
                <w:szCs w:val="20"/>
              </w:rPr>
              <w:t xml:space="preserve">15% — 150M SMRD (4-year vesting, 1-year cliff)</w:t>
            </w:r>
          </w:p>
        </w:tc>
      </w:tr>
      <w:tr>
        <w:tc>
          <w:tcPr>
            <w:tcW w:type="dxa" w:w="4000"/>
            <w:shd w:fill="EAF3DE" w:val="clear"/>
          </w:tcPr>
          <w:p>
            <w:r>
              <w:rPr>
                <w:rFonts w:ascii="Calibri" w:cs="Calibri" w:eastAsia="Calibri" w:hAnsi="Calibri"/>
                <w:b/>
                <w:bCs/>
                <w:color w:val="2C5F2E"/>
                <w:sz w:val="20"/>
                <w:szCs w:val="20"/>
              </w:rPr>
              <w:t xml:space="preserve">Investors &amp; advisors</w:t>
            </w:r>
          </w:p>
        </w:tc>
        <w:tc>
          <w:tcPr>
            <w:tcW w:type="dxa" w:w="5500"/>
            <w:shd w:fill="EAF3DE" w:val="clear"/>
          </w:tcPr>
          <w:p>
            <w:r>
              <w:rPr>
                <w:rFonts w:ascii="Calibri" w:cs="Calibri" w:eastAsia="Calibri" w:hAnsi="Calibri"/>
                <w:color w:val="444444"/>
                <w:sz w:val="20"/>
                <w:szCs w:val="20"/>
              </w:rPr>
              <w:t xml:space="preserve">12% — 120M SMRD (2-year vesting)</w:t>
            </w:r>
          </w:p>
        </w:tc>
      </w:tr>
      <w:tr>
        <w:tc>
          <w:tcPr>
            <w:tcW w:type="dxa" w:w="4000"/>
          </w:tcPr>
          <w:p>
            <w:r>
              <w:rPr>
                <w:rFonts w:ascii="Calibri" w:cs="Calibri" w:eastAsia="Calibri" w:hAnsi="Calibri"/>
                <w:b/>
                <w:bCs/>
                <w:color w:val="2C5F2E"/>
                <w:sz w:val="20"/>
                <w:szCs w:val="20"/>
              </w:rPr>
              <w:t xml:space="preserve">Reserve fund</w:t>
            </w:r>
          </w:p>
        </w:tc>
        <w:tc>
          <w:tcPr>
            <w:tcW w:type="dxa" w:w="5500"/>
          </w:tcPr>
          <w:p>
            <w:r>
              <w:rPr>
                <w:rFonts w:ascii="Calibri" w:cs="Calibri" w:eastAsia="Calibri" w:hAnsi="Calibri"/>
                <w:color w:val="444444"/>
                <w:sz w:val="20"/>
                <w:szCs w:val="20"/>
              </w:rPr>
              <w:t xml:space="preserve">15% — 150M SMRD (multisig controlled)</w:t>
            </w:r>
          </w:p>
        </w:tc>
      </w:tr>
      <w:tr>
        <w:tc>
          <w:tcPr>
            <w:tcW w:type="dxa" w:w="4000"/>
            <w:shd w:fill="EAF3DE" w:val="clear"/>
          </w:tcPr>
          <w:p>
            <w:r>
              <w:rPr>
                <w:rFonts w:ascii="Calibri" w:cs="Calibri" w:eastAsia="Calibri" w:hAnsi="Calibri"/>
                <w:b/>
                <w:bCs/>
                <w:color w:val="2C5F2E"/>
                <w:sz w:val="20"/>
                <w:szCs w:val="20"/>
              </w:rPr>
              <w:t xml:space="preserve">Liquidity provisioning</w:t>
            </w:r>
          </w:p>
        </w:tc>
        <w:tc>
          <w:tcPr>
            <w:tcW w:type="dxa" w:w="5500"/>
            <w:shd w:fill="EAF3DE" w:val="clear"/>
          </w:tcPr>
          <w:p>
            <w:r>
              <w:rPr>
                <w:rFonts w:ascii="Calibri" w:cs="Calibri" w:eastAsia="Calibri" w:hAnsi="Calibri"/>
                <w:color w:val="444444"/>
                <w:sz w:val="20"/>
                <w:szCs w:val="20"/>
              </w:rPr>
              <w:t xml:space="preserve">10% — 100M SMRD (DEX + CEX liquidity)</w:t>
            </w:r>
          </w:p>
        </w:tc>
      </w:tr>
      <w:tr>
        <w:tc>
          <w:tcPr>
            <w:tcW w:type="dxa" w:w="4000"/>
          </w:tcPr>
          <w:p>
            <w:r>
              <w:rPr>
                <w:rFonts w:ascii="Calibri" w:cs="Calibri" w:eastAsia="Calibri" w:hAnsi="Calibri"/>
                <w:b/>
                <w:bCs/>
                <w:color w:val="2C5F2E"/>
                <w:sz w:val="20"/>
                <w:szCs w:val="20"/>
              </w:rPr>
              <w:t xml:space="preserve">Staking rewards (10 years)</w:t>
            </w:r>
          </w:p>
        </w:tc>
        <w:tc>
          <w:tcPr>
            <w:tcW w:type="dxa" w:w="5500"/>
          </w:tcPr>
          <w:p>
            <w:r>
              <w:rPr>
                <w:rFonts w:ascii="Calibri" w:cs="Calibri" w:eastAsia="Calibri" w:hAnsi="Calibri"/>
                <w:color w:val="444444"/>
                <w:sz w:val="20"/>
                <w:szCs w:val="20"/>
              </w:rPr>
              <w:t xml:space="preserve">10% — 100M SMRD (released over 10 years)</w:t>
            </w:r>
          </w:p>
        </w:tc>
      </w:tr>
      <w:tr>
        <w:tc>
          <w:tcPr>
            <w:tcW w:type="dxa" w:w="4000"/>
            <w:shd w:fill="EAF3DE" w:val="clear"/>
          </w:tcPr>
          <w:p>
            <w:r>
              <w:rPr>
                <w:rFonts w:ascii="Calibri" w:cs="Calibri" w:eastAsia="Calibri" w:hAnsi="Calibri"/>
                <w:b/>
                <w:bCs/>
                <w:color w:val="2C5F2E"/>
                <w:sz w:val="20"/>
                <w:szCs w:val="20"/>
              </w:rPr>
              <w:t xml:space="preserve">Public sale / IDO</w:t>
            </w:r>
          </w:p>
        </w:tc>
        <w:tc>
          <w:tcPr>
            <w:tcW w:type="dxa" w:w="5500"/>
            <w:shd w:fill="EAF3DE" w:val="clear"/>
          </w:tcPr>
          <w:p>
            <w:r>
              <w:rPr>
                <w:rFonts w:ascii="Calibri" w:cs="Calibri" w:eastAsia="Calibri" w:hAnsi="Calibri"/>
                <w:color w:val="444444"/>
                <w:sz w:val="20"/>
                <w:szCs w:val="20"/>
              </w:rPr>
              <w:t xml:space="preserve">3% — 30M SMRD</w:t>
            </w:r>
          </w:p>
        </w:tc>
      </w:tr>
    </w:tbl>
    <w:p>
      <w:pPr>
        <w:spacing w:before="300"/>
      </w:pPr>
    </w:p>
    <w:p>
      <w:pPr>
        <w:pStyle w:val="Heading2"/>
        <w:spacing w:after="160" w:before="320"/>
      </w:pPr>
      <w:r>
        <w:t xml:space="preserve">7.3 Token Utility</w:t>
      </w:r>
      <w:r>
        <w:rPr>
          <w:rFonts w:ascii="Calibri" w:cs="Calibri" w:eastAsia="Calibri" w:hAnsi="Calibri"/>
          <w:b/>
          <w:bCs/>
          <w:color w:val="2C5F2E"/>
          <w:sz w:val="28"/>
          <w:szCs w:val="28"/>
        </w:rPr>
        <w:t xml:space="preserve">7.3 Token Utility</w:t>
      </w:r>
    </w:p>
    <w:p>
      <w:pPr>
        <w:pStyle w:val="ListParagraph"/>
        <w:numPr>
          <w:ilvl w:val="0"/>
          <w:numId w:val="1"/>
        </w:numPr>
        <w:spacing w:after="60" w:before="60" w:line="300"/>
      </w:pPr>
      <w:r>
        <w:rPr>
          <w:rFonts w:ascii="Calibri" w:cs="Calibri" w:eastAsia="Calibri" w:hAnsi="Calibri"/>
          <w:color w:val="444444"/>
          <w:sz w:val="22"/>
          <w:szCs w:val="22"/>
        </w:rPr>
        <w:t xml:space="preserve">Transaction fees: all BharatChain gas fees paid in $SMRD (or INRX with 10% premium)</w:t>
      </w:r>
    </w:p>
    <w:p>
      <w:pPr>
        <w:pStyle w:val="ListParagraph"/>
        <w:numPr>
          <w:ilvl w:val="0"/>
          <w:numId w:val="1"/>
        </w:numPr>
        <w:spacing w:after="60" w:before="60" w:line="300"/>
      </w:pPr>
      <w:r>
        <w:rPr>
          <w:rFonts w:ascii="Calibri" w:cs="Calibri" w:eastAsia="Calibri" w:hAnsi="Calibri"/>
          <w:color w:val="444444"/>
          <w:sz w:val="22"/>
          <w:szCs w:val="22"/>
        </w:rPr>
        <w:t xml:space="preserve">Staking: stake $SMRD to earn block rewards + validator selection rights</w:t>
      </w:r>
    </w:p>
    <w:p>
      <w:pPr>
        <w:pStyle w:val="ListParagraph"/>
        <w:numPr>
          <w:ilvl w:val="0"/>
          <w:numId w:val="1"/>
        </w:numPr>
        <w:spacing w:after="60" w:before="60" w:line="300"/>
      </w:pPr>
      <w:r>
        <w:rPr>
          <w:rFonts w:ascii="Calibri" w:cs="Calibri" w:eastAsia="Calibri" w:hAnsi="Calibri"/>
          <w:color w:val="444444"/>
          <w:sz w:val="22"/>
          <w:szCs w:val="22"/>
        </w:rPr>
        <w:t xml:space="preserve">Governance: 1 $SMRD = 1 vote on protocol upgrades, fee parameters, RWA listings</w:t>
      </w:r>
    </w:p>
    <w:p>
      <w:pPr>
        <w:pStyle w:val="ListParagraph"/>
        <w:numPr>
          <w:ilvl w:val="0"/>
          <w:numId w:val="1"/>
        </w:numPr>
        <w:spacing w:after="60" w:before="60" w:line="300"/>
      </w:pPr>
      <w:r>
        <w:rPr>
          <w:rFonts w:ascii="Calibri" w:cs="Calibri" w:eastAsia="Calibri" w:hAnsi="Calibri"/>
          <w:color w:val="444444"/>
          <w:sz w:val="22"/>
          <w:szCs w:val="22"/>
        </w:rPr>
        <w:t xml:space="preserve">DeFi collateral: use $SMRD as collateral to borrow INRX in Samrudo lending pools</w:t>
      </w:r>
    </w:p>
    <w:p>
      <w:pPr>
        <w:pStyle w:val="ListParagraph"/>
        <w:numPr>
          <w:ilvl w:val="0"/>
          <w:numId w:val="1"/>
        </w:numPr>
        <w:spacing w:after="60" w:before="60" w:line="300"/>
      </w:pPr>
      <w:r>
        <w:rPr>
          <w:rFonts w:ascii="Calibri" w:cs="Calibri" w:eastAsia="Calibri" w:hAnsi="Calibri"/>
          <w:color w:val="444444"/>
          <w:sz w:val="22"/>
          <w:szCs w:val="22"/>
        </w:rPr>
        <w:t xml:space="preserve">RWA access: $SMRD required to participate in tokenised gold/real estate/agri launches</w:t>
      </w:r>
    </w:p>
    <w:p>
      <w:pPr>
        <w:pStyle w:val="ListParagraph"/>
        <w:numPr>
          <w:ilvl w:val="0"/>
          <w:numId w:val="1"/>
        </w:numPr>
        <w:spacing w:after="60" w:before="60" w:line="300"/>
      </w:pPr>
      <w:r>
        <w:rPr>
          <w:rFonts w:ascii="Calibri" w:cs="Calibri" w:eastAsia="Calibri" w:hAnsi="Calibri"/>
          <w:color w:val="444444"/>
          <w:sz w:val="22"/>
          <w:szCs w:val="22"/>
        </w:rPr>
        <w:t xml:space="preserve">Fee discounts: holding 1,000+ $SMRD gives 50% fee discount on UPI bridge transactions</w:t>
      </w:r>
    </w:p>
    <w:p>
      <w:pPr>
        <w:pStyle w:val="Heading2"/>
        <w:spacing w:after="160" w:before="320"/>
      </w:pPr>
      <w:r>
        <w:t xml:space="preserve">7.4 Burn Mechanism</w:t>
      </w:r>
      <w:r>
        <w:rPr>
          <w:rFonts w:ascii="Calibri" w:cs="Calibri" w:eastAsia="Calibri" w:hAnsi="Calibri"/>
          <w:b/>
          <w:bCs/>
          <w:color w:val="2C5F2E"/>
          <w:sz w:val="28"/>
          <w:szCs w:val="28"/>
        </w:rPr>
        <w:t xml:space="preserve">7.4 Burn Mechanism</w:t>
      </w:r>
    </w:p>
    <w:p>
      <w:pPr>
        <w:spacing w:after="180" w:before="100" w:line="340"/>
      </w:pPr>
      <w:r>
        <w:rPr>
          <w:rFonts w:ascii="Calibri" w:cs="Calibri" w:eastAsia="Calibri" w:hAnsi="Calibri"/>
          <w:color w:val="444444"/>
          <w:sz w:val="22"/>
          <w:szCs w:val="22"/>
        </w:rPr>
        <w:t xml:space="preserve">20% of all UPI bridge fees are permanently burned — reducing $SMRD supply over time. At projected Year 3 volumes (₹1,000 crore daily), this burns approximately 2.4 million $SMRD per year, creating deflationary pressure aligned with network growth.</w:t>
      </w:r>
    </w:p>
    <w:p>
      <w:pPr>
        <w:pBdr>
          <w:bottom w:val="single" w:color="E0DDD4" w:sz="4"/>
        </w:pBdr>
        <w:spacing w:after="200" w:before="200"/>
      </w:pPr>
    </w:p>
    <w:p>
      <w:pPr>
        <w:pStyle w:val="Heading1"/>
        <w:spacing w:after="160" w:before="320"/>
      </w:pPr>
      <w:r>
        <w:t xml:space="preserve">8. Regulatory Strategy</w:t>
      </w:r>
      <w:r>
        <w:rPr>
          <w:rFonts w:ascii="Calibri" w:cs="Calibri" w:eastAsia="Calibri" w:hAnsi="Calibri"/>
          <w:b/>
          <w:bCs/>
          <w:color w:val="2C5F2E"/>
          <w:sz w:val="28"/>
          <w:szCs w:val="28"/>
        </w:rPr>
        <w:t xml:space="preserve">8. Regulatory Strategy</w:t>
      </w:r>
    </w:p>
    <w:p>
      <w:pPr>
        <w:pStyle w:val="Heading2"/>
        <w:spacing w:after="160" w:before="320"/>
      </w:pPr>
      <w:r>
        <w:t xml:space="preserve">8.1 India</w:t>
      </w:r>
      <w:r>
        <w:rPr>
          <w:rFonts w:ascii="Calibri" w:cs="Calibri" w:eastAsia="Calibri" w:hAnsi="Calibri"/>
          <w:b/>
          <w:bCs/>
          <w:color w:val="2C5F2E"/>
          <w:sz w:val="28"/>
          <w:szCs w:val="28"/>
        </w:rPr>
        <w:t xml:space="preserve">8.1 India</w:t>
      </w:r>
    </w:p>
    <w:p>
      <w:pPr>
        <w:spacing w:after="180" w:before="100" w:line="340"/>
      </w:pPr>
      <w:r>
        <w:rPr>
          <w:rFonts w:ascii="Calibri" w:cs="Calibri" w:eastAsia="Calibri" w:hAnsi="Calibri"/>
          <w:color w:val="444444"/>
          <w:sz w:val="22"/>
          <w:szCs w:val="22"/>
        </w:rPr>
        <w:t xml:space="preserve">Samrudo operates within India's regulatory framework from day one — not as an afterthought:</w:t>
      </w:r>
    </w:p>
    <w:p>
      <w:pPr>
        <w:pStyle w:val="ListParagraph"/>
        <w:numPr>
          <w:ilvl w:val="0"/>
          <w:numId w:val="1"/>
        </w:numPr>
        <w:spacing w:after="60" w:before="60" w:line="300"/>
      </w:pPr>
      <w:r>
        <w:rPr>
          <w:rFonts w:ascii="Calibri" w:cs="Calibri" w:eastAsia="Calibri" w:hAnsi="Calibri"/>
          <w:color w:val="444444"/>
          <w:sz w:val="22"/>
          <w:szCs w:val="22"/>
        </w:rPr>
        <w:t xml:space="preserve">FIU-IND registration as a Virtual Digital Asset Service Provider (VASP)</w:t>
      </w:r>
    </w:p>
    <w:p>
      <w:pPr>
        <w:pStyle w:val="ListParagraph"/>
        <w:numPr>
          <w:ilvl w:val="0"/>
          <w:numId w:val="1"/>
        </w:numPr>
        <w:spacing w:after="60" w:before="60" w:line="300"/>
      </w:pPr>
      <w:r>
        <w:rPr>
          <w:rFonts w:ascii="Calibri" w:cs="Calibri" w:eastAsia="Calibri" w:hAnsi="Calibri"/>
          <w:color w:val="444444"/>
          <w:sz w:val="22"/>
          <w:szCs w:val="22"/>
        </w:rPr>
        <w:t xml:space="preserve">KYC/AML compliance using Aadhaar-based eKYC and PAN verification</w:t>
      </w:r>
    </w:p>
    <w:p>
      <w:pPr>
        <w:pStyle w:val="ListParagraph"/>
        <w:numPr>
          <w:ilvl w:val="0"/>
          <w:numId w:val="1"/>
        </w:numPr>
        <w:spacing w:after="60" w:before="60" w:line="300"/>
      </w:pPr>
      <w:r>
        <w:rPr>
          <w:rFonts w:ascii="Calibri" w:cs="Calibri" w:eastAsia="Calibri" w:hAnsi="Calibri"/>
          <w:color w:val="444444"/>
          <w:sz w:val="22"/>
          <w:szCs w:val="22"/>
        </w:rPr>
        <w:t xml:space="preserve">30% TDS reporting infrastructure built into the wallet for user ITR compliance</w:t>
      </w:r>
    </w:p>
    <w:p>
      <w:pPr>
        <w:pStyle w:val="ListParagraph"/>
        <w:numPr>
          <w:ilvl w:val="0"/>
          <w:numId w:val="1"/>
        </w:numPr>
        <w:spacing w:after="60" w:before="60" w:line="300"/>
      </w:pPr>
      <w:r>
        <w:rPr>
          <w:rFonts w:ascii="Calibri" w:cs="Calibri" w:eastAsia="Calibri" w:hAnsi="Calibri"/>
          <w:color w:val="444444"/>
          <w:sz w:val="22"/>
          <w:szCs w:val="22"/>
        </w:rPr>
        <w:t xml:space="preserve">UPI bridge operates through RBI-licensed Payment Aggregator partnership</w:t>
      </w:r>
    </w:p>
    <w:p>
      <w:pPr>
        <w:pStyle w:val="ListParagraph"/>
        <w:numPr>
          <w:ilvl w:val="0"/>
          <w:numId w:val="1"/>
        </w:numPr>
        <w:spacing w:after="60" w:before="60" w:line="300"/>
      </w:pPr>
      <w:r>
        <w:rPr>
          <w:rFonts w:ascii="Calibri" w:cs="Calibri" w:eastAsia="Calibri" w:hAnsi="Calibri"/>
          <w:color w:val="444444"/>
          <w:sz w:val="22"/>
          <w:szCs w:val="22"/>
        </w:rPr>
        <w:t xml:space="preserve">RWA tokenisation structured as fractional ownership under SEBI's framework</w:t>
      </w:r>
    </w:p>
    <w:p>
      <w:pPr>
        <w:pStyle w:val="Heading2"/>
        <w:spacing w:after="160" w:before="320"/>
      </w:pPr>
      <w:r>
        <w:t xml:space="preserve">8.2 International Jurisdictions</w:t>
      </w:r>
      <w:r>
        <w:rPr>
          <w:rFonts w:ascii="Calibri" w:cs="Calibri" w:eastAsia="Calibri" w:hAnsi="Calibri"/>
          <w:b/>
          <w:bCs/>
          <w:color w:val="2C5F2E"/>
          <w:sz w:val="28"/>
          <w:szCs w:val="28"/>
        </w:rPr>
        <w:t xml:space="preserve">8.2 International Jurisdictions</w:t>
      </w:r>
    </w:p>
    <w:p>
      <w:pPr>
        <w:spacing w:after="180" w:before="100" w:line="340"/>
      </w:pPr>
      <w:r>
        <w:rPr>
          <w:rFonts w:ascii="Calibri" w:cs="Calibri" w:eastAsia="Calibri" w:hAnsi="Calibri"/>
          <w:color w:val="444444"/>
          <w:sz w:val="22"/>
          <w:szCs w:val="22"/>
        </w:rPr>
        <w:t xml:space="preserve">The Samrudo Foundation is incorporated in Singapore (a crypto-friendly jurisdiction with MAS oversight). Remittance corridors operate through licensed MTOs in UAE (CBUAE licensed), UK (FCA registered), and USA (FinCEN MSB registered). This gives Samrudo a clean regulatory trail across all major Indian diaspora corridors.</w:t>
      </w:r>
    </w:p>
    <w:p>
      <w:pPr>
        <w:pBdr>
          <w:bottom w:val="single" w:color="E0DDD4" w:sz="4"/>
        </w:pBdr>
        <w:spacing w:after="200" w:before="200"/>
      </w:pPr>
    </w:p>
    <w:p>
      <w:pPr>
        <w:pStyle w:val="Heading1"/>
        <w:spacing w:after="160" w:before="320"/>
      </w:pPr>
      <w:r>
        <w:t xml:space="preserve">9. Go-to-Market Strategy</w:t>
      </w:r>
      <w:r>
        <w:rPr>
          <w:rFonts w:ascii="Calibri" w:cs="Calibri" w:eastAsia="Calibri" w:hAnsi="Calibri"/>
          <w:b/>
          <w:bCs/>
          <w:color w:val="2C5F2E"/>
          <w:sz w:val="28"/>
          <w:szCs w:val="28"/>
        </w:rPr>
        <w:t xml:space="preserve">9. Go-to-Market Strategy</w:t>
      </w:r>
    </w:p>
    <w:p>
      <w:pPr>
        <w:pStyle w:val="Heading2"/>
        <w:spacing w:after="160" w:before="320"/>
      </w:pPr>
      <w:r>
        <w:t xml:space="preserve">Phase 1 — Bharat First (Month 1–9)</w:t>
      </w:r>
      <w:r>
        <w:rPr>
          <w:rFonts w:ascii="Calibri" w:cs="Calibri" w:eastAsia="Calibri" w:hAnsi="Calibri"/>
          <w:b/>
          <w:bCs/>
          <w:color w:val="2C5F2E"/>
          <w:sz w:val="28"/>
          <w:szCs w:val="28"/>
        </w:rPr>
        <w:t xml:space="preserve">Phase 1 — Bharat First (Month 1–9)</w:t>
      </w:r>
    </w:p>
    <w:p>
      <w:pPr>
        <w:spacing w:after="180" w:before="100" w:line="340"/>
      </w:pPr>
      <w:r>
        <w:rPr>
          <w:rFonts w:ascii="Calibri" w:cs="Calibri" w:eastAsia="Calibri" w:hAnsi="Calibri"/>
          <w:color w:val="444444"/>
          <w:sz w:val="22"/>
          <w:szCs w:val="22"/>
        </w:rPr>
        <w:t xml:space="preserve">Launch in Tier 2 and 3 Indian cities first — not Mumbai and Bangalore. Target: auto-drivers, small traders, freelancers, and gig workers who use UPI daily but have no access to crypto. Partner with regional language YouTubers (Hindi, Tamil, Telugu) for community building. Target: 1 lakh wallets in 6 months.</w:t>
      </w:r>
    </w:p>
    <w:p>
      <w:pPr>
        <w:pStyle w:val="Heading2"/>
        <w:spacing w:after="160" w:before="320"/>
      </w:pPr>
      <w:r>
        <w:t xml:space="preserve">Phase 2 — Diaspora Corridor (Month 9–18)</w:t>
      </w:r>
      <w:r>
        <w:rPr>
          <w:rFonts w:ascii="Calibri" w:cs="Calibri" w:eastAsia="Calibri" w:hAnsi="Calibri"/>
          <w:b/>
          <w:bCs/>
          <w:color w:val="2C5F2E"/>
          <w:sz w:val="28"/>
          <w:szCs w:val="28"/>
        </w:rPr>
        <w:t xml:space="preserve">Phase 2 — Diaspora Corridor (Month 9–18)</w:t>
      </w:r>
    </w:p>
    <w:p>
      <w:pPr>
        <w:spacing w:after="180" w:before="100" w:line="340"/>
      </w:pPr>
      <w:r>
        <w:rPr>
          <w:rFonts w:ascii="Calibri" w:cs="Calibri" w:eastAsia="Calibri" w:hAnsi="Calibri"/>
          <w:color w:val="444444"/>
          <w:sz w:val="22"/>
          <w:szCs w:val="22"/>
        </w:rPr>
        <w:t xml:space="preserve">Launch remittance product for Indian diaspora in UAE, UK, and USA. Partner with Indian community associations, cricket clubs, and regional associations. Target: 10,000 active monthly remittance users generating real volume by Month 18.</w:t>
      </w:r>
    </w:p>
    <w:p>
      <w:pPr>
        <w:pStyle w:val="Heading2"/>
        <w:spacing w:after="160" w:before="320"/>
      </w:pPr>
      <w:r>
        <w:t xml:space="preserve">Phase 3 — DeFi &amp; RWA (Month 18–30)</w:t>
      </w:r>
      <w:r>
        <w:rPr>
          <w:rFonts w:ascii="Calibri" w:cs="Calibri" w:eastAsia="Calibri" w:hAnsi="Calibri"/>
          <w:b/>
          <w:bCs/>
          <w:color w:val="2C5F2E"/>
          <w:sz w:val="28"/>
          <w:szCs w:val="28"/>
        </w:rPr>
        <w:t xml:space="preserve">Phase 3 — DeFi &amp; RWA (Month 18–30)</w:t>
      </w:r>
    </w:p>
    <w:p>
      <w:pPr>
        <w:spacing w:after="180" w:before="100" w:line="340"/>
      </w:pPr>
      <w:r>
        <w:rPr>
          <w:rFonts w:ascii="Calibri" w:cs="Calibri" w:eastAsia="Calibri" w:hAnsi="Calibri"/>
          <w:color w:val="444444"/>
          <w:sz w:val="22"/>
          <w:szCs w:val="22"/>
        </w:rPr>
        <w:t xml:space="preserve">Launch compliant DeFi products — lending, staking, SIP mode — and the first RWA tokenisation (Digital Gold). Partner with NBFC for lending regulatory cover. Target: ₹100 crore TVL (Total Value Locked) by Month 30.</w:t>
      </w:r>
    </w:p>
    <w:p>
      <w:pPr>
        <w:pStyle w:val="Heading2"/>
        <w:spacing w:after="160" w:before="320"/>
      </w:pPr>
      <w:r>
        <w:t xml:space="preserve">Phase 4 — Global Exchange Listings (Month 30–36)</w:t>
      </w:r>
      <w:r>
        <w:rPr>
          <w:rFonts w:ascii="Calibri" w:cs="Calibri" w:eastAsia="Calibri" w:hAnsi="Calibri"/>
          <w:b/>
          <w:bCs/>
          <w:color w:val="2C5F2E"/>
          <w:sz w:val="28"/>
          <w:szCs w:val="28"/>
        </w:rPr>
        <w:t xml:space="preserve">Phase 4 — Global Exchange Listings (Month 30–36)</w:t>
      </w:r>
    </w:p>
    <w:p>
      <w:pPr>
        <w:spacing w:after="180" w:before="100" w:line="340"/>
      </w:pPr>
      <w:r>
        <w:rPr>
          <w:rFonts w:ascii="Calibri" w:cs="Calibri" w:eastAsia="Calibri" w:hAnsi="Calibri"/>
          <w:color w:val="444444"/>
          <w:sz w:val="22"/>
          <w:szCs w:val="22"/>
        </w:rPr>
        <w:t xml:space="preserve">Apply for KuCoin, Bybit, and Gate.io listings based on proven traction. Apply for Binance and Coinbase based on community size, volume, and compliance track record. Target: Top 500 CoinMarketCap ranking by Month 36.</w:t>
      </w:r>
    </w:p>
    <w:p>
      <w:pPr>
        <w:pBdr>
          <w:bottom w:val="single" w:color="E0DDD4" w:sz="4"/>
        </w:pBdr>
        <w:spacing w:after="200" w:before="200"/>
      </w:pPr>
    </w:p>
    <w:p>
      <w:pPr>
        <w:pStyle w:val="Heading1"/>
        <w:spacing w:after="160" w:before="320"/>
      </w:pPr>
      <w:r>
        <w:t xml:space="preserve">10. Roadmap</w:t>
      </w:r>
      <w:r>
        <w:rPr>
          <w:rFonts w:ascii="Calibri" w:cs="Calibri" w:eastAsia="Calibri" w:hAnsi="Calibri"/>
          <w:b/>
          <w:bCs/>
          <w:color w:val="2C5F2E"/>
          <w:sz w:val="28"/>
          <w:szCs w:val="28"/>
        </w:rPr>
        <w:t xml:space="preserve">10. Roadmap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shd w:fill="EAF3DE" w:val="clear"/>
          </w:tcPr>
          <w:p>
            <w:r>
              <w:rPr>
                <w:rFonts w:ascii="Calibri" w:cs="Calibri" w:eastAsia="Calibri" w:hAnsi="Calibri"/>
                <w:b/>
                <w:bCs/>
                <w:color w:val="2C5F2E"/>
                <w:sz w:val="20"/>
                <w:szCs w:val="20"/>
              </w:rPr>
              <w:t xml:space="preserve">Q3 2026</w:t>
            </w:r>
          </w:p>
        </w:tc>
        <w:tc>
          <w:tcPr>
            <w:tcW w:type="dxa" w:w="5500"/>
            <w:shd w:fill="EAF3DE" w:val="clear"/>
          </w:tcPr>
          <w:p>
            <w:r>
              <w:rPr>
                <w:rFonts w:ascii="Calibri" w:cs="Calibri" w:eastAsia="Calibri" w:hAnsi="Calibri"/>
                <w:color w:val="444444"/>
                <w:sz w:val="20"/>
                <w:szCs w:val="20"/>
              </w:rPr>
              <w:t xml:space="preserve">Trademark filing (IP India + USPTO), domain registration, team formation, whitepaper release</w:t>
            </w:r>
          </w:p>
        </w:tc>
      </w:tr>
      <w:tr>
        <w:tc>
          <w:tcPr>
            <w:tcW w:type="dxa" w:w="4000"/>
          </w:tcPr>
          <w:p>
            <w:r>
              <w:rPr>
                <w:rFonts w:ascii="Calibri" w:cs="Calibri" w:eastAsia="Calibri" w:hAnsi="Calibri"/>
                <w:b/>
                <w:bCs/>
                <w:color w:val="2C5F2E"/>
                <w:sz w:val="20"/>
                <w:szCs w:val="20"/>
              </w:rPr>
              <w:t xml:space="preserve">Q4 2026</w:t>
            </w:r>
          </w:p>
        </w:tc>
        <w:tc>
          <w:tcPr>
            <w:tcW w:type="dxa" w:w="5500"/>
          </w:tcPr>
          <w:p>
            <w:r>
              <w:rPr>
                <w:rFonts w:ascii="Calibri" w:cs="Calibri" w:eastAsia="Calibri" w:hAnsi="Calibri"/>
                <w:color w:val="444444"/>
                <w:sz w:val="20"/>
                <w:szCs w:val="20"/>
              </w:rPr>
              <w:t xml:space="preserve">BharatChain testnet launch, smart contract development, security audit (CertiK), seed funding raise</w:t>
            </w:r>
          </w:p>
        </w:tc>
      </w:tr>
      <w:tr>
        <w:tc>
          <w:tcPr>
            <w:tcW w:type="dxa" w:w="4000"/>
            <w:shd w:fill="EAF3DE" w:val="clear"/>
          </w:tcPr>
          <w:p>
            <w:r>
              <w:rPr>
                <w:rFonts w:ascii="Calibri" w:cs="Calibri" w:eastAsia="Calibri" w:hAnsi="Calibri"/>
                <w:b/>
                <w:bCs/>
                <w:color w:val="2C5F2E"/>
                <w:sz w:val="20"/>
                <w:szCs w:val="20"/>
              </w:rPr>
              <w:t xml:space="preserve">Q1 2027</w:t>
            </w:r>
          </w:p>
        </w:tc>
        <w:tc>
          <w:tcPr>
            <w:tcW w:type="dxa" w:w="5500"/>
            <w:shd w:fill="EAF3DE" w:val="clear"/>
          </w:tcPr>
          <w:p>
            <w:r>
              <w:rPr>
                <w:rFonts w:ascii="Calibri" w:cs="Calibri" w:eastAsia="Calibri" w:hAnsi="Calibri"/>
                <w:color w:val="444444"/>
                <w:sz w:val="20"/>
                <w:szCs w:val="20"/>
              </w:rPr>
              <w:t xml:space="preserve">BharatChain mainnet launch, Samrudo Wallet beta (Hindi + English), DEX listing (Uniswap/PancakeSwap)</w:t>
            </w:r>
          </w:p>
        </w:tc>
      </w:tr>
      <w:tr>
        <w:tc>
          <w:tcPr>
            <w:tcW w:type="dxa" w:w="4000"/>
          </w:tcPr>
          <w:p>
            <w:r>
              <w:rPr>
                <w:rFonts w:ascii="Calibri" w:cs="Calibri" w:eastAsia="Calibri" w:hAnsi="Calibri"/>
                <w:b/>
                <w:bCs/>
                <w:color w:val="2C5F2E"/>
                <w:sz w:val="20"/>
                <w:szCs w:val="20"/>
              </w:rPr>
              <w:t xml:space="preserve">Q2 2027</w:t>
            </w:r>
          </w:p>
        </w:tc>
        <w:tc>
          <w:tcPr>
            <w:tcW w:type="dxa" w:w="5500"/>
          </w:tcPr>
          <w:p>
            <w:r>
              <w:rPr>
                <w:rFonts w:ascii="Calibri" w:cs="Calibri" w:eastAsia="Calibri" w:hAnsi="Calibri"/>
                <w:color w:val="444444"/>
                <w:sz w:val="20"/>
                <w:szCs w:val="20"/>
              </w:rPr>
              <w:t xml:space="preserve">UPI bridge v1 launch, 22-language wallet, CoinDCX + WazirX listing, 1 lakh wallet target</w:t>
            </w:r>
          </w:p>
        </w:tc>
      </w:tr>
      <w:tr>
        <w:tc>
          <w:tcPr>
            <w:tcW w:type="dxa" w:w="4000"/>
            <w:shd w:fill="EAF3DE" w:val="clear"/>
          </w:tcPr>
          <w:p>
            <w:r>
              <w:rPr>
                <w:rFonts w:ascii="Calibri" w:cs="Calibri" w:eastAsia="Calibri" w:hAnsi="Calibri"/>
                <w:b/>
                <w:bCs/>
                <w:color w:val="2C5F2E"/>
                <w:sz w:val="20"/>
                <w:szCs w:val="20"/>
              </w:rPr>
              <w:t xml:space="preserve">Q3 2027</w:t>
            </w:r>
          </w:p>
        </w:tc>
        <w:tc>
          <w:tcPr>
            <w:tcW w:type="dxa" w:w="5500"/>
            <w:shd w:fill="EAF3DE" w:val="clear"/>
          </w:tcPr>
          <w:p>
            <w:r>
              <w:rPr>
                <w:rFonts w:ascii="Calibri" w:cs="Calibri" w:eastAsia="Calibri" w:hAnsi="Calibri"/>
                <w:color w:val="444444"/>
                <w:sz w:val="20"/>
                <w:szCs w:val="20"/>
              </w:rPr>
              <w:t xml:space="preserve">UAE remittance corridor launch, FIU-IND VASP registration, DeFi lending pool v1</w:t>
            </w:r>
          </w:p>
        </w:tc>
      </w:tr>
      <w:tr>
        <w:tc>
          <w:tcPr>
            <w:tcW w:type="dxa" w:w="4000"/>
          </w:tcPr>
          <w:p>
            <w:r>
              <w:rPr>
                <w:rFonts w:ascii="Calibri" w:cs="Calibri" w:eastAsia="Calibri" w:hAnsi="Calibri"/>
                <w:b/>
                <w:bCs/>
                <w:color w:val="2C5F2E"/>
                <w:sz w:val="20"/>
                <w:szCs w:val="20"/>
              </w:rPr>
              <w:t xml:space="preserve">Q4 2027</w:t>
            </w:r>
          </w:p>
        </w:tc>
        <w:tc>
          <w:tcPr>
            <w:tcW w:type="dxa" w:w="5500"/>
          </w:tcPr>
          <w:p>
            <w:r>
              <w:rPr>
                <w:rFonts w:ascii="Calibri" w:cs="Calibri" w:eastAsia="Calibri" w:hAnsi="Calibri"/>
                <w:color w:val="444444"/>
                <w:sz w:val="20"/>
                <w:szCs w:val="20"/>
              </w:rPr>
              <w:t xml:space="preserve">UK + USA remittance corridors, Digital Gold (DGLD) launch, KuCoin listing application</w:t>
            </w:r>
          </w:p>
        </w:tc>
      </w:tr>
      <w:tr>
        <w:tc>
          <w:tcPr>
            <w:tcW w:type="dxa" w:w="4000"/>
            <w:shd w:fill="EAF3DE" w:val="clear"/>
          </w:tcPr>
          <w:p>
            <w:r>
              <w:rPr>
                <w:rFonts w:ascii="Calibri" w:cs="Calibri" w:eastAsia="Calibri" w:hAnsi="Calibri"/>
                <w:b/>
                <w:bCs/>
                <w:color w:val="2C5F2E"/>
                <w:sz w:val="20"/>
                <w:szCs w:val="20"/>
              </w:rPr>
              <w:t xml:space="preserve">Q1 2028</w:t>
            </w:r>
          </w:p>
        </w:tc>
        <w:tc>
          <w:tcPr>
            <w:tcW w:type="dxa" w:w="5500"/>
            <w:shd w:fill="EAF3DE" w:val="clear"/>
          </w:tcPr>
          <w:p>
            <w:r>
              <w:rPr>
                <w:rFonts w:ascii="Calibri" w:cs="Calibri" w:eastAsia="Calibri" w:hAnsi="Calibri"/>
                <w:color w:val="444444"/>
                <w:sz w:val="20"/>
                <w:szCs w:val="20"/>
              </w:rPr>
              <w:t xml:space="preserve">Fractional real estate tokens, SIP mode launch, 10 lakh wallets, Bybit listing</w:t>
            </w:r>
          </w:p>
        </w:tc>
      </w:tr>
      <w:tr>
        <w:tc>
          <w:tcPr>
            <w:tcW w:type="dxa" w:w="4000"/>
          </w:tcPr>
          <w:p>
            <w:r>
              <w:rPr>
                <w:rFonts w:ascii="Calibri" w:cs="Calibri" w:eastAsia="Calibri" w:hAnsi="Calibri"/>
                <w:b/>
                <w:bCs/>
                <w:color w:val="2C5F2E"/>
                <w:sz w:val="20"/>
                <w:szCs w:val="20"/>
              </w:rPr>
              <w:t xml:space="preserve">Q2 2028</w:t>
            </w:r>
          </w:p>
        </w:tc>
        <w:tc>
          <w:tcPr>
            <w:tcW w:type="dxa" w:w="5500"/>
          </w:tcPr>
          <w:p>
            <w:r>
              <w:rPr>
                <w:rFonts w:ascii="Calibri" w:cs="Calibri" w:eastAsia="Calibri" w:hAnsi="Calibri"/>
                <w:color w:val="444444"/>
                <w:sz w:val="20"/>
                <w:szCs w:val="20"/>
              </w:rPr>
              <w:t xml:space="preserve">Agri commodity tokens, governance DAO launch, Binance/Coinbase application</w:t>
            </w:r>
          </w:p>
        </w:tc>
      </w:tr>
    </w:tbl>
    <w:p>
      <w:pPr>
        <w:pBdr>
          <w:bottom w:val="single" w:color="E0DDD4" w:sz="4"/>
        </w:pBdr>
        <w:spacing w:after="200" w:before="200"/>
      </w:pPr>
    </w:p>
    <w:p>
      <w:pPr>
        <w:pStyle w:val="Heading1"/>
        <w:spacing w:after="160" w:before="320"/>
      </w:pPr>
      <w:r>
        <w:t xml:space="preserve">11. Team Structure Needed</w:t>
      </w:r>
      <w:r>
        <w:rPr>
          <w:rFonts w:ascii="Calibri" w:cs="Calibri" w:eastAsia="Calibri" w:hAnsi="Calibri"/>
          <w:b/>
          <w:bCs/>
          <w:color w:val="2C5F2E"/>
          <w:sz w:val="28"/>
          <w:szCs w:val="28"/>
        </w:rPr>
        <w:t xml:space="preserve">11. Team Structure Needed</w:t>
      </w:r>
    </w:p>
    <w:p>
      <w:pPr>
        <w:spacing w:after="180" w:before="100" w:line="340"/>
      </w:pPr>
      <w:r>
        <w:rPr>
          <w:rFonts w:ascii="Calibri" w:cs="Calibri" w:eastAsia="Calibri" w:hAnsi="Calibri"/>
          <w:color w:val="444444"/>
          <w:sz w:val="22"/>
          <w:szCs w:val="22"/>
        </w:rPr>
        <w:t xml:space="preserve">Samrudo requires the following team to execute this vision: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shd w:fill="EAF3DE" w:val="clear"/>
          </w:tcPr>
          <w:p>
            <w:r>
              <w:rPr>
                <w:rFonts w:ascii="Calibri" w:cs="Calibri" w:eastAsia="Calibri" w:hAnsi="Calibri"/>
                <w:b/>
                <w:bCs/>
                <w:color w:val="2C5F2E"/>
                <w:sz w:val="20"/>
                <w:szCs w:val="20"/>
              </w:rPr>
              <w:t xml:space="preserve">CEO / Founder</w:t>
            </w:r>
          </w:p>
        </w:tc>
        <w:tc>
          <w:tcPr>
            <w:tcW w:type="dxa" w:w="5500"/>
            <w:shd w:fill="EAF3DE" w:val="clear"/>
          </w:tcPr>
          <w:p>
            <w:r>
              <w:rPr>
                <w:rFonts w:ascii="Calibri" w:cs="Calibri" w:eastAsia="Calibri" w:hAnsi="Calibri"/>
                <w:color w:val="444444"/>
                <w:sz w:val="20"/>
                <w:szCs w:val="20"/>
              </w:rPr>
              <w:t xml:space="preserve">Vision, fundraising, regulatory relationships, exchange BD</w:t>
            </w:r>
          </w:p>
        </w:tc>
      </w:tr>
      <w:tr>
        <w:tc>
          <w:tcPr>
            <w:tcW w:type="dxa" w:w="4000"/>
          </w:tcPr>
          <w:p>
            <w:r>
              <w:rPr>
                <w:rFonts w:ascii="Calibri" w:cs="Calibri" w:eastAsia="Calibri" w:hAnsi="Calibri"/>
                <w:b/>
                <w:bCs/>
                <w:color w:val="2C5F2E"/>
                <w:sz w:val="20"/>
                <w:szCs w:val="20"/>
              </w:rPr>
              <w:t xml:space="preserve">CTO</w:t>
            </w:r>
          </w:p>
        </w:tc>
        <w:tc>
          <w:tcPr>
            <w:tcW w:type="dxa" w:w="5500"/>
          </w:tcPr>
          <w:p>
            <w:r>
              <w:rPr>
                <w:rFonts w:ascii="Calibri" w:cs="Calibri" w:eastAsia="Calibri" w:hAnsi="Calibri"/>
                <w:color w:val="444444"/>
                <w:sz w:val="20"/>
                <w:szCs w:val="20"/>
              </w:rPr>
              <w:t xml:space="preserve">BharatChain architecture, smart contracts, security model</w:t>
            </w:r>
          </w:p>
        </w:tc>
      </w:tr>
      <w:tr>
        <w:tc>
          <w:tcPr>
            <w:tcW w:type="dxa" w:w="4000"/>
            <w:shd w:fill="EAF3DE" w:val="clear"/>
          </w:tcPr>
          <w:p>
            <w:r>
              <w:rPr>
                <w:rFonts w:ascii="Calibri" w:cs="Calibri" w:eastAsia="Calibri" w:hAnsi="Calibri"/>
                <w:b/>
                <w:bCs/>
                <w:color w:val="2C5F2E"/>
                <w:sz w:val="20"/>
                <w:szCs w:val="20"/>
              </w:rPr>
              <w:t xml:space="preserve">Blockchain Engineers (3)</w:t>
            </w:r>
          </w:p>
        </w:tc>
        <w:tc>
          <w:tcPr>
            <w:tcW w:type="dxa" w:w="5500"/>
            <w:shd w:fill="EAF3DE" w:val="clear"/>
          </w:tcPr>
          <w:p>
            <w:r>
              <w:rPr>
                <w:rFonts w:ascii="Calibri" w:cs="Calibri" w:eastAsia="Calibri" w:hAnsi="Calibri"/>
                <w:color w:val="444444"/>
                <w:sz w:val="20"/>
                <w:szCs w:val="20"/>
              </w:rPr>
              <w:t xml:space="preserve">Core chain development, EVM compatibility, bridge contracts</w:t>
            </w:r>
          </w:p>
        </w:tc>
      </w:tr>
      <w:tr>
        <w:tc>
          <w:tcPr>
            <w:tcW w:type="dxa" w:w="4000"/>
          </w:tcPr>
          <w:p>
            <w:r>
              <w:rPr>
                <w:rFonts w:ascii="Calibri" w:cs="Calibri" w:eastAsia="Calibri" w:hAnsi="Calibri"/>
                <w:b/>
                <w:bCs/>
                <w:color w:val="2C5F2E"/>
                <w:sz w:val="20"/>
                <w:szCs w:val="20"/>
              </w:rPr>
              <w:t xml:space="preserve">Mobile Developer (2)</w:t>
            </w:r>
          </w:p>
        </w:tc>
        <w:tc>
          <w:tcPr>
            <w:tcW w:type="dxa" w:w="5500"/>
          </w:tcPr>
          <w:p>
            <w:r>
              <w:rPr>
                <w:rFonts w:ascii="Calibri" w:cs="Calibri" w:eastAsia="Calibri" w:hAnsi="Calibri"/>
                <w:color w:val="444444"/>
                <w:sz w:val="20"/>
                <w:szCs w:val="20"/>
              </w:rPr>
              <w:t xml:space="preserve">iOS + Android Samrudo Wallet, 22-language support</w:t>
            </w:r>
          </w:p>
        </w:tc>
      </w:tr>
      <w:tr>
        <w:tc>
          <w:tcPr>
            <w:tcW w:type="dxa" w:w="4000"/>
            <w:shd w:fill="EAF3DE" w:val="clear"/>
          </w:tcPr>
          <w:p>
            <w:r>
              <w:rPr>
                <w:rFonts w:ascii="Calibri" w:cs="Calibri" w:eastAsia="Calibri" w:hAnsi="Calibri"/>
                <w:b/>
                <w:bCs/>
                <w:color w:val="2C5F2E"/>
                <w:sz w:val="20"/>
                <w:szCs w:val="20"/>
              </w:rPr>
              <w:t xml:space="preserve">Legal Counsel</w:t>
            </w:r>
          </w:p>
        </w:tc>
        <w:tc>
          <w:tcPr>
            <w:tcW w:type="dxa" w:w="5500"/>
            <w:shd w:fill="EAF3DE" w:val="clear"/>
          </w:tcPr>
          <w:p>
            <w:r>
              <w:rPr>
                <w:rFonts w:ascii="Calibri" w:cs="Calibri" w:eastAsia="Calibri" w:hAnsi="Calibri"/>
                <w:color w:val="444444"/>
                <w:sz w:val="20"/>
                <w:szCs w:val="20"/>
              </w:rPr>
              <w:t xml:space="preserve">India (FIU-IND, SEBI, RBI) + Singapore + UAE compliance</w:t>
            </w:r>
          </w:p>
        </w:tc>
      </w:tr>
      <w:tr>
        <w:tc>
          <w:tcPr>
            <w:tcW w:type="dxa" w:w="4000"/>
          </w:tcPr>
          <w:p>
            <w:r>
              <w:rPr>
                <w:rFonts w:ascii="Calibri" w:cs="Calibri" w:eastAsia="Calibri" w:hAnsi="Calibri"/>
                <w:b/>
                <w:bCs/>
                <w:color w:val="2C5F2E"/>
                <w:sz w:val="20"/>
                <w:szCs w:val="20"/>
              </w:rPr>
              <w:t xml:space="preserve">Head of Growth</w:t>
            </w:r>
          </w:p>
        </w:tc>
        <w:tc>
          <w:tcPr>
            <w:tcW w:type="dxa" w:w="5500"/>
          </w:tcPr>
          <w:p>
            <w:r>
              <w:rPr>
                <w:rFonts w:ascii="Calibri" w:cs="Calibri" w:eastAsia="Calibri" w:hAnsi="Calibri"/>
                <w:color w:val="444444"/>
                <w:sz w:val="20"/>
                <w:szCs w:val="20"/>
              </w:rPr>
              <w:t xml:space="preserve">Community, marketing, influencer partnerships, Tier 2/3 India</w:t>
            </w:r>
          </w:p>
        </w:tc>
      </w:tr>
      <w:tr>
        <w:tc>
          <w:tcPr>
            <w:tcW w:type="dxa" w:w="4000"/>
            <w:shd w:fill="EAF3DE" w:val="clear"/>
          </w:tcPr>
          <w:p>
            <w:r>
              <w:rPr>
                <w:rFonts w:ascii="Calibri" w:cs="Calibri" w:eastAsia="Calibri" w:hAnsi="Calibri"/>
                <w:b/>
                <w:bCs/>
                <w:color w:val="2C5F2E"/>
                <w:sz w:val="20"/>
                <w:szCs w:val="20"/>
              </w:rPr>
              <w:t xml:space="preserve">DeFi Product Lead</w:t>
            </w:r>
          </w:p>
        </w:tc>
        <w:tc>
          <w:tcPr>
            <w:tcW w:type="dxa" w:w="5500"/>
            <w:shd w:fill="EAF3DE" w:val="clear"/>
          </w:tcPr>
          <w:p>
            <w:r>
              <w:rPr>
                <w:rFonts w:ascii="Calibri" w:cs="Calibri" w:eastAsia="Calibri" w:hAnsi="Calibri"/>
                <w:color w:val="444444"/>
                <w:sz w:val="20"/>
                <w:szCs w:val="20"/>
              </w:rPr>
              <w:t xml:space="preserve">Lending pools, staking, SIP mode, RWA structuring</w:t>
            </w:r>
          </w:p>
        </w:tc>
      </w:tr>
      <w:tr>
        <w:tc>
          <w:tcPr>
            <w:tcW w:type="dxa" w:w="4000"/>
          </w:tcPr>
          <w:p>
            <w:r>
              <w:rPr>
                <w:rFonts w:ascii="Calibri" w:cs="Calibri" w:eastAsia="Calibri" w:hAnsi="Calibri"/>
                <w:b/>
                <w:bCs/>
                <w:color w:val="2C5F2E"/>
                <w:sz w:val="20"/>
                <w:szCs w:val="20"/>
              </w:rPr>
              <w:t xml:space="preserve">Compliance Officer</w:t>
            </w:r>
          </w:p>
        </w:tc>
        <w:tc>
          <w:tcPr>
            <w:tcW w:type="dxa" w:w="5500"/>
          </w:tcPr>
          <w:p>
            <w:r>
              <w:rPr>
                <w:rFonts w:ascii="Calibri" w:cs="Calibri" w:eastAsia="Calibri" w:hAnsi="Calibri"/>
                <w:color w:val="444444"/>
                <w:sz w:val="20"/>
                <w:szCs w:val="20"/>
              </w:rPr>
              <w:t xml:space="preserve">KYC/AML, TDS reporting, FIU-IND reporting</w:t>
            </w:r>
          </w:p>
        </w:tc>
      </w:tr>
    </w:tbl>
    <w:p>
      <w:pPr>
        <w:pBdr>
          <w:bottom w:val="single" w:color="E0DDD4" w:sz="4"/>
        </w:pBdr>
        <w:spacing w:after="200" w:before="200"/>
      </w:pPr>
    </w:p>
    <w:p>
      <w:pPr>
        <w:pStyle w:val="Heading1"/>
        <w:spacing w:after="160" w:before="320"/>
      </w:pPr>
      <w:r>
        <w:t xml:space="preserve">12. Risk Factors</w:t>
      </w:r>
      <w:r>
        <w:rPr>
          <w:rFonts w:ascii="Calibri" w:cs="Calibri" w:eastAsia="Calibri" w:hAnsi="Calibri"/>
          <w:b/>
          <w:bCs/>
          <w:color w:val="2C5F2E"/>
          <w:sz w:val="28"/>
          <w:szCs w:val="28"/>
        </w:rPr>
        <w:t xml:space="preserve">12. Risk Factors</w:t>
      </w:r>
    </w:p>
    <w:p>
      <w:pPr>
        <w:pStyle w:val="ListParagraph"/>
        <w:numPr>
          <w:ilvl w:val="0"/>
          <w:numId w:val="1"/>
        </w:numPr>
        <w:spacing w:after="60" w:before="60" w:line="300"/>
      </w:pPr>
      <w:r>
        <w:rPr>
          <w:rFonts w:ascii="Calibri" w:cs="Calibri" w:eastAsia="Calibri" w:hAnsi="Calibri"/>
          <w:color w:val="444444"/>
          <w:sz w:val="22"/>
          <w:szCs w:val="22"/>
        </w:rPr>
        <w:t xml:space="preserve">Regulatory risk: RBI or SEBI may impose restrictions on crypto products — mitigated by FIU-IND registration and proactive regulatory engagement</w:t>
      </w:r>
    </w:p>
    <w:p>
      <w:pPr>
        <w:pStyle w:val="ListParagraph"/>
        <w:numPr>
          <w:ilvl w:val="0"/>
          <w:numId w:val="1"/>
        </w:numPr>
        <w:spacing w:after="60" w:before="60" w:line="300"/>
      </w:pPr>
      <w:r>
        <w:rPr>
          <w:rFonts w:ascii="Calibri" w:cs="Calibri" w:eastAsia="Calibri" w:hAnsi="Calibri"/>
          <w:color w:val="444444"/>
          <w:sz w:val="22"/>
          <w:szCs w:val="22"/>
        </w:rPr>
        <w:t xml:space="preserve">Technical risk: BharatChain security vulnerabilities — mitigated by CertiK audit, bug bounty, and Security Council</w:t>
      </w:r>
    </w:p>
    <w:p>
      <w:pPr>
        <w:pStyle w:val="ListParagraph"/>
        <w:numPr>
          <w:ilvl w:val="0"/>
          <w:numId w:val="1"/>
        </w:numPr>
        <w:spacing w:after="60" w:before="60" w:line="300"/>
      </w:pPr>
      <w:r>
        <w:rPr>
          <w:rFonts w:ascii="Calibri" w:cs="Calibri" w:eastAsia="Calibri" w:hAnsi="Calibri"/>
          <w:color w:val="444444"/>
          <w:sz w:val="22"/>
          <w:szCs w:val="22"/>
        </w:rPr>
        <w:t xml:space="preserve">Competition risk: existing exchanges (WazirX, CoinDCX) may copy features — mitigated by UPI bridge patent filing and first-mover advantage</w:t>
      </w:r>
    </w:p>
    <w:p>
      <w:pPr>
        <w:pStyle w:val="ListParagraph"/>
        <w:numPr>
          <w:ilvl w:val="0"/>
          <w:numId w:val="1"/>
        </w:numPr>
        <w:spacing w:after="60" w:before="60" w:line="300"/>
      </w:pPr>
      <w:r>
        <w:rPr>
          <w:rFonts w:ascii="Calibri" w:cs="Calibri" w:eastAsia="Calibri" w:hAnsi="Calibri"/>
          <w:color w:val="444444"/>
          <w:sz w:val="22"/>
          <w:szCs w:val="22"/>
        </w:rPr>
        <w:t xml:space="preserve">Liquidity risk: insufficient DEX liquidity at launch — mitigated by 10% token allocation to liquidity provisioning</w:t>
      </w:r>
    </w:p>
    <w:p>
      <w:pPr>
        <w:pStyle w:val="ListParagraph"/>
        <w:numPr>
          <w:ilvl w:val="0"/>
          <w:numId w:val="1"/>
        </w:numPr>
        <w:spacing w:after="60" w:before="60" w:line="300"/>
      </w:pPr>
      <w:r>
        <w:rPr>
          <w:rFonts w:ascii="Calibri" w:cs="Calibri" w:eastAsia="Calibri" w:hAnsi="Calibri"/>
          <w:color w:val="444444"/>
          <w:sz w:val="22"/>
          <w:szCs w:val="22"/>
        </w:rPr>
        <w:t xml:space="preserve">Adoption risk: Indian users may be slow to adopt — mitigated by regional language support and Tier 2/3 city focus</w:t>
      </w:r>
    </w:p>
    <w:p>
      <w:pPr>
        <w:pStyle w:val="ListParagraph"/>
        <w:numPr>
          <w:ilvl w:val="0"/>
          <w:numId w:val="1"/>
        </w:numPr>
        <w:spacing w:after="60" w:before="60" w:line="300"/>
      </w:pPr>
      <w:r>
        <w:rPr>
          <w:rFonts w:ascii="Calibri" w:cs="Calibri" w:eastAsia="Calibri" w:hAnsi="Calibri"/>
          <w:color w:val="444444"/>
          <w:sz w:val="22"/>
          <w:szCs w:val="22"/>
        </w:rPr>
        <w:t xml:space="preserve">Market risk: crypto market downturn — mitigated by real utility (UPI bridge, remittances) not purely speculative value</w:t>
      </w:r>
    </w:p>
    <w:p>
      <w:pPr>
        <w:pBdr>
          <w:bottom w:val="single" w:color="E0DDD4" w:sz="4"/>
        </w:pBdr>
        <w:spacing w:after="200" w:before="200"/>
      </w:pPr>
    </w:p>
    <w:p>
      <w:pPr>
        <w:pStyle w:val="Heading1"/>
        <w:spacing w:after="160" w:before="320"/>
      </w:pPr>
      <w:r>
        <w:t xml:space="preserve">13. Legal Disclaimer</w:t>
      </w:r>
      <w:r>
        <w:rPr>
          <w:rFonts w:ascii="Calibri" w:cs="Calibri" w:eastAsia="Calibri" w:hAnsi="Calibri"/>
          <w:b/>
          <w:bCs/>
          <w:color w:val="2C5F2E"/>
          <w:sz w:val="28"/>
          <w:szCs w:val="28"/>
        </w:rPr>
        <w:t xml:space="preserve">13. Legal Disclaimer</w:t>
      </w:r>
    </w:p>
    <w:p>
      <w:pPr>
        <w:spacing w:after="180" w:before="100" w:line="340"/>
      </w:pPr>
      <w:r>
        <w:rPr>
          <w:rFonts w:ascii="Calibri" w:cs="Calibri" w:eastAsia="Calibri" w:hAnsi="Calibri"/>
          <w:color w:val="444444"/>
          <w:sz w:val="22"/>
          <w:szCs w:val="22"/>
        </w:rPr>
        <w:t xml:space="preserve">This whitepaper is for informational purposes only and does not constitute financial advice, investment advice, or a solicitation to buy or sell any securities or digital assets. $SMRD is a utility token — not a security, investment, or currency. Cryptocurrency investments carry significant risk including total loss of capital. This document is not directed at residents of jurisdictions where such activities are prohibited. Readers should conduct their own due diligence and consult qualified legal and financial advisors before making any investment decision.</w:t>
      </w:r>
    </w:p>
    <w:p>
      <w:pPr>
        <w:spacing w:after="180" w:before="100" w:line="340"/>
      </w:pPr>
      <w:r>
        <w:rPr>
          <w:rFonts w:ascii="Calibri" w:cs="Calibri" w:eastAsia="Calibri" w:hAnsi="Calibri"/>
          <w:color w:val="444444"/>
          <w:sz w:val="22"/>
          <w:szCs w:val="22"/>
        </w:rPr>
        <w:t xml:space="preserve">© 2026 Samrudo Foundation. All rights reserved. Samrudo™ and $SMRD™ are trademarks pending registration.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DD4" w:sz="2"/>
      </w:pBdr>
      <w:spacing w:before="200"/>
      <w:jc w:val="center"/>
    </w:pPr>
    <w:r>
      <w:rPr>
        <w:rFonts w:ascii="Calibri" w:cs="Calibri" w:eastAsia="Calibri" w:hAnsi="Calibri"/>
        <w:color w:val="888888"/>
        <w:sz w:val="18"/>
        <w:szCs w:val="18"/>
      </w:rPr>
      <w:t xml:space="preserve">© 2026 Samrudo Foundation  |  samrudo.io  |  Page </w:t>
    </w:r>
    <w:r>
      <w:rPr>
        <w:rFonts w:ascii="Calibri" w:cs="Calibri" w:eastAsia="Calibri" w:hAnsi="Calibri"/>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DD4" w:sz="2"/>
      </w:pBdr>
      <w:spacing w:after="200"/>
      <w:jc w:val="right"/>
    </w:pPr>
    <w:r>
      <w:rPr>
        <w:rFonts w:ascii="Calibri" w:cs="Calibri" w:eastAsia="Calibri" w:hAnsi="Calibri"/>
        <w:color w:val="888888"/>
        <w:sz w:val="18"/>
        <w:szCs w:val="18"/>
      </w:rPr>
      <w:t xml:space="preserve">Samrudo ($SMRD) — Whitepaper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2026-09-02T01:06:49.768Z</dcterms:created>
  <dcterms:modified xsi:type="dcterms:W3CDTF">2026-09-02T01:06:49.779Z</dcterms:modified>
</cp:coreProperties>
</file>

<file path=docProps/custom.xml><?xml version="1.0" encoding="utf-8"?>
<Properties xmlns="http://schemas.openxmlformats.org/officeDocument/2006/custom-properties" xmlns:vt="http://schemas.openxmlformats.org/officeDocument/2006/docPropsVTypes"/>
</file>