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8B3A2A"/>
          <w:spacing w:val="60"/>
          <w:sz w:val="16"/>
          <w:szCs w:val="16"/>
        </w:rPr>
        <w:t xml:space="preserve">PROJET COUQ</w:t>
      </w:r>
    </w:p>
    <w:p>
      <w:pPr>
        <w:spacing w:after="240"/>
      </w:pPr>
      <w:r>
        <w:rPr>
          <w:rFonts w:ascii="Calibri" w:cs="Calibri" w:eastAsia="Calibri" w:hAnsi="Calibri"/>
          <w:i/>
          <w:iCs/>
          <w:color w:val="969089"/>
          <w:sz w:val="18"/>
          <w:szCs w:val="18"/>
        </w:rPr>
        <w:t xml:space="preserve">Code couleur &amp; proportions — référence opérationnelle</w:t>
      </w:r>
    </w:p>
    <w:p>
      <w:pPr>
        <w:pStyle w:val="Heading1"/>
        <w:spacing w:after="180" w:before="360"/>
      </w:pPr>
      <w:r>
        <w:rPr>
          <w:rFonts w:ascii="Calibri" w:cs="Calibri" w:eastAsia="Calibri" w:hAnsi="Calibri"/>
          <w:b/>
          <w:bCs/>
          <w:color w:val="1A1612"/>
          <w:sz w:val="36"/>
          <w:szCs w:val="36"/>
        </w:rPr>
        <w:t xml:space="preserve">1. La palette</w:t>
      </w:r>
    </w:p>
    <w:p>
      <w:pPr>
        <w:spacing w:after="200" w:before="0"/>
        <w:jc w:val="left"/>
      </w:pPr>
      <w:r>
        <w:rPr>
          <w:rFonts w:ascii="Calibri" w:cs="Calibri" w:eastAsia="Calibri" w:hAnsi="Calibri"/>
          <w:b w:val="false"/>
          <w:bCs w:val="false"/>
          <w:i w:val="false"/>
          <w:iCs w:val="false"/>
          <w:color w:val="1A1612"/>
          <w:sz w:val="22"/>
          <w:szCs w:val="22"/>
        </w:rPr>
        <w:t xml:space="preserve">Cinq couleurs composent l'identité chromatique de Projet Couq. Chaque couleur a un rôle précis dans la hiérarchie visuelle. Cette table est la référence absolue : tout fichier, support ou composition doit utiliser strictement ces valeurs HEX.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300"/>
        <w:gridCol w:w="1800"/>
        <w:gridCol w:w="3060"/>
      </w:tblGrid>
      <w:tr>
        <w:trPr>
          <w:tblHeader/>
        </w:trPr>
        <w:tc>
          <w:tcPr>
            <w:tcW w:type="dxa" w:w="12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Couleur</w:t>
            </w:r>
          </w:p>
        </w:tc>
        <w:tc>
          <w:tcPr>
            <w:tcW w:type="dxa" w:w="20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Nom</w:t>
            </w:r>
          </w:p>
        </w:tc>
        <w:tc>
          <w:tcPr>
            <w:tcW w:type="dxa" w:w="13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onsolas" w:cs="Consolas" w:eastAsia="Consolas" w:hAnsi="Consolas"/>
                <w:b/>
                <w:bCs/>
                <w:color w:val="FFFFFF"/>
                <w:sz w:val="20"/>
                <w:szCs w:val="20"/>
              </w:rPr>
              <w:t xml:space="preserve">HEX</w:t>
            </w:r>
          </w:p>
        </w:tc>
        <w:tc>
          <w:tcPr>
            <w:tcW w:type="dxa" w:w="18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Rôle</w:t>
            </w:r>
          </w:p>
        </w:tc>
        <w:tc>
          <w:tcPr>
            <w:tcW w:type="dxa" w:w="306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Usage principal</w:t>
            </w:r>
          </w:p>
        </w:tc>
      </w:tr>
      <w:tr>
        <w:tc>
          <w:tcPr>
            <w:tcW w:type="dxa" w:w="12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20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Brique de Liège</w:t>
            </w:r>
          </w:p>
        </w:tc>
        <w:tc>
          <w:tcPr>
            <w:tcW w:type="dxa" w:w="13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#8B3A2A</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PRIMARY · Signature</w:t>
            </w:r>
          </w:p>
        </w:tc>
        <w:tc>
          <w:tcPr>
            <w:tcW w:type="dxa" w:w="30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Awning, sac kraft, prix sur étiquette, CTA, mur signature</w:t>
            </w:r>
          </w:p>
        </w:tc>
      </w:tr>
      <w:tr>
        <w:tc>
          <w:tcPr>
            <w:tcW w:type="dxa" w:w="12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20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Noir houille</w:t>
            </w:r>
          </w:p>
        </w:tc>
        <w:tc>
          <w:tcPr>
            <w:tcW w:type="dxa" w:w="13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#1A1612</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SECONDARY · Autorité</w:t>
            </w:r>
          </w:p>
        </w:tc>
        <w:tc>
          <w:tcPr>
            <w:tcW w:type="dxa" w:w="30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Typographie, structure, logo, devanture, mobilier</w:t>
            </w:r>
          </w:p>
        </w:tc>
      </w:tr>
      <w:tr>
        <w:tc>
          <w:tcPr>
            <w:tcW w:type="dxa" w:w="12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20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Sarrasin</w:t>
            </w:r>
          </w:p>
        </w:tc>
        <w:tc>
          <w:tcPr>
            <w:tcW w:type="dxa" w:w="13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#E8DCC0</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NEUTRAL · Toile de fond</w:t>
            </w:r>
          </w:p>
        </w:tc>
        <w:tc>
          <w:tcPr>
            <w:tcW w:type="dxa" w:w="30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Fond papier, sac kraft brut, fond menu, fond web, murs</w:t>
            </w:r>
          </w:p>
        </w:tc>
      </w:tr>
      <w:tr>
        <w:tc>
          <w:tcPr>
            <w:tcW w:type="dxa" w:w="1200"/>
            <w:tcBorders>
              <w:top w:val="single" w:color="D8D2C2" w:sz="4"/>
              <w:left w:val="single" w:color="D8D2C2" w:sz="4"/>
              <w:bottom w:val="single" w:color="D8D2C2" w:sz="4"/>
              <w:right w:val="single" w:color="D8D2C2" w:sz="4"/>
            </w:tcBorders>
            <w:shd w:fill="969089" w:color="auto" w:val="clear"/>
            <w:tcMar>
              <w:top w:type="dxa" w:w="240"/>
              <w:left w:type="dxa" w:w="140"/>
              <w:bottom w:type="dxa" w:w="240"/>
              <w:right w:type="dxa" w:w="140"/>
            </w:tcMar>
          </w:tcPr>
          <w:p>
            <w:r>
              <w:rPr>
                <w:sz w:val="20"/>
                <w:szCs w:val="20"/>
              </w:rPr>
              <w:t xml:space="preserve"> </w:t>
            </w:r>
          </w:p>
        </w:tc>
        <w:tc>
          <w:tcPr>
            <w:tcW w:type="dxa" w:w="20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Béton ciré</w:t>
            </w:r>
          </w:p>
        </w:tc>
        <w:tc>
          <w:tcPr>
            <w:tcW w:type="dxa" w:w="13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#969089</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NEUTRAL · Matière</w:t>
            </w:r>
          </w:p>
        </w:tc>
        <w:tc>
          <w:tcPr>
            <w:tcW w:type="dxa" w:w="30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Sol, comptoir, plateaux, UI dividers, secondary text</w:t>
            </w:r>
          </w:p>
        </w:tc>
      </w:tr>
      <w:tr>
        <w:tc>
          <w:tcPr>
            <w:tcW w:type="dxa" w:w="12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0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Ocre forestier</w:t>
            </w:r>
          </w:p>
        </w:tc>
        <w:tc>
          <w:tcPr>
            <w:tcW w:type="dxa" w:w="13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#B8862E</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ACCENT · Premium</w:t>
            </w:r>
          </w:p>
        </w:tc>
        <w:tc>
          <w:tcPr>
            <w:tcW w:type="dxa" w:w="30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20"/>
                <w:szCs w:val="20"/>
              </w:rPr>
              <w:t xml:space="preserve">Laiton enseigne, filets, hover states, accents (max 8%)</w:t>
            </w:r>
          </w:p>
        </w:tc>
      </w:tr>
    </w:tbl>
    <w:p>
      <w:pPr>
        <w:pStyle w:val="Heading1"/>
        <w:spacing w:after="180" w:before="360"/>
      </w:pPr>
      <w:r>
        <w:rPr>
          <w:rFonts w:ascii="Calibri" w:cs="Calibri" w:eastAsia="Calibri" w:hAnsi="Calibri"/>
          <w:b/>
          <w:bCs/>
          <w:color w:val="1A1612"/>
          <w:sz w:val="36"/>
          <w:szCs w:val="36"/>
        </w:rPr>
        <w:t xml:space="preserve">2. Proportions par contexte</w:t>
      </w:r>
    </w:p>
    <w:p>
      <w:pPr>
        <w:spacing w:after="200" w:before="0"/>
        <w:jc w:val="left"/>
      </w:pPr>
      <w:r>
        <w:rPr>
          <w:rFonts w:ascii="Calibri" w:cs="Calibri" w:eastAsia="Calibri" w:hAnsi="Calibri"/>
          <w:b w:val="false"/>
          <w:bCs w:val="false"/>
          <w:i w:val="false"/>
          <w:iCs w:val="false"/>
          <w:color w:val="1A1612"/>
          <w:sz w:val="22"/>
          <w:szCs w:val="22"/>
        </w:rPr>
        <w:t xml:space="preserve">La même palette se distribue différemment selon le support. Une boutique physique demande de la matière (béton dominant), un site web demande de la respiration (sarrasin dominant), une identité visuelle demande un équilibre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460"/>
      </w:tblGrid>
      <w:tr>
        <w:trPr>
          <w:tblHeader/>
        </w:trPr>
        <w:tc>
          <w:tcPr>
            <w:tcW w:type="dxa" w:w="24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Contexte</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Sarrasin</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Noir</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Brique</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Béton</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Ocre</w:t>
            </w:r>
          </w:p>
        </w:tc>
        <w:tc>
          <w:tcPr>
            <w:tcW w:type="dxa" w:w="146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Dominante</w:t>
            </w:r>
          </w:p>
        </w:tc>
      </w:tr>
      <w:tr>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Identité visuelle
(logo, packaging, social)</w:t>
            </w:r>
          </w:p>
        </w:tc>
        <w:tc>
          <w:tcPr>
            <w:tcW w:type="dxa" w:w="1100"/>
            <w:tcBorders>
              <w:top w:val="single" w:color="D8D2C2" w:sz="4"/>
              <w:left w:val="single" w:color="D8D2C2" w:sz="4"/>
              <w:bottom w:val="single" w:color="D8D2C2" w:sz="4"/>
              <w:right w:val="single" w:color="D8D2C2" w:sz="4"/>
            </w:tcBorders>
            <w:shd w:fill="E8DCC0"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50%</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onsolas" w:cs="Consolas" w:eastAsia="Consolas" w:hAnsi="Consolas"/>
                <w:b w:val="false"/>
                <w:bCs w:val="false"/>
                <w:color w:val="FFFFFF"/>
                <w:sz w:val="19"/>
                <w:szCs w:val="19"/>
              </w:rPr>
              <w:t xml:space="preserve">25%</w:t>
            </w:r>
          </w:p>
        </w:tc>
        <w:tc>
          <w:tcPr>
            <w:tcW w:type="dxa" w:w="1100"/>
            <w:tcBorders>
              <w:top w:val="single" w:color="D8D2C2" w:sz="4"/>
              <w:left w:val="single" w:color="D8D2C2" w:sz="4"/>
              <w:bottom w:val="single" w:color="D8D2C2" w:sz="4"/>
              <w:right w:val="single" w:color="D8D2C2" w:sz="4"/>
            </w:tcBorders>
            <w:shd w:fill="8B3A2A" w:color="auto" w:val="clear"/>
            <w:tcMar>
              <w:top w:type="dxa" w:w="100"/>
              <w:left w:type="dxa" w:w="140"/>
              <w:bottom w:type="dxa" w:w="100"/>
              <w:right w:type="dxa" w:w="140"/>
            </w:tcMar>
          </w:tcPr>
          <w:p>
            <w:pPr>
              <w:jc w:val="center"/>
            </w:pPr>
            <w:r>
              <w:rPr>
                <w:rFonts w:ascii="Consolas" w:cs="Consolas" w:eastAsia="Consolas" w:hAnsi="Consolas"/>
                <w:b w:val="false"/>
                <w:bCs w:val="false"/>
                <w:color w:val="FFFFFF"/>
                <w:sz w:val="19"/>
                <w:szCs w:val="19"/>
              </w:rPr>
              <w:t xml:space="preserve">15%</w:t>
            </w:r>
          </w:p>
        </w:tc>
        <w:tc>
          <w:tcPr>
            <w:tcW w:type="dxa" w:w="1100"/>
            <w:tcBorders>
              <w:top w:val="single" w:color="D8D2C2" w:sz="4"/>
              <w:left w:val="single" w:color="D8D2C2" w:sz="4"/>
              <w:bottom w:val="single" w:color="D8D2C2" w:sz="4"/>
              <w:right w:val="single" w:color="D8D2C2" w:sz="4"/>
            </w:tcBorders>
            <w:shd w:fill="969089"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3%</w:t>
            </w:r>
          </w:p>
        </w:tc>
        <w:tc>
          <w:tcPr>
            <w:tcW w:type="dxa" w:w="1100"/>
            <w:tcBorders>
              <w:top w:val="single" w:color="D8D2C2" w:sz="4"/>
              <w:left w:val="single" w:color="D8D2C2" w:sz="4"/>
              <w:bottom w:val="single" w:color="D8D2C2" w:sz="4"/>
              <w:right w:val="single" w:color="D8D2C2" w:sz="4"/>
            </w:tcBorders>
            <w:shd w:fill="B8862E"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7%</w:t>
            </w:r>
          </w:p>
        </w:tc>
        <w:tc>
          <w:tcPr>
            <w:tcW w:type="dxa" w:w="14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Sarrasin + Noir</w:t>
            </w:r>
          </w:p>
        </w:tc>
      </w:tr>
      <w:tr>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Espace physique
(stand, mobilier, sol)</w:t>
            </w:r>
          </w:p>
        </w:tc>
        <w:tc>
          <w:tcPr>
            <w:tcW w:type="dxa" w:w="1100"/>
            <w:tcBorders>
              <w:top w:val="single" w:color="D8D2C2" w:sz="4"/>
              <w:left w:val="single" w:color="D8D2C2" w:sz="4"/>
              <w:bottom w:val="single" w:color="D8D2C2" w:sz="4"/>
              <w:right w:val="single" w:color="D8D2C2" w:sz="4"/>
            </w:tcBorders>
            <w:shd w:fill="E8DCC0"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25%</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onsolas" w:cs="Consolas" w:eastAsia="Consolas" w:hAnsi="Consolas"/>
                <w:b w:val="false"/>
                <w:bCs w:val="false"/>
                <w:color w:val="FFFFFF"/>
                <w:sz w:val="19"/>
                <w:szCs w:val="19"/>
              </w:rPr>
              <w:t xml:space="preserve">20%</w:t>
            </w:r>
          </w:p>
        </w:tc>
        <w:tc>
          <w:tcPr>
            <w:tcW w:type="dxa" w:w="1100"/>
            <w:tcBorders>
              <w:top w:val="single" w:color="D8D2C2" w:sz="4"/>
              <w:left w:val="single" w:color="D8D2C2" w:sz="4"/>
              <w:bottom w:val="single" w:color="D8D2C2" w:sz="4"/>
              <w:right w:val="single" w:color="D8D2C2" w:sz="4"/>
            </w:tcBorders>
            <w:shd w:fill="8B3A2A" w:color="auto" w:val="clear"/>
            <w:tcMar>
              <w:top w:type="dxa" w:w="100"/>
              <w:left w:type="dxa" w:w="140"/>
              <w:bottom w:type="dxa" w:w="100"/>
              <w:right w:type="dxa" w:w="140"/>
            </w:tcMar>
          </w:tcPr>
          <w:p>
            <w:pPr>
              <w:jc w:val="center"/>
            </w:pPr>
            <w:r>
              <w:rPr>
                <w:rFonts w:ascii="Consolas" w:cs="Consolas" w:eastAsia="Consolas" w:hAnsi="Consolas"/>
                <w:b w:val="false"/>
                <w:bCs w:val="false"/>
                <w:color w:val="FFFFFF"/>
                <w:sz w:val="19"/>
                <w:szCs w:val="19"/>
              </w:rPr>
              <w:t xml:space="preserve">12%</w:t>
            </w:r>
          </w:p>
        </w:tc>
        <w:tc>
          <w:tcPr>
            <w:tcW w:type="dxa" w:w="1100"/>
            <w:tcBorders>
              <w:top w:val="single" w:color="D8D2C2" w:sz="4"/>
              <w:left w:val="single" w:color="D8D2C2" w:sz="4"/>
              <w:bottom w:val="single" w:color="D8D2C2" w:sz="4"/>
              <w:right w:val="single" w:color="D8D2C2" w:sz="4"/>
            </w:tcBorders>
            <w:shd w:fill="969089"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40%</w:t>
            </w:r>
          </w:p>
        </w:tc>
        <w:tc>
          <w:tcPr>
            <w:tcW w:type="dxa" w:w="1100"/>
            <w:tcBorders>
              <w:top w:val="single" w:color="D8D2C2" w:sz="4"/>
              <w:left w:val="single" w:color="D8D2C2" w:sz="4"/>
              <w:bottom w:val="single" w:color="D8D2C2" w:sz="4"/>
              <w:right w:val="single" w:color="D8D2C2" w:sz="4"/>
            </w:tcBorders>
            <w:shd w:fill="B8862E"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3%</w:t>
            </w:r>
          </w:p>
        </w:tc>
        <w:tc>
          <w:tcPr>
            <w:tcW w:type="dxa" w:w="14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Béton + Sarrasin</w:t>
            </w:r>
          </w:p>
        </w:tc>
      </w:tr>
      <w:tr>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Communication digitale
(web, Insta, écrans)</w:t>
            </w:r>
          </w:p>
        </w:tc>
        <w:tc>
          <w:tcPr>
            <w:tcW w:type="dxa" w:w="1100"/>
            <w:tcBorders>
              <w:top w:val="single" w:color="D8D2C2" w:sz="4"/>
              <w:left w:val="single" w:color="D8D2C2" w:sz="4"/>
              <w:bottom w:val="single" w:color="D8D2C2" w:sz="4"/>
              <w:right w:val="single" w:color="D8D2C2" w:sz="4"/>
            </w:tcBorders>
            <w:shd w:fill="E8DCC0"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45%</w:t>
            </w:r>
          </w:p>
        </w:tc>
        <w:tc>
          <w:tcPr>
            <w:tcW w:type="dxa" w:w="11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onsolas" w:cs="Consolas" w:eastAsia="Consolas" w:hAnsi="Consolas"/>
                <w:b w:val="false"/>
                <w:bCs w:val="false"/>
                <w:color w:val="FFFFFF"/>
                <w:sz w:val="19"/>
                <w:szCs w:val="19"/>
              </w:rPr>
              <w:t xml:space="preserve">30%</w:t>
            </w:r>
          </w:p>
        </w:tc>
        <w:tc>
          <w:tcPr>
            <w:tcW w:type="dxa" w:w="1100"/>
            <w:tcBorders>
              <w:top w:val="single" w:color="D8D2C2" w:sz="4"/>
              <w:left w:val="single" w:color="D8D2C2" w:sz="4"/>
              <w:bottom w:val="single" w:color="D8D2C2" w:sz="4"/>
              <w:right w:val="single" w:color="D8D2C2" w:sz="4"/>
            </w:tcBorders>
            <w:shd w:fill="8B3A2A" w:color="auto" w:val="clear"/>
            <w:tcMar>
              <w:top w:type="dxa" w:w="100"/>
              <w:left w:type="dxa" w:w="140"/>
              <w:bottom w:type="dxa" w:w="100"/>
              <w:right w:type="dxa" w:w="140"/>
            </w:tcMar>
          </w:tcPr>
          <w:p>
            <w:pPr>
              <w:jc w:val="center"/>
            </w:pPr>
            <w:r>
              <w:rPr>
                <w:rFonts w:ascii="Consolas" w:cs="Consolas" w:eastAsia="Consolas" w:hAnsi="Consolas"/>
                <w:b w:val="false"/>
                <w:bCs w:val="false"/>
                <w:color w:val="FFFFFF"/>
                <w:sz w:val="19"/>
                <w:szCs w:val="19"/>
              </w:rPr>
              <w:t xml:space="preserve">12%</w:t>
            </w:r>
          </w:p>
        </w:tc>
        <w:tc>
          <w:tcPr>
            <w:tcW w:type="dxa" w:w="1100"/>
            <w:tcBorders>
              <w:top w:val="single" w:color="D8D2C2" w:sz="4"/>
              <w:left w:val="single" w:color="D8D2C2" w:sz="4"/>
              <w:bottom w:val="single" w:color="D8D2C2" w:sz="4"/>
              <w:right w:val="single" w:color="D8D2C2" w:sz="4"/>
            </w:tcBorders>
            <w:shd w:fill="969089"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8%</w:t>
            </w:r>
          </w:p>
        </w:tc>
        <w:tc>
          <w:tcPr>
            <w:tcW w:type="dxa" w:w="1100"/>
            <w:tcBorders>
              <w:top w:val="single" w:color="D8D2C2" w:sz="4"/>
              <w:left w:val="single" w:color="D8D2C2" w:sz="4"/>
              <w:bottom w:val="single" w:color="D8D2C2" w:sz="4"/>
              <w:right w:val="single" w:color="D8D2C2" w:sz="4"/>
            </w:tcBorders>
            <w:shd w:fill="B8862E" w:color="auto" w:val="clear"/>
            <w:tcMar>
              <w:top w:type="dxa" w:w="100"/>
              <w:left w:type="dxa" w:w="140"/>
              <w:bottom w:type="dxa" w:w="100"/>
              <w:right w:type="dxa" w:w="140"/>
            </w:tcMar>
          </w:tcPr>
          <w:p>
            <w:pPr>
              <w:jc w:val="center"/>
            </w:pPr>
            <w:r>
              <w:rPr>
                <w:rFonts w:ascii="Consolas" w:cs="Consolas" w:eastAsia="Consolas" w:hAnsi="Consolas"/>
                <w:b w:val="false"/>
                <w:bCs w:val="false"/>
                <w:color w:val="1A1612"/>
                <w:sz w:val="19"/>
                <w:szCs w:val="19"/>
              </w:rPr>
              <w:t xml:space="preserve">5%</w:t>
            </w:r>
          </w:p>
        </w:tc>
        <w:tc>
          <w:tcPr>
            <w:tcW w:type="dxa" w:w="14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Sarrasin + Noir</w:t>
            </w:r>
          </w:p>
        </w:tc>
      </w:tr>
    </w:tbl>
    <w:p>
      <w:pPr>
        <w:spacing w:after="0" w:before="240"/>
      </w:pPr>
      <w:r>
        <w:rPr>
          <w:rFonts w:ascii="Calibri" w:cs="Calibri" w:eastAsia="Calibri" w:hAnsi="Calibri"/>
          <w:b/>
          <w:bCs/>
          <w:color w:val="8B3A2A"/>
          <w:sz w:val="22"/>
          <w:szCs w:val="22"/>
        </w:rPr>
        <w:t xml:space="preserve">Pourquoi 3 ratios différents</w:t>
      </w:r>
    </w:p>
    <w:p>
      <w:pPr>
        <w:spacing w:after="240" w:before="0"/>
        <w:jc w:val="left"/>
      </w:pPr>
      <w:r>
        <w:rPr>
          <w:rFonts w:ascii="Calibri" w:cs="Calibri" w:eastAsia="Calibri" w:hAnsi="Calibri"/>
          <w:b w:val="false"/>
          <w:bCs w:val="false"/>
          <w:i w:val="false"/>
          <w:iCs w:val="false"/>
          <w:color w:val="1A1612"/>
          <w:sz w:val="22"/>
          <w:szCs w:val="22"/>
        </w:rPr>
        <w:t xml:space="preserve">En physique, le béton domine parce que c'est de la matière (sol, comptoir). En digital, il quasi-disparaît parce qu'à l'écran un gris dominant rendrait morne. En identité visuelle, le sarrasin règne pour laisser le noir et la brique faire le travail de signature.</w:t>
      </w:r>
    </w:p>
    <w:p>
      <w:pPr>
        <w:pStyle w:val="Heading1"/>
        <w:spacing w:after="180" w:before="360"/>
      </w:pPr>
      <w:r>
        <w:rPr>
          <w:rFonts w:ascii="Calibri" w:cs="Calibri" w:eastAsia="Calibri" w:hAnsi="Calibri"/>
          <w:b/>
          <w:bCs/>
          <w:color w:val="1A1612"/>
          <w:sz w:val="36"/>
          <w:szCs w:val="36"/>
        </w:rPr>
        <w:t xml:space="preserve">3. Matrice d'application</w:t>
      </w:r>
    </w:p>
    <w:p>
      <w:pPr>
        <w:spacing w:after="200" w:before="0"/>
        <w:jc w:val="left"/>
      </w:pPr>
      <w:r>
        <w:rPr>
          <w:rFonts w:ascii="Calibri" w:cs="Calibri" w:eastAsia="Calibri" w:hAnsi="Calibri"/>
          <w:b w:val="false"/>
          <w:bCs w:val="false"/>
          <w:i w:val="false"/>
          <w:iCs w:val="false"/>
          <w:color w:val="1A1612"/>
          <w:sz w:val="22"/>
          <w:szCs w:val="22"/>
        </w:rPr>
        <w:t xml:space="preserve">Référentiel rapide à donner à toute personne qui produit un support pour Projet Couq (designer, imprimeur, menuisier, développeur web). Chaque support a un fond, un texte et un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2400"/>
        <w:gridCol w:w="2360"/>
      </w:tblGrid>
      <w:tr>
        <w:trPr>
          <w:tblHeader/>
        </w:trPr>
        <w:tc>
          <w:tcPr>
            <w:tcW w:type="dxa" w:w="22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Support</w:t>
            </w:r>
          </w:p>
        </w:tc>
        <w:tc>
          <w:tcPr>
            <w:tcW w:type="dxa" w:w="8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Fond</w:t>
            </w:r>
          </w:p>
        </w:tc>
        <w:tc>
          <w:tcPr>
            <w:tcW w:type="dxa" w:w="8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Texte</w:t>
            </w:r>
          </w:p>
        </w:tc>
        <w:tc>
          <w:tcPr>
            <w:tcW w:type="dxa" w:w="8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Accent</w:t>
            </w:r>
          </w:p>
        </w:tc>
        <w:tc>
          <w:tcPr>
            <w:tcW w:type="dxa" w:w="24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Combinaison</w:t>
            </w:r>
          </w:p>
        </w:tc>
        <w:tc>
          <w:tcPr>
            <w:tcW w:type="dxa" w:w="236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Note</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Devanture / awning</w:t>
            </w:r>
          </w:p>
        </w:tc>
        <w:tc>
          <w:tcPr>
            <w:tcW w:type="dxa" w:w="8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brique → sarrasin + ocre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Brique = signal de loin</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Logo principal</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sarrasin → noir + brique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Version standard tous supports</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Logo négatif</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noir → sarrasin + ocre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Vitrine de nuit, t-shirts, tabliers</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Sac kraft take-away</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sarrasin → noir + brique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2 couleurs impression maximum</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Étiquette prix</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sarrasin → noir + brique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Prix toujours en brique = signature</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Carte / menu papier</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sarrasin → noir + ocre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Filets ocre, titres brique</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Site web (background)</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sarrasin → noir + brique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CTA, hover states, badges en brique</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Post Instagram</w:t>
            </w:r>
          </w:p>
        </w:tc>
        <w:tc>
          <w:tcPr>
            <w:tcW w:type="dxa" w:w="8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brique → sarrasin + ocre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Stoppe le scroll efficacement</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Tablier staff</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noir → sarrasin + ocre</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Logo brodé sarrasin, accents ocre</w:t>
            </w:r>
          </w:p>
        </w:tc>
      </w:tr>
      <w:tr>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20"/>
                <w:szCs w:val="20"/>
              </w:rPr>
              <w:t xml:space="preserve">Carte de fidélité</w:t>
            </w:r>
          </w:p>
        </w:tc>
        <w:tc>
          <w:tcPr>
            <w:tcW w:type="dxa" w:w="8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8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24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18"/>
                <w:szCs w:val="18"/>
              </w:rPr>
              <w:t xml:space="preserve">noir → ocre + sarrasin</w:t>
            </w:r>
          </w:p>
        </w:tc>
        <w:tc>
          <w:tcPr>
            <w:tcW w:type="dxa" w:w="23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Effet premium noir + or</w:t>
            </w:r>
          </w:p>
        </w:tc>
      </w:tr>
    </w:tbl>
    <w:p>
      <w:r>
        <w:br w:type="page"/>
      </w:r>
    </w:p>
    <w:p>
      <w:pPr>
        <w:pStyle w:val="Heading1"/>
        <w:spacing w:after="180" w:before="360"/>
      </w:pPr>
      <w:r>
        <w:rPr>
          <w:rFonts w:ascii="Calibri" w:cs="Calibri" w:eastAsia="Calibri" w:hAnsi="Calibri"/>
          <w:b/>
          <w:bCs/>
          <w:color w:val="1A1612"/>
          <w:sz w:val="36"/>
          <w:szCs w:val="36"/>
        </w:rPr>
        <w:t xml:space="preserve">4. Combinaisons (pairings)</w:t>
      </w:r>
    </w:p>
    <w:p>
      <w:pPr>
        <w:spacing w:after="200" w:before="0"/>
        <w:jc w:val="left"/>
      </w:pPr>
      <w:r>
        <w:rPr>
          <w:rFonts w:ascii="Calibri" w:cs="Calibri" w:eastAsia="Calibri" w:hAnsi="Calibri"/>
          <w:b w:val="false"/>
          <w:bCs w:val="false"/>
          <w:i w:val="false"/>
          <w:iCs w:val="false"/>
          <w:color w:val="1A1612"/>
          <w:sz w:val="22"/>
          <w:szCs w:val="22"/>
        </w:rPr>
        <w:t xml:space="preserve">Les associations chromatiques validées et celles à manier avec précaution. Une combinaison non listée ici doit être considérée comme à valider avant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200"/>
        <w:gridCol w:w="1800"/>
        <w:gridCol w:w="3960"/>
      </w:tblGrid>
      <w:tr>
        <w:trPr>
          <w:tblHeader/>
        </w:trPr>
        <w:tc>
          <w:tcPr>
            <w:tcW w:type="dxa" w:w="7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Fond</w:t>
            </w:r>
          </w:p>
        </w:tc>
        <w:tc>
          <w:tcPr>
            <w:tcW w:type="dxa" w:w="7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Texte</w:t>
            </w:r>
          </w:p>
        </w:tc>
        <w:tc>
          <w:tcPr>
            <w:tcW w:type="dxa" w:w="22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Combinaison</w:t>
            </w:r>
          </w:p>
        </w:tc>
        <w:tc>
          <w:tcPr>
            <w:tcW w:type="dxa" w:w="180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Statut</w:t>
            </w:r>
          </w:p>
        </w:tc>
        <w:tc>
          <w:tcPr>
            <w:tcW w:type="dxa" w:w="3960"/>
            <w:tcBorders>
              <w:top w:val="single" w:color="D8D2C2" w:sz="4"/>
              <w:left w:val="single" w:color="D8D2C2" w:sz="4"/>
              <w:bottom w:val="single" w:color="D8D2C2" w:sz="4"/>
              <w:right w:val="single" w:color="D8D2C2" w:sz="4"/>
            </w:tcBorders>
            <w:shd w:fill="1A1612" w:color="auto"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Quand utiliser</w:t>
            </w:r>
          </w:p>
        </w:tc>
      </w:tr>
      <w:tr>
        <w:tc>
          <w:tcPr>
            <w:tcW w:type="dxa" w:w="7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brique sur sarrasin</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Signature</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La combinaison emblématique. Awning, mur signature, posts Insta forts.</w:t>
            </w:r>
          </w:p>
        </w:tc>
      </w:tr>
      <w:tr>
        <w:tc>
          <w:tcPr>
            <w:tcW w:type="dxa" w:w="7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noir sur sarrasin</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Validé fort</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La plus polyvalente. Logo, devanture, tablier, fonds typographiques.</w:t>
            </w:r>
          </w:p>
        </w:tc>
      </w:tr>
      <w:tr>
        <w:tc>
          <w:tcPr>
            <w:tcW w:type="dxa" w:w="7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sarrasin sur brique</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Validé fort</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Étiquettes prix, titres de menu, articles de contenu.</w:t>
            </w:r>
          </w:p>
        </w:tc>
      </w:tr>
      <w:tr>
        <w:tc>
          <w:tcPr>
            <w:tcW w:type="dxa" w:w="700"/>
            <w:tcBorders>
              <w:top w:val="single" w:color="D8D2C2" w:sz="4"/>
              <w:left w:val="single" w:color="D8D2C2" w:sz="4"/>
              <w:bottom w:val="single" w:color="D8D2C2" w:sz="4"/>
              <w:right w:val="single" w:color="D8D2C2" w:sz="4"/>
            </w:tcBorders>
            <w:shd w:fill="E8DCC0"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sarrasin sur noir</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Validé fort</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Lecture longue, pages produit, body text web.</w:t>
            </w:r>
          </w:p>
        </w:tc>
      </w:tr>
      <w:tr>
        <w:tc>
          <w:tcPr>
            <w:tcW w:type="dxa" w:w="7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noir sur ocre</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Premium</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Cartes fidélité, packaging premium, finition haut de gamme.</w:t>
            </w:r>
          </w:p>
        </w:tc>
      </w:tr>
      <w:tr>
        <w:tc>
          <w:tcPr>
            <w:tcW w:type="dxa" w:w="700"/>
            <w:tcBorders>
              <w:top w:val="single" w:color="D8D2C2" w:sz="4"/>
              <w:left w:val="single" w:color="D8D2C2" w:sz="4"/>
              <w:bottom w:val="single" w:color="D8D2C2" w:sz="4"/>
              <w:right w:val="single" w:color="D8D2C2" w:sz="4"/>
            </w:tcBorders>
            <w:shd w:fill="969089"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beton sur noir</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Validé</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Surfaces matérielles, comptoir, fond produit.</w:t>
            </w:r>
          </w:p>
        </w:tc>
      </w:tr>
      <w:tr>
        <w:tc>
          <w:tcPr>
            <w:tcW w:type="dxa" w:w="700"/>
            <w:tcBorders>
              <w:top w:val="single" w:color="D8D2C2" w:sz="4"/>
              <w:left w:val="single" w:color="D8D2C2" w:sz="4"/>
              <w:bottom w:val="single" w:color="D8D2C2" w:sz="4"/>
              <w:right w:val="single" w:color="D8D2C2" w:sz="4"/>
            </w:tcBorders>
            <w:shd w:fill="8B3A2A"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brique sur ocre</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8B3A2A"/>
                <w:sz w:val="19"/>
                <w:szCs w:val="19"/>
              </w:rPr>
              <w:t xml:space="preserve">Avec parcimonie</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Uniquement très petite surface (filets, micro-détails). Jamais en aplat.</w:t>
            </w:r>
          </w:p>
        </w:tc>
      </w:tr>
      <w:tr>
        <w:tc>
          <w:tcPr>
            <w:tcW w:type="dxa" w:w="700"/>
            <w:tcBorders>
              <w:top w:val="single" w:color="D8D2C2" w:sz="4"/>
              <w:left w:val="single" w:color="D8D2C2" w:sz="4"/>
              <w:bottom w:val="single" w:color="D8D2C2" w:sz="4"/>
              <w:right w:val="single" w:color="D8D2C2" w:sz="4"/>
            </w:tcBorders>
            <w:shd w:fill="B8862E" w:color="auto" w:val="clear"/>
            <w:tcMar>
              <w:top w:type="dxa" w:w="240"/>
              <w:left w:type="dxa" w:w="140"/>
              <w:bottom w:type="dxa" w:w="240"/>
              <w:right w:type="dxa" w:w="140"/>
            </w:tcMar>
          </w:tcPr>
          <w:p>
            <w:r>
              <w:rPr>
                <w:sz w:val="20"/>
                <w:szCs w:val="20"/>
              </w:rPr>
              <w:t xml:space="preserve"> </w:t>
            </w:r>
          </w:p>
        </w:tc>
        <w:tc>
          <w:tcPr>
            <w:tcW w:type="dxa" w:w="700"/>
            <w:tcBorders>
              <w:top w:val="single" w:color="D8D2C2" w:sz="4"/>
              <w:left w:val="single" w:color="D8D2C2" w:sz="4"/>
              <w:bottom w:val="single" w:color="D8D2C2" w:sz="4"/>
              <w:right w:val="single" w:color="D8D2C2" w:sz="4"/>
            </w:tcBorders>
            <w:shd w:fill="1A1612" w:color="auto" w:val="clear"/>
            <w:tcMar>
              <w:top w:type="dxa" w:w="240"/>
              <w:left w:type="dxa" w:w="140"/>
              <w:bottom w:type="dxa" w:w="240"/>
              <w:right w:type="dxa" w:w="140"/>
            </w:tcMar>
          </w:tcPr>
          <w:p>
            <w:r>
              <w:rPr>
                <w:sz w:val="20"/>
                <w:szCs w:val="20"/>
              </w:rPr>
              <w:t xml:space="preserve"> </w:t>
            </w:r>
          </w:p>
        </w:tc>
        <w:tc>
          <w:tcPr>
            <w:tcW w:type="dxa" w:w="22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onsolas" w:cs="Consolas" w:eastAsia="Consolas" w:hAnsi="Consolas"/>
                <w:b w:val="false"/>
                <w:bCs w:val="false"/>
                <w:color w:val="1A1612"/>
                <w:sz w:val="20"/>
                <w:szCs w:val="20"/>
              </w:rPr>
              <w:t xml:space="preserve">ocre sur noir</w:t>
            </w:r>
          </w:p>
        </w:tc>
        <w:tc>
          <w:tcPr>
            <w:tcW w:type="dxa" w:w="180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bCs/>
                <w:color w:val="1A1612"/>
                <w:sz w:val="19"/>
                <w:szCs w:val="19"/>
              </w:rPr>
              <w:t xml:space="preserve">Accent uniquement</w:t>
            </w:r>
          </w:p>
        </w:tc>
        <w:tc>
          <w:tcPr>
            <w:tcW w:type="dxa" w:w="3960"/>
            <w:tcBorders>
              <w:top w:val="single" w:color="D8D2C2" w:sz="4"/>
              <w:left w:val="single" w:color="D8D2C2" w:sz="4"/>
              <w:bottom w:val="single" w:color="D8D2C2" w:sz="4"/>
              <w:right w:val="single" w:color="D8D2C2" w:sz="4"/>
            </w:tcBorders>
            <w:tcMar>
              <w:top w:type="dxa" w:w="100"/>
              <w:left w:type="dxa" w:w="140"/>
              <w:bottom w:type="dxa" w:w="100"/>
              <w:right w:type="dxa" w:w="140"/>
            </w:tcMar>
          </w:tcPr>
          <w:p>
            <w:pPr>
              <w:jc w:val="left"/>
            </w:pPr>
            <w:r>
              <w:rPr>
                <w:rFonts w:ascii="Calibri" w:cs="Calibri" w:eastAsia="Calibri" w:hAnsi="Calibri"/>
                <w:b w:val="false"/>
                <w:bCs w:val="false"/>
                <w:color w:val="1A1612"/>
                <w:sz w:val="18"/>
                <w:szCs w:val="18"/>
              </w:rPr>
              <w:t xml:space="preserve">Petits éléments de signalétique. Fatigue visuelle si surface &gt; 20%.</w:t>
            </w:r>
          </w:p>
        </w:tc>
      </w:tr>
    </w:tbl>
    <w:p>
      <w:r>
        <w:br w:type="page"/>
      </w:r>
    </w:p>
    <w:p>
      <w:pPr>
        <w:pStyle w:val="Heading1"/>
        <w:spacing w:after="180" w:before="360"/>
      </w:pPr>
      <w:r>
        <w:rPr>
          <w:rFonts w:ascii="Calibri" w:cs="Calibri" w:eastAsia="Calibri" w:hAnsi="Calibri"/>
          <w:b/>
          <w:bCs/>
          <w:color w:val="1A1612"/>
          <w:sz w:val="36"/>
          <w:szCs w:val="36"/>
        </w:rPr>
        <w:t xml:space="preserve">5. Règles non-négociables</w:t>
      </w:r>
    </w:p>
    <w:p>
      <w:pPr>
        <w:spacing w:after="200" w:before="0"/>
        <w:jc w:val="left"/>
      </w:pPr>
      <w:r>
        <w:rPr>
          <w:rFonts w:ascii="Calibri" w:cs="Calibri" w:eastAsia="Calibri" w:hAnsi="Calibri"/>
          <w:b w:val="false"/>
          <w:bCs w:val="false"/>
          <w:i w:val="false"/>
          <w:iCs w:val="false"/>
          <w:color w:val="1A1612"/>
          <w:sz w:val="22"/>
          <w:szCs w:val="22"/>
        </w:rPr>
        <w:t xml:space="preserve">Une palette ne meurt pas par manque de couleurs — elle meurt par usage incohérent. Ces règles tiennent l'identité dans le temps.</w:t>
      </w:r>
    </w:p>
    <w:p>
      <w:pPr>
        <w:spacing w:after="140"/>
        <w:ind w:left="360" w:hanging="360"/>
      </w:pPr>
      <w:r>
        <w:rPr>
          <w:rFonts w:ascii="Calibri" w:cs="Calibri" w:eastAsia="Calibri" w:hAnsi="Calibri"/>
          <w:b/>
          <w:bCs/>
          <w:color w:val="8B3A2A"/>
          <w:sz w:val="22"/>
          <w:szCs w:val="22"/>
        </w:rPr>
        <w:t xml:space="preserve">1.  </w:t>
      </w:r>
      <w:r>
        <w:rPr>
          <w:rFonts w:ascii="Calibri" w:cs="Calibri" w:eastAsia="Calibri" w:hAnsi="Calibri"/>
          <w:color w:val="1A1612"/>
          <w:sz w:val="22"/>
          <w:szCs w:val="22"/>
        </w:rPr>
        <w:t xml:space="preserve">Une seule couleur PRIMARY par composition : la brique de Liège (#8B3A2A). Tout le reste est secondaire.</w:t>
      </w:r>
    </w:p>
    <w:p>
      <w:pPr>
        <w:spacing w:after="140"/>
        <w:ind w:left="360" w:hanging="360"/>
      </w:pPr>
      <w:r>
        <w:rPr>
          <w:rFonts w:ascii="Calibri" w:cs="Calibri" w:eastAsia="Calibri" w:hAnsi="Calibri"/>
          <w:b/>
          <w:bCs/>
          <w:color w:val="8B3A2A"/>
          <w:sz w:val="22"/>
          <w:szCs w:val="22"/>
        </w:rPr>
        <w:t xml:space="preserve">2.  </w:t>
      </w:r>
      <w:r>
        <w:rPr>
          <w:rFonts w:ascii="Calibri" w:cs="Calibri" w:eastAsia="Calibri" w:hAnsi="Calibri"/>
          <w:color w:val="1A1612"/>
          <w:sz w:val="22"/>
          <w:szCs w:val="22"/>
        </w:rPr>
        <w:t xml:space="preserve">L'ocre forestier (#B8862E) ne dépasse jamais 8% d'une composition. C'est un accent, pas une matière.</w:t>
      </w:r>
    </w:p>
    <w:p>
      <w:pPr>
        <w:spacing w:after="140"/>
        <w:ind w:left="360" w:hanging="360"/>
      </w:pPr>
      <w:r>
        <w:rPr>
          <w:rFonts w:ascii="Calibri" w:cs="Calibri" w:eastAsia="Calibri" w:hAnsi="Calibri"/>
          <w:b/>
          <w:bCs/>
          <w:color w:val="8B3A2A"/>
          <w:sz w:val="22"/>
          <w:szCs w:val="22"/>
        </w:rPr>
        <w:t xml:space="preserve">3.  </w:t>
      </w:r>
      <w:r>
        <w:rPr>
          <w:rFonts w:ascii="Calibri" w:cs="Calibri" w:eastAsia="Calibri" w:hAnsi="Calibri"/>
          <w:color w:val="1A1612"/>
          <w:sz w:val="22"/>
          <w:szCs w:val="22"/>
        </w:rPr>
        <w:t xml:space="preserve">Brique sur ocre (et inversement) : uniquement en très petite surface, jamais en aplat dominant.</w:t>
      </w:r>
    </w:p>
    <w:p>
      <w:pPr>
        <w:spacing w:after="140"/>
        <w:ind w:left="360" w:hanging="360"/>
      </w:pPr>
      <w:r>
        <w:rPr>
          <w:rFonts w:ascii="Calibri" w:cs="Calibri" w:eastAsia="Calibri" w:hAnsi="Calibri"/>
          <w:b/>
          <w:bCs/>
          <w:color w:val="8B3A2A"/>
          <w:sz w:val="22"/>
          <w:szCs w:val="22"/>
        </w:rPr>
        <w:t xml:space="preserve">4.  </w:t>
      </w:r>
      <w:r>
        <w:rPr>
          <w:rFonts w:ascii="Calibri" w:cs="Calibri" w:eastAsia="Calibri" w:hAnsi="Calibri"/>
          <w:color w:val="1A1612"/>
          <w:sz w:val="22"/>
          <w:szCs w:val="22"/>
        </w:rPr>
        <w:t xml:space="preserve">Le béton ciré (#969089) n'est jamais utilisé pour de la typographie principale — uniquement éléments secondaires UI ou matière physique.</w:t>
      </w:r>
    </w:p>
    <w:p>
      <w:pPr>
        <w:spacing w:after="140"/>
        <w:ind w:left="360" w:hanging="360"/>
      </w:pPr>
      <w:r>
        <w:rPr>
          <w:rFonts w:ascii="Calibri" w:cs="Calibri" w:eastAsia="Calibri" w:hAnsi="Calibri"/>
          <w:b/>
          <w:bCs/>
          <w:color w:val="8B3A2A"/>
          <w:sz w:val="22"/>
          <w:szCs w:val="22"/>
        </w:rPr>
        <w:t xml:space="preserve">5.  </w:t>
      </w:r>
      <w:r>
        <w:rPr>
          <w:rFonts w:ascii="Calibri" w:cs="Calibri" w:eastAsia="Calibri" w:hAnsi="Calibri"/>
          <w:color w:val="1A1612"/>
          <w:sz w:val="22"/>
          <w:szCs w:val="22"/>
        </w:rPr>
        <w:t xml:space="preserve">Le noir houille (#1A1612) remplace systématiquement tout noir pur (#000) dans tous les fichiers — la légère teinte chocolat fait la différence.</w:t>
      </w:r>
    </w:p>
    <w:p>
      <w:pPr>
        <w:spacing w:after="140"/>
        <w:ind w:left="360" w:hanging="360"/>
      </w:pPr>
      <w:r>
        <w:rPr>
          <w:rFonts w:ascii="Calibri" w:cs="Calibri" w:eastAsia="Calibri" w:hAnsi="Calibri"/>
          <w:b/>
          <w:bCs/>
          <w:color w:val="8B3A2A"/>
          <w:sz w:val="22"/>
          <w:szCs w:val="22"/>
        </w:rPr>
        <w:t xml:space="preserve">6.  </w:t>
      </w:r>
      <w:r>
        <w:rPr>
          <w:rFonts w:ascii="Calibri" w:cs="Calibri" w:eastAsia="Calibri" w:hAnsi="Calibri"/>
          <w:color w:val="1A1612"/>
          <w:sz w:val="22"/>
          <w:szCs w:val="22"/>
        </w:rPr>
        <w:t xml:space="preserve">Sur grandes surfaces digitales, sarrasin et noir dominent toujours. La brique signe, l'ocre rehausse, le béton matérialise.</w:t>
      </w:r>
    </w:p>
    <w:p>
      <w:pPr>
        <w:pBdr>
          <w:top w:val="single" w:color="1A1612" w:sz="6" w:space="8"/>
        </w:pBdr>
        <w:spacing w:after="0" w:before="480"/>
      </w:pPr>
      <w:r>
        <w:rPr>
          <w:sz w:val="12"/>
          <w:szCs w:val="12"/>
        </w:rPr>
        <w:t xml:space="preserve"> </w:t>
      </w:r>
    </w:p>
    <w:p>
      <w:pPr>
        <w:spacing w:before="120"/>
        <w:jc w:val="center"/>
      </w:pPr>
      <w:r>
        <w:rPr>
          <w:rFonts w:ascii="Calibri" w:cs="Calibri" w:eastAsia="Calibri" w:hAnsi="Calibri"/>
          <w:i/>
          <w:iCs/>
          <w:color w:val="969089"/>
          <w:sz w:val="16"/>
          <w:szCs w:val="16"/>
        </w:rPr>
        <w:t xml:space="preserve">Projet Couq · v1.0 · Référence chromatique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Couq · Code couleur &amp; proportions</dc:title>
  <dc:creator>L'Atelier By</dc:creator>
  <dc:description>Référence chromatique pour Projet Couq</dc:description>
  <cp:lastModifiedBy>Un-named</cp:lastModifiedBy>
  <cp:revision>1</cp:revision>
  <dcterms:created xsi:type="dcterms:W3CDTF">2026-04-30T17:14:19.129Z</dcterms:created>
  <dcterms:modified xsi:type="dcterms:W3CDTF">2026-04-30T17:14:19.130Z</dcterms:modified>
</cp:coreProperties>
</file>

<file path=docProps/custom.xml><?xml version="1.0" encoding="utf-8"?>
<Properties xmlns="http://schemas.openxmlformats.org/officeDocument/2006/custom-properties" xmlns:vt="http://schemas.openxmlformats.org/officeDocument/2006/docPropsVTypes"/>
</file>