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GrantPath Product Requirements</w:t>
      </w:r>
    </w:p>
    <w:p>
      <w:pPr>
        <w:pStyle w:val="Subtitle"/>
      </w:pPr>
      <w:r>
        <w:t>Initial release specification</w:t>
      </w:r>
    </w:p>
    <w:p>
      <w:r>
        <w:t>Version 1.0  |  24 October 2026  |  Product and engineering teams</w:t>
      </w:r>
    </w:p>
    <w:p>
      <w:r>
        <w:t>GrantPath helps students discover real scholarships that fit their circumstances, understand the evidence behind each eligibility result, and act when requirements or deadlines change. This document defines the complete initial experience and the conditions required to release it.</w:t>
      </w:r>
    </w:p>
    <w:p>
      <w:r>
        <w:t>The release connects student profiles, scholarship discovery, explainable matching, source evidence, application tracking, monitoring, and notifications. TestSprite protects critical behaviour through automatic pull request checks and an enforced merge gate.</w:t>
      </w:r>
    </w:p>
    <w:p>
      <w:pPr>
        <w:pStyle w:val="Heading2"/>
      </w:pPr>
      <w:r>
        <w:t>1 Product goals</w:t>
      </w:r>
    </w:p>
    <w:p>
      <w:pPr>
        <w:pStyle w:val="ListBullet"/>
        <w:spacing w:after="80"/>
      </w:pPr>
      <w:r>
        <w:t>Reduce time spent investigating scholarships that fail known mandatory requirements.</w:t>
      </w:r>
    </w:p>
    <w:p>
      <w:pPr>
        <w:pStyle w:val="ListBullet"/>
        <w:spacing w:after="80"/>
      </w:pPr>
      <w:r>
        <w:t>Explain satisfied, failed, and uncertain requirements using traceable source information.</w:t>
      </w:r>
    </w:p>
    <w:p>
      <w:pPr>
        <w:pStyle w:val="ListBullet"/>
        <w:spacing w:after="80"/>
      </w:pPr>
      <w:r>
        <w:t>Keep students informed when supported scholarship sources change.</w:t>
      </w:r>
    </w:p>
    <w:p>
      <w:pPr>
        <w:pStyle w:val="ListBullet"/>
        <w:spacing w:after="80"/>
      </w:pPr>
      <w:r>
        <w:t>Help students organise applications and upcoming deadlines.</w:t>
      </w:r>
    </w:p>
    <w:p>
      <w:pPr>
        <w:pStyle w:val="ListBullet"/>
        <w:spacing w:after="80"/>
      </w:pPr>
      <w:r>
        <w:t>Demonstrate that meaningful automated checks protect these promises as code changes.</w:t>
      </w:r>
    </w:p>
    <w:p>
      <w:pPr>
        <w:pStyle w:val="Heading2"/>
      </w:pPr>
      <w:r>
        <w:t>2 Release boundaries</w:t>
      </w:r>
    </w:p>
    <w:p>
      <w:r>
        <w:t>The initial product is one responsive web application. Students manage their own profiles and applications; authorised operators maintain scholarship records and supported sources. Discovery uses a verified, bounded catalogue, with monitoring enabled only for sources whose adapters are implemented.</w:t>
      </w:r>
    </w:p>
    <w:p>
      <w:r>
        <w:t>Real scholarship records are required in the student application. Clearly labelled fictional profiles and recorded source snapshots are permitted in isolated demonstrations and automated tests. They must never appear as genuine public opportunities.</w:t>
      </w:r>
    </w:p>
    <w:p>
      <w:pPr>
        <w:pStyle w:val="Heading2"/>
      </w:pPr>
      <w:r>
        <w:t>3 Excluded from this release</w:t>
      </w:r>
    </w:p>
    <w:p>
      <w:r>
        <w:t>Automatic application submission, award predictions, admission guarantees, paid subscriptions, native mobile applications, WhatsApp delivery, institution dashboards, and unrestricted crawling of every scholarship website. Students apply through the provider’s official channel. These exclusions preserve the complete agreed student journey.</w:t>
      </w:r>
    </w:p>
    <w:p>
      <w:r>
        <w:br w:type="page"/>
      </w:r>
    </w:p>
    <w:p>
      <w:pPr>
        <w:pStyle w:val="Heading1"/>
      </w:pPr>
      <w:r>
        <w:t>4 Users and connected journeys</w:t>
      </w:r>
    </w:p>
    <w:tbl>
      <w:tblPr>
        <w:tblW w:type="auto" w:w="0"/>
        <w:jc w:val="center"/>
        <w:tblLayout w:type="fixed"/>
        <w:tblLook w:firstColumn="1" w:firstRow="1" w:lastColumn="0" w:lastRow="0" w:noHBand="0" w:noVBand="1" w:val="04A0"/>
      </w:tblPr>
      <w:tblGrid>
        <w:gridCol w:w="1800"/>
        <w:gridCol w:w="8194"/>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Role</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Capabilities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Visitor</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Understand the product and explore public scholarship summaries; register or sign in for personal matching.</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Student</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Maintain a profile; inspect matches and evidence; save opportunities; track applications; manage alerts.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Operator</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Curate records, review extracted requirements and conflicts, manage sources, retry checks, and inspect delivery failures.</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Development team</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Maintain application behaviour, test environments, regression suites, PR checks, and release evidence.</w:t>
            </w:r>
          </w:p>
        </w:tc>
      </w:tr>
    </w:tbl>
    <w:p>
      <w:pPr>
        <w:spacing w:after="0"/>
      </w:pPr>
    </w:p>
    <w:p>
      <w:pPr>
        <w:pStyle w:val="Heading2"/>
      </w:pPr>
      <w:r>
        <w:t>First visit and onboarding</w:t>
      </w:r>
    </w:p>
    <w:p>
      <w:r>
        <w:t>A visitor sees a clear explanation and real scholarship examples, creates an account, and completes a staged profile. Draft answers persist. The student can continue with an incomplete profile, but missing requirements must reduce certainty rather than be silently assumed satisfied.</w:t>
      </w:r>
    </w:p>
    <w:p>
      <w:pPr>
        <w:pStyle w:val="Heading2"/>
      </w:pPr>
      <w:r>
        <w:t>Discovery and preparation</w:t>
      </w:r>
    </w:p>
    <w:p>
      <w:r>
        <w:t>The student reviews ranked opportunities, opens the eligibility breakdown and official evidence, saves an opportunity, and moves it into the application tracker. The interface separates eligibility, provider application status, evidence freshness, and personal application progress.</w:t>
      </w:r>
    </w:p>
    <w:p>
      <w:pPr>
        <w:pStyle w:val="Heading2"/>
      </w:pPr>
      <w:r>
        <w:t>Changes and follow through</w:t>
      </w:r>
    </w:p>
    <w:p>
      <w:r>
        <w:t>A supported source changes. GrantPath records a candidate update, validates it, publishes a new scholarship version, recalculates affected matches, and creates relevant notifications. The student opens an alert to inspect what changed and why it matters, then updates their application plan.</w:t>
      </w:r>
    </w:p>
    <w:p>
      <w:pPr>
        <w:pStyle w:val="Heading2"/>
      </w:pPr>
      <w:r>
        <w:t>Required destinations</w:t>
      </w:r>
    </w:p>
    <w:p>
      <w:r>
        <w:t>Landing and public discovery; authentication and account recovery; profile onboarding and editing; personalised dashboard; scholarship search; scholarship details with evidence and history; saved opportunities; application tracker; notification inbox and preferences; operator catalogue and source management.</w:t>
      </w:r>
    </w:p>
    <w:p>
      <w:pPr>
        <w:pStyle w:val="Heading2"/>
      </w:pPr>
      <w:r>
        <w:t>Acceptance criteria</w:t>
      </w:r>
    </w:p>
    <w:p>
      <w:pPr>
        <w:pStyle w:val="ListBullet"/>
        <w:spacing w:after="80"/>
      </w:pPr>
      <w:r>
        <w:t>A new student can complete onboarding, inspect an explained match, save it, and update application progress without operator help.</w:t>
      </w:r>
    </w:p>
    <w:p>
      <w:pPr>
        <w:pStyle w:val="ListBullet"/>
        <w:spacing w:after="80"/>
      </w:pPr>
      <w:r>
        <w:t>Personal information and application activity remain private to the owning student.</w:t>
      </w:r>
    </w:p>
    <w:p>
      <w:pPr>
        <w:pStyle w:val="ListBullet"/>
        <w:spacing w:after="80"/>
      </w:pPr>
      <w:r>
        <w:t>Operators cannot use student-facing controls to alter another student’s profile or application progress.</w:t>
      </w:r>
    </w:p>
    <w:p>
      <w:r>
        <w:br w:type="page"/>
      </w:r>
    </w:p>
    <w:p>
      <w:pPr>
        <w:pStyle w:val="Heading1"/>
      </w:pPr>
      <w:r>
        <w:t>5 Accounts and student profiles</w:t>
      </w:r>
    </w:p>
    <w:p>
      <w:r>
        <w:t>ACC-01: Students can register with email and password, sign in, sign out, verify their email, and recover access using expiring single-use links. Session expiry must return the student to sign-in without losing previously saved records. Email delivery failures must expose a retry path without falsely reporting delivery.</w:t>
      </w:r>
    </w:p>
    <w:p>
      <w:r>
        <w:t>PRO-01: Profile editing separates present qualifications from intended future study. Optional fields remain explicitly unknown when omitted. The application requests missing information in context instead of requiring every possible scholarship condition during onboarding.</w:t>
      </w:r>
    </w:p>
    <w:tbl>
      <w:tblPr>
        <w:tblW w:type="auto" w:w="0"/>
        <w:jc w:val="center"/>
        <w:tblLayout w:type="fixed"/>
        <w:tblLook w:firstColumn="1" w:firstRow="1" w:lastColumn="0" w:lastRow="0" w:noHBand="0" w:noVBand="1" w:val="04A0"/>
      </w:tblPr>
      <w:tblGrid>
        <w:gridCol w:w="1800"/>
        <w:gridCol w:w="8194"/>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Profile area</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Required supported information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Location</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Citizenship or multiple citizenships; residence; preferred study countries; IANA time zone.</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Current education</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Qualification, field, institution, completion status, completed or expected graduation date.</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Intended studies</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Target degree level, field and specialisation, preferred institutions, intended start period.</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Academic results</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Result value, original grading scale, degree classification where available; never GPA without its scale.</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Other conditions</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Language test type, scores and dates; work experience with units; age or birth date only when needed; admission status where relevant.</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Preferences</w:t>
            </w:r>
          </w:p>
        </w:tc>
        <w:tc>
          <w:tcPr>
            <w:tcW w:type="dxa" w:w="81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Funding needs, acceptable partial funding, destinations, and notification topics and channels.</w:t>
            </w:r>
          </w:p>
        </w:tc>
      </w:tr>
    </w:tbl>
    <w:p>
      <w:pPr>
        <w:spacing w:after="0"/>
      </w:pPr>
    </w:p>
    <w:p>
      <w:pPr>
        <w:pStyle w:val="Heading2"/>
      </w:pPr>
      <w:r>
        <w:t>Profile behaviour</w:t>
      </w:r>
    </w:p>
    <w:p>
      <w:r>
        <w:t>PRO-02: Validate dates, grading scales, score ranges, and experience units on both client and server. A missing value differs from zero, a failed qualification, or an explicit negative answer. Funding and destination preferences must not be rewritten as provider eligibility rules.</w:t>
      </w:r>
    </w:p>
    <w:p>
      <w:r>
        <w:t>PRO-03: Saving a meaningful profile change creates a new profile version and recalculates affected matches. The interface shows recalculation progress and its completion or failure. Old results must not be presented as current while recalculation is incomplete.</w:t>
      </w:r>
    </w:p>
    <w:p>
      <w:pPr>
        <w:pStyle w:val="Heading2"/>
      </w:pPr>
      <w:r>
        <w:t>Acceptance criteria</w:t>
      </w:r>
    </w:p>
    <w:p>
      <w:pPr>
        <w:pStyle w:val="ListBullet"/>
        <w:spacing w:after="80"/>
      </w:pPr>
      <w:r>
        <w:t>Citizenship and residence persist independently after editing and signing in again.</w:t>
      </w:r>
    </w:p>
    <w:p>
      <w:pPr>
        <w:pStyle w:val="ListBullet"/>
        <w:spacing w:after="80"/>
      </w:pPr>
      <w:r>
        <w:t>An incomplete profile can receive potential matches with actionable missing-information explanations.</w:t>
      </w:r>
    </w:p>
    <w:p>
      <w:pPr>
        <w:pStyle w:val="ListBullet"/>
        <w:spacing w:after="80"/>
      </w:pPr>
      <w:r>
        <w:t>Editing intended study level does not change the qualification the student currently holds.</w:t>
      </w:r>
    </w:p>
    <w:p>
      <w:pPr>
        <w:pStyle w:val="ListBullet"/>
        <w:spacing w:after="80"/>
      </w:pPr>
      <w:r>
        <w:t>Invalid input is rejected with a field-specific message; another student cannot read or alter the profile.</w:t>
      </w:r>
    </w:p>
    <w:p>
      <w:r>
        <w:br w:type="page"/>
      </w:r>
    </w:p>
    <w:p>
      <w:pPr>
        <w:pStyle w:val="Heading1"/>
      </w:pPr>
      <w:r>
        <w:t>6 Scholarship discovery and evidence</w:t>
      </w:r>
    </w:p>
    <w:p>
      <w:r>
        <w:t>CAT-01: Each opportunity has a stable identity for its provider, programme, and application cycle. Repeated ingestion updates the existing opportunity; a new cycle retains a link to the prior cycle without overwriting historical deadlines or student records.</w:t>
      </w:r>
    </w:p>
    <w:p>
      <w:r>
        <w:t>CAT-02: Records contain provider, programme, destination, target levels and fields, structured requirements, funding components, opening and closing information, official information and application URLs, and evidence references. Unknown values remain unknown. Tuition coverage alone must not receive a fully funded label.</w:t>
      </w:r>
    </w:p>
    <w:p>
      <w:pPr>
        <w:pStyle w:val="Heading2"/>
      </w:pPr>
      <w:r>
        <w:t>Source backed fields</w:t>
      </w:r>
    </w:p>
    <w:p>
      <w:r>
        <w:t>EVD-01: Each consequential field links to a source URL, retrieval time, supporting passage or structured evidence, and the scholarship version in which it was accepted. A general page link alone is insufficient to explain a disputed requirement. Store source material only where permitted and the minimum needed to support the claim.</w:t>
      </w:r>
    </w:p>
    <w:p>
      <w:r>
        <w:t>EVD-02: AI may propose extraction, normalisation, and plain-language summaries. It cannot invent requirements, override deterministic rule outcomes, or mark its own extraction verified. Publish material changes only after adapter validation or operator review. Ambiguous extraction remains pending.</w:t>
      </w:r>
    </w:p>
    <w:tbl>
      <w:tblPr>
        <w:tblW w:type="auto" w:w="0"/>
        <w:jc w:val="center"/>
        <w:tblLayout w:type="fixed"/>
        <w:tblLook w:firstColumn="1" w:firstRow="1" w:lastColumn="0" w:lastRow="0" w:noHBand="0" w:noVBand="1" w:val="04A0"/>
      </w:tblPr>
      <w:tblGrid>
        <w:gridCol w:w="2664"/>
        <w:gridCol w:w="7330"/>
      </w:tblGrid>
      <w:tr>
        <w:trPr>
          <w:cantSplit/>
          <w:tblHeader/>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Evidence state</w:t>
            </w:r>
          </w:p>
        </w:tc>
        <w:tc>
          <w:tcPr>
            <w:tcW w:type="dxa" w:w="73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Meaning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Checked against official source</w:t>
            </w:r>
          </w:p>
        </w:tc>
        <w:tc>
          <w:tcPr>
            <w:tcW w:type="dxa" w:w="73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The field was checked against its named official source at the displayed time.</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Needs confirmation</w:t>
            </w:r>
          </w:p>
        </w:tc>
        <w:tc>
          <w:tcPr>
            <w:tcW w:type="dxa" w:w="73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A material requirement is missing, ambiguous, or awaiting review.</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Conflicting information</w:t>
            </w:r>
          </w:p>
        </w:tc>
        <w:tc>
          <w:tcPr>
            <w:tcW w:type="dxa" w:w="73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Sources disagree about a material value; show the disagreement.</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Source unavailable</w:t>
            </w:r>
          </w:p>
        </w:tc>
        <w:tc>
          <w:tcPr>
            <w:tcW w:type="dxa" w:w="733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The latest retrieval failed; retain the last successful evidence and its date.</w:t>
            </w:r>
          </w:p>
        </w:tc>
      </w:tr>
    </w:tbl>
    <w:p>
      <w:pPr>
        <w:spacing w:after="0"/>
      </w:pPr>
    </w:p>
    <w:p>
      <w:pPr>
        <w:pStyle w:val="Heading2"/>
      </w:pPr>
      <w:r>
        <w:t>Discovery behaviour and acceptance</w:t>
      </w:r>
    </w:p>
    <w:p>
      <w:pPr>
        <w:pStyle w:val="ListBullet"/>
        <w:spacing w:after="80"/>
      </w:pPr>
      <w:r>
        <w:t>CAT-03: Search and filter by provider, destination, level, field, funding, deadline, and availability; preserve filters and pagination through reload and Back.</w:t>
      </w:r>
    </w:p>
    <w:p>
      <w:pPr>
        <w:pStyle w:val="ListBullet"/>
        <w:spacing w:after="80"/>
      </w:pPr>
      <w:r>
        <w:t>Show closed opportunities when requested, but exclude them from open application recommendations by default.</w:t>
      </w:r>
    </w:p>
    <w:p>
      <w:pPr>
        <w:pStyle w:val="ListBullet"/>
        <w:spacing w:after="80"/>
      </w:pPr>
      <w:r>
        <w:t>Repeated ingestion creates no duplicate scholarship or new-match notification. Empty results offer useful filter changes without fabricated opportunities.</w:t>
      </w:r>
    </w:p>
    <w:p>
      <w:pPr>
        <w:pStyle w:val="ListBullet"/>
        <w:spacing w:after="80"/>
      </w:pPr>
      <w:r>
        <w:t>Evidence status, last successful verification, and latest check attempt remain distinct and visible.</w:t>
      </w:r>
    </w:p>
    <w:p>
      <w:r>
        <w:br w:type="page"/>
      </w:r>
    </w:p>
    <w:p>
      <w:pPr>
        <w:pStyle w:val="Heading1"/>
      </w:pPr>
      <w:r>
        <w:t>7 Eligibility rules and ranking</w:t>
      </w:r>
    </w:p>
    <w:p>
      <w:r>
        <w:t>MAT-01: Evaluate structured mandatory requirements with deterministic rules. Support AND and OR groups, accepted alternatives, exemptions, exclusions, and conditions tied to application or programme start dates. Unknown information must remain unknown throughout evaluation.</w:t>
      </w:r>
    </w:p>
    <w:tbl>
      <w:tblPr>
        <w:tblW w:type="auto" w:w="0"/>
        <w:jc w:val="center"/>
        <w:tblLayout w:type="fixed"/>
        <w:tblLook w:firstColumn="1" w:firstRow="1" w:lastColumn="0" w:lastRow="0" w:noHBand="0" w:noVBand="1" w:val="04A0"/>
      </w:tblPr>
      <w:tblGrid>
        <w:gridCol w:w="2952"/>
        <w:gridCol w:w="7042"/>
      </w:tblGrid>
      <w:tr>
        <w:trPr>
          <w:cantSplit/>
          <w:tblHeader/>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Result</w:t>
            </w:r>
          </w:p>
        </w:tc>
        <w:tc>
          <w:tcPr>
            <w:tcW w:type="dxa" w:w="70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Decision rule</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Eligible based on available information</w:t>
            </w:r>
          </w:p>
        </w:tc>
        <w:tc>
          <w:tcPr>
            <w:tcW w:type="dxa" w:w="70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All mandatory requirements pass on sufficiently verified evidence, with no unresolved material condition.</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Potential match needs confirmation</w:t>
            </w:r>
          </w:p>
        </w:tc>
        <w:tc>
          <w:tcPr>
            <w:tcW w:type="dxa" w:w="70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No mandatory requirement definitively fails, but required profile information or source evidence is missing or uncertain.</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Not eligible based on known requirements</w:t>
            </w:r>
          </w:p>
        </w:tc>
        <w:tc>
          <w:tcPr>
            <w:tcW w:type="dxa" w:w="70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At least one verified mandatory requirement definitively fails under its actual alternatives and exceptions.</w:t>
            </w:r>
          </w:p>
        </w:tc>
      </w:tr>
    </w:tbl>
    <w:p>
      <w:pPr>
        <w:spacing w:after="0"/>
      </w:pPr>
    </w:p>
    <w:p>
      <w:r>
        <w:t>MAT-02: Within an AND group, a definite failure determines failure; otherwise an unknown condition prevents a pass. Within an OR group, a definite pass satisfies the group; otherwise any unknown alternative prevents a definite failure. An unverified source statement cannot establish a definite failure.</w:t>
      </w:r>
    </w:p>
    <w:p>
      <w:pPr>
        <w:pStyle w:val="Heading2"/>
      </w:pPr>
      <w:r>
        <w:t>Rules that must be represented correctly</w:t>
      </w:r>
    </w:p>
    <w:p>
      <w:pPr>
        <w:pStyle w:val="ListBullet"/>
        <w:spacing w:after="80"/>
      </w:pPr>
      <w:r>
        <w:t>Citizenship and residence are separate requirements; multiple citizenships follow the provider’s stated logic.</w:t>
      </w:r>
    </w:p>
    <w:p>
      <w:pPr>
        <w:pStyle w:val="ListBullet"/>
        <w:spacing w:after="80"/>
      </w:pPr>
      <w:r>
        <w:t>Target programme level differs from prerequisite qualification. Final-year applicants may qualify when the provider allows completion before a specified date.</w:t>
      </w:r>
    </w:p>
    <w:p>
      <w:pPr>
        <w:pStyle w:val="ListBullet"/>
        <w:spacing w:after="80"/>
      </w:pPr>
      <w:r>
        <w:t>Compare GPA only using the same scale or an explicitly supported provider equivalence. Do not apply an invented proportional conversion.</w:t>
      </w:r>
    </w:p>
    <w:p>
      <w:pPr>
        <w:pStyle w:val="ListBullet"/>
        <w:spacing w:after="80"/>
      </w:pPr>
      <w:r>
        <w:t>Language exemptions and alternative qualifications follow the programme’s actual rules. Missing test results do not fail a valid exemption.</w:t>
      </w:r>
    </w:p>
    <w:p>
      <w:pPr>
        <w:pStyle w:val="ListBullet"/>
        <w:spacing w:after="80"/>
      </w:pPr>
      <w:r>
        <w:t>Evaluate age, experience, score validity, and completion dates against the relevant reference date and declared units.</w:t>
      </w:r>
    </w:p>
    <w:p>
      <w:pPr>
        <w:pStyle w:val="Heading2"/>
      </w:pPr>
      <w:r>
        <w:t>Ranking and availability</w:t>
      </w:r>
    </w:p>
    <w:p>
      <w:r>
        <w:t>MAT-03: Eligibility is not an award probability. Rank suitable opportunities by explicit preferences such as field, destination, funding, and timing. Keep definitive failures outside eligible recommendations. Show a readable breakdown of ranking factors without treating preference strength as eligibility evidence.</w:t>
      </w:r>
    </w:p>
    <w:p>
      <w:r>
        <w:t>MAT-04: Open, upcoming, closed, and unknown availability are separate from eligibility. A student can satisfy the rules for a closed opportunity. A missing deadline or inaccessible source cannot establish that applications are open or closed.</w:t>
      </w:r>
    </w:p>
    <w:p>
      <w:r>
        <w:br w:type="page"/>
      </w:r>
    </w:p>
    <w:p>
      <w:pPr>
        <w:pStyle w:val="Heading1"/>
      </w:pPr>
      <w:r>
        <w:t>8 Match explanations and history</w:t>
      </w:r>
    </w:p>
    <w:p>
      <w:r>
        <w:t>MAT-05: Store each evaluation with student profile version, scholarship requirement version, rule engine version, evaluation time, outcome, and per-rule results. Each per-rule result identifies the relevant student value, requirement, pass or fail or unknown state, evidence reference, and explanation.</w:t>
      </w:r>
    </w:p>
    <w:p>
      <w:pPr>
        <w:pStyle w:val="Heading2"/>
      </w:pPr>
      <w:r>
        <w:t>Scholarship detail experience</w:t>
      </w:r>
    </w:p>
    <w:p>
      <w:r>
        <w:t>The details page presents the opportunity and funding components, application availability, the student’s eligibility outcome, and separate sections for requirements met, requirements failed, and items needing confirmation. The official application link and saved status are easy to find.</w:t>
      </w:r>
    </w:p>
    <w:p>
      <w:r>
        <w:t>EVD-03: Students can inspect a material change as an old value and new value, source evidence, effective date when known, retrieval time, publication time, and resulting eligibility difference. Preserve prior results as history rather than rewriting them.</w:t>
      </w:r>
    </w:p>
    <w:p>
      <w:pPr>
        <w:pStyle w:val="Heading2"/>
      </w:pPr>
      <w:r>
        <w:t>Illustrative change journey</w:t>
      </w:r>
    </w:p>
    <w:p>
      <w:r>
        <w:t>A fictional test scholarship previously accepts a student’s qualification. A controlled source snapshot introduces a new prerequisite. After validation, GrantPath publishes the new version, updates the match, and explains that the new prerequisite caused the outcome to change. One notification links to that exact change.</w:t>
      </w:r>
    </w:p>
    <w:p>
      <w:r>
        <w:t>This scenario belongs in the isolated test environment. Public scholarship records must reflect their real sources. The same processing path must support live ingestion and recorded test snapshots, so the demonstration verifies implemented behaviour.</w:t>
      </w:r>
    </w:p>
    <w:p>
      <w:pPr>
        <w:pStyle w:val="Heading2"/>
      </w:pPr>
      <w:r>
        <w:t>Acceptance criteria</w:t>
      </w:r>
    </w:p>
    <w:p>
      <w:pPr>
        <w:pStyle w:val="ListBullet"/>
        <w:spacing w:after="80"/>
      </w:pPr>
      <w:r>
        <w:t>A student can trace every displayed eligibility reason to the requirement version and evidence used.</w:t>
      </w:r>
    </w:p>
    <w:p>
      <w:pPr>
        <w:pStyle w:val="ListBullet"/>
        <w:spacing w:after="80"/>
      </w:pPr>
      <w:r>
        <w:t>A later source update never changes the content of an earlier evaluation or notification.</w:t>
      </w:r>
    </w:p>
    <w:p>
      <w:pPr>
        <w:pStyle w:val="ListBullet"/>
        <w:spacing w:after="80"/>
      </w:pPr>
      <w:r>
        <w:t>A profile update and scholarship update arriving together cannot allow an older calculation to overwrite the latest result.</w:t>
      </w:r>
    </w:p>
    <w:p>
      <w:pPr>
        <w:pStyle w:val="ListBullet"/>
        <w:spacing w:after="80"/>
      </w:pPr>
      <w:r>
        <w:t>While a new evaluation is pending, display the prior result as historical with an updating indicator; do not silently claim it applies to new requirements.</w:t>
      </w:r>
    </w:p>
    <w:p>
      <w:pPr>
        <w:pStyle w:val="ListBullet"/>
        <w:spacing w:after="80"/>
      </w:pPr>
      <w:r>
        <w:t>The page distinguishes source wording from an AI summary and identifies unresolved conflicts.</w:t>
      </w:r>
    </w:p>
    <w:p>
      <w:pPr>
        <w:pStyle w:val="ListBullet"/>
        <w:spacing w:after="80"/>
      </w:pPr>
      <w:r>
        <w:t>An eligibility explanation states what must be confirmed next rather than implying a guaranteed award.</w:t>
      </w:r>
    </w:p>
    <w:p>
      <w:r>
        <w:br w:type="page"/>
      </w:r>
    </w:p>
    <w:p>
      <w:pPr>
        <w:pStyle w:val="Heading1"/>
      </w:pPr>
      <w:r>
        <w:t>9 Monitoring and change publication</w:t>
      </w:r>
    </w:p>
    <w:p>
      <w:r>
        <w:t>MON-01: Maintain a registry of supported official sources with adapter type, linked opportunities, check frequency, last attempt, last success, and current health. Default scheduled checks run daily; operators may configure supported source intervals and request a protected manual check. Display the actual cadence and scope.</w:t>
      </w:r>
    </w:p>
    <w:p>
      <w:pPr>
        <w:pStyle w:val="Heading2"/>
      </w:pPr>
      <w:r>
        <w:t>Processing sequence</w:t>
      </w:r>
    </w:p>
    <w:p>
      <w:r>
        <w:t>Retrieve source; validate response; extract candidate fields; normalise values; compare with the accepted version; validate or review material changes; publish a new version; recalculate affected matches; create notification events. Each stage must be recoverable after failure.</w:t>
      </w:r>
    </w:p>
    <w:p>
      <w:r>
        <w:t>MON-02: Detect semantic changes to deadlines, application status, mandatory requirements, funding, and official application links. Ignore whitespace, reordered lists with identical meaning, and unrelated page content. Preserve raw observation and normalised values so operators can explain decisions.</w:t>
      </w:r>
    </w:p>
    <w:p>
      <w:r>
        <w:t>MON-03: Ambiguous changes enter review and do not silently overwrite accepted facts. A removed requirement may indicate a page-layout failure; require validation rather than treating missing extracted text as removal. Source precedence must be explicit; disagreements remain visible until resolved.</w:t>
      </w:r>
    </w:p>
    <w:p>
      <w:pPr>
        <w:pStyle w:val="Heading2"/>
      </w:pPr>
      <w:r>
        <w:t>Failure and retry behaviour</w:t>
      </w:r>
    </w:p>
    <w:p>
      <w:r>
        <w:t>MON-04: Timeouts, blocked pages, unexpected formats, and provider errors retain the last accepted information. Record a failed check without advancing its verification time or sending a scholarship-closed alert. Use bounded retries and backoff, respect source access restrictions, and surface repeated failures to operators.</w:t>
      </w:r>
    </w:p>
    <w:p>
      <w:r>
        <w:t>MON-05: Make publication and event creation idempotent. A retry or overlapping job must not publish the same semantic change twice. Record an event identifier per accepted transition; a later reversal of that change is a new event and may deserve a new alert.</w:t>
      </w:r>
    </w:p>
    <w:p>
      <w:pPr>
        <w:pStyle w:val="Heading2"/>
      </w:pPr>
      <w:r>
        <w:t>Acceptance criteria</w:t>
      </w:r>
    </w:p>
    <w:p>
      <w:pPr>
        <w:pStyle w:val="ListBullet"/>
        <w:spacing w:after="80"/>
      </w:pPr>
      <w:r>
        <w:t>An unchanged replay creates no version, eligibility-change event, or notification.</w:t>
      </w:r>
    </w:p>
    <w:p>
      <w:pPr>
        <w:pStyle w:val="ListBullet"/>
        <w:spacing w:after="80"/>
      </w:pPr>
      <w:r>
        <w:t>A valid change records before and after values and updates only affected matches.</w:t>
      </w:r>
    </w:p>
    <w:p>
      <w:pPr>
        <w:pStyle w:val="ListBullet"/>
        <w:spacing w:after="80"/>
      </w:pPr>
      <w:r>
        <w:t>A source outage preserves the accepted record and changes source health only.</w:t>
      </w:r>
    </w:p>
    <w:p>
      <w:pPr>
        <w:pStyle w:val="ListBullet"/>
        <w:spacing w:after="80"/>
      </w:pPr>
      <w:r>
        <w:t>Interrupted work resumes without losing a published change or duplicating its effects.</w:t>
      </w:r>
    </w:p>
    <w:p>
      <w:pPr>
        <w:pStyle w:val="ListBullet"/>
        <w:spacing w:after="80"/>
      </w:pPr>
      <w:r>
        <w:t>Operators can inspect pending changes, approve or reject them with a reason, and see the audit history.</w:t>
      </w:r>
    </w:p>
    <w:p>
      <w:r>
        <w:br w:type="page"/>
      </w:r>
    </w:p>
    <w:p>
      <w:pPr>
        <w:pStyle w:val="Heading1"/>
      </w:pPr>
      <w:r>
        <w:t>10 Notifications and application tracking</w:t>
      </w:r>
    </w:p>
    <w:p>
      <w:r>
        <w:t>NOT-01: Support an in-app inbox and email for new relevant opportunities, deadline reminders, and confirmed changes to saved or otherwise subscribed scholarships. Students control topics and channels. Account security emails remain separate from scholarship subscriptions.</w:t>
      </w:r>
    </w:p>
    <w:p>
      <w:r>
        <w:t>NOT-02: Default reminder windows are seven days and one day before the confirmed closing instant. Interpret deadline-only dates using documented provider semantics; where time zone or closing time is unresolved, show uncertainty and avoid inventing an exact countdown. Store confirmed instants consistently and display them in the student’s time zone.</w:t>
      </w:r>
    </w:p>
    <w:p>
      <w:r>
        <w:t>NOT-03: Deduplicate by student, opportunity cycle, event identifier, topic, channel, and reminder window where applicable. An unchanged refresh produces no new-match alert. Preference changes apply to pending sends; check current preferences immediately before delivery.</w:t>
      </w:r>
    </w:p>
    <w:p>
      <w:r>
        <w:t>NOT-04: Track pending, sent, failed, and suppressed delivery states with attempt history and bounded retries. Email provider acceptance means accepted for delivery, not proof the student received or read it. Each scholarship alert links to the relevant evidence or change.</w:t>
      </w:r>
    </w:p>
    <w:p>
      <w:pPr>
        <w:pStyle w:val="Heading2"/>
      </w:pPr>
      <w:r>
        <w:t>Saved opportunities and progress</w:t>
      </w:r>
    </w:p>
    <w:p>
      <w:r>
        <w:t>TRK-01: Saving is idempotent. Students can move opportunities between Interested, Planning, Preparing documents, Applied, Awarded, Not awarded, and No longer pursuing. Save timestamps, personal notes, a document preparation checklist, and a history of status changes.</w:t>
      </w:r>
    </w:p>
    <w:p>
      <w:r>
        <w:t>TRK-02: Application status is the student’s own record. It must never change the provider’s official scholarship status. Student document checklists store preparation state; uploading certificates or submitting applications is excluded from this release.</w:t>
      </w:r>
    </w:p>
    <w:p>
      <w:pPr>
        <w:pStyle w:val="Heading2"/>
      </w:pPr>
      <w:r>
        <w:t>Acceptance criteria</w:t>
      </w:r>
    </w:p>
    <w:p>
      <w:pPr>
        <w:pStyle w:val="ListBullet"/>
        <w:spacing w:after="80"/>
      </w:pPr>
      <w:r>
        <w:t>Retrying a notification event creates one inbox item and no duplicate accepted email send through the supported idempotent delivery path.</w:t>
      </w:r>
    </w:p>
    <w:p>
      <w:pPr>
        <w:pStyle w:val="ListBullet"/>
        <w:spacing w:after="80"/>
      </w:pPr>
      <w:r>
        <w:t>Disabling a topic prevents its queued delivery; failed sends remain visible to operators.</w:t>
      </w:r>
    </w:p>
    <w:p>
      <w:pPr>
        <w:pStyle w:val="ListBullet"/>
        <w:spacing w:after="80"/>
      </w:pPr>
      <w:r>
        <w:t>Unknown deadlines create no fabricated reminders; closed cycles receive no approaching-deadline reminder.</w:t>
      </w:r>
    </w:p>
    <w:p>
      <w:pPr>
        <w:pStyle w:val="ListBullet"/>
        <w:spacing w:after="80"/>
      </w:pPr>
      <w:r>
        <w:t>Saving twice creates one tracker record; another student cannot read notes or change progress.</w:t>
      </w:r>
    </w:p>
    <w:p>
      <w:pPr>
        <w:pStyle w:val="ListBullet"/>
        <w:spacing w:after="80"/>
      </w:pPr>
      <w:r>
        <w:t>Unsave stops saved-only future alerts. Preserve an existing application record unless the student explicitly removes it; explain that action before applying it.</w:t>
      </w:r>
    </w:p>
    <w:p>
      <w:r>
        <w:br w:type="page"/>
      </w:r>
    </w:p>
    <w:p>
      <w:pPr>
        <w:pStyle w:val="Heading1"/>
      </w:pPr>
      <w:r>
        <w:t>11 Operations and product quality</w:t>
      </w:r>
    </w:p>
    <w:p>
      <w:pPr>
        <w:pStyle w:val="Heading2"/>
      </w:pPr>
      <w:r>
        <w:t>Operator workflow</w:t>
      </w:r>
    </w:p>
    <w:p>
      <w:r>
        <w:t>OPS-01: Provide protected catalogue creation and editing, structured rule authoring, source registration, extraction review, conflict resolution, check history, and delivery diagnostics. Validate rule syntax before publication. Material manual edits create a version and trigger the same recalculation and event path as accepted source updates.</w:t>
      </w:r>
    </w:p>
    <w:p>
      <w:r>
        <w:t>OPS-02: Maintain an audit trail identifying actor, action, affected record, before and after values, time, and review reason. Operators cannot label a field checked against an official source without attaching the supporting evidence.</w:t>
      </w:r>
    </w:p>
    <w:p>
      <w:pPr>
        <w:pStyle w:val="Heading2"/>
      </w:pPr>
      <w:r>
        <w:t>Usability and accessibility</w:t>
      </w:r>
    </w:p>
    <w:p>
      <w:r>
        <w:t>UX-01: Use clear navigation, readable scholarship cards, staged forms, visible save feedback, accessible labels, keyboard operation, meaningful focus states, and error recovery. Eligibility states must use text as well as colour. Support layouts from 360 px mobile width through desktop without horizontal overflow.</w:t>
      </w:r>
    </w:p>
    <w:p>
      <w:r>
        <w:t>UX-02: Every core view needs loading, empty, error, and stale-information states. Do not show invented statistics, fake testimonials, or notification badges disconnected from persisted records. Preserve search state, return navigation, and saved changes across sessions.</w:t>
      </w:r>
    </w:p>
    <w:p>
      <w:pPr>
        <w:pStyle w:val="Heading2"/>
      </w:pPr>
      <w:r>
        <w:t>Security and reliability</w:t>
      </w:r>
    </w:p>
    <w:p>
      <w:r>
        <w:t>NFR-01: Enforce ownership and role permissions on the server, including direct API requests. Protect sessions, rate-limit authentication and sensitive mutations, validate input, keep secrets out of clients and repositories, and restrict arbitrary source fetching to prevent access to private network resources.</w:t>
      </w:r>
    </w:p>
    <w:p>
      <w:r>
        <w:t>NFR-02: Background work must persist across process restarts. Use durable event delivery so accepted source changes cannot disappear between persistence and notification. Isolate automated-test accounts and databases from real students; production email must never be sent to test fixtures.</w:t>
      </w:r>
    </w:p>
    <w:p>
      <w:r>
        <w:t>NFR-03: Target a usable core page within three seconds on a defined mobile test profile and a visible response to routine saves within two seconds under the documented reference load. Long ingestion work runs asynchronously. Measure these targets before claiming them achieved.</w:t>
      </w:r>
    </w:p>
    <w:p>
      <w:pPr>
        <w:pStyle w:val="Heading2"/>
      </w:pPr>
      <w:r>
        <w:t>Logical records</w:t>
      </w:r>
    </w:p>
    <w:p>
      <w:r>
        <w:t>Maintain identities for users, profile versions, scholarship cycles and versions, requirement groups, field evidence, source observations, change reviews, match evaluations, saved applications, notification events and deliveries, and audit entries. Use stable identifiers and constraints to prevent duplicate publication, saves, and event processing.</w:t>
      </w:r>
    </w:p>
    <w:p>
      <w:r>
        <w:br w:type="page"/>
      </w:r>
    </w:p>
    <w:p>
      <w:pPr>
        <w:pStyle w:val="Heading1"/>
      </w:pPr>
      <w:r>
        <w:t>12 TestSprite verification requirements</w:t>
      </w:r>
    </w:p>
    <w:p>
      <w:r>
        <w:t>TST-01: Connect the TestSprite GitHub App and create a meaningful suite in its 3.0 portal. Each eligible same-repository PR must automatically test the deployed code for that PR, using isolated repeatable data. Require the authentic TestSprite result on the protected main branch and verify that a failing check actually prevents merging.</w:t>
      </w:r>
    </w:p>
    <w:p>
      <w:r>
        <w:t>TST-02: Wire this workflow alongside the first functional journey. Do not wait until the product is complete. No required check may silently substitute production behaviour for an untested branch. Document deployment triggers, fork handling, permitted bypasses, and any platform limitations.</w:t>
      </w:r>
    </w:p>
    <w:tbl>
      <w:tblPr>
        <w:tblW w:type="auto" w:w="0"/>
        <w:jc w:val="center"/>
        <w:tblLayout w:type="fixed"/>
        <w:tblLook w:firstColumn="1" w:firstRow="1" w:lastColumn="0" w:lastRow="0" w:noHBand="0" w:noVBand="1" w:val="04A0"/>
      </w:tblPr>
      <w:tblGrid>
        <w:gridCol w:w="2160"/>
        <w:gridCol w:w="7834"/>
      </w:tblGrid>
      <w:tr>
        <w:trPr>
          <w:cantSplit/>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Coverage area</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74A"/>
          </w:tcPr>
          <w:p>
            <w:pPr>
              <w:spacing w:after="40" w:line="245" w:lineRule="auto"/>
            </w:pPr>
            <w:r>
              <w:rPr>
                <w:b/>
                <w:color w:val="FFFFFF"/>
                <w:sz w:val="20"/>
              </w:rPr>
              <w:t>Required observable result</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Accounts and ownership</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Registration and recovery work; students cannot read or edit another account’s private records.</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Matching rules</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Assert exact outcomes and reason codes for nationality, residence, prerequisites, alternatives, missing values, and GPA scales.</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Evidence and funding</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Unknown or conflicting evidence stays visible; tuition-only coverage never becomes fully funded.</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Source changes</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Published evidence version causes the correct eligibility change; source failure preserves accepted facts.</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Notifications</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line="245" w:lineRule="auto"/>
            </w:pPr>
            <w:r>
              <w:rPr>
                <w:sz w:val="20"/>
              </w:rPr>
              <w:t>One event produces the expected alert; replay produces none; preferences suppress pending delivery.</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Tracker and navigation</w:t>
            </w:r>
          </w:p>
        </w:tc>
        <w:tc>
          <w:tcPr>
            <w:tcW w:type="dxa" w:w="78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5" w:lineRule="auto"/>
            </w:pPr>
            <w:r>
              <w:rPr>
                <w:sz w:val="20"/>
              </w:rPr>
              <w:t>Save is idempotent; progress persists independently of provider status; filters survive reload and Back.</w:t>
            </w:r>
          </w:p>
        </w:tc>
      </w:tr>
    </w:tbl>
    <w:p>
      <w:pPr>
        <w:spacing w:after="0"/>
      </w:pPr>
    </w:p>
    <w:p>
      <w:r>
        <w:t>TST-03: Use fixed clocks and controlled source snapshots for repeatable regression scenarios. Keep separate live-source smoke checks to detect adapter drift. Unit and API tests supplement browser coverage for rule combinations, concurrency, permission enforcement, event processing, and email delivery; report their results separately.</w:t>
      </w:r>
    </w:p>
    <w:p>
      <w:r>
        <w:t>TST-04: Preserve a meaningful red run, affected commit, failure details, actual merge-block evidence, fix commit, and green rerun. A deliberately introduced regression must be clearly disclosed and remain isolated from production. Naturally found bugs should also be recorded when available.</w:t>
      </w:r>
    </w:p>
    <w:p>
      <w:r>
        <w:t>TST-05: Review generated tests for invented features, brittle selectors, and shallow assertions. Document substantive corrections. Do not weaken an expected business outcome merely to obtain green results. Record blocked tests, reruns, and observed flakiness honestly; there is no target test count that substitutes for coverage.</w:t>
      </w:r>
    </w:p>
    <w:p>
      <w:r>
        <w:br w:type="page"/>
      </w:r>
    </w:p>
    <w:p>
      <w:pPr>
        <w:pStyle w:val="Heading1"/>
      </w:pPr>
      <w:r>
        <w:t>13 Release acceptance and delivery</w:t>
      </w:r>
    </w:p>
    <w:p>
      <w:pPr>
        <w:pStyle w:val="Heading2"/>
      </w:pPr>
      <w:r>
        <w:t>Release gates</w:t>
      </w:r>
    </w:p>
    <w:p>
      <w:pPr>
        <w:pStyle w:val="ListBullet"/>
        <w:spacing w:after="80"/>
      </w:pPr>
      <w:r>
        <w:t>REL-01: A new student completes profile to explained match to saved application to alert review on the deployed application, with persistent state and working error recovery.</w:t>
      </w:r>
    </w:p>
    <w:p>
      <w:pPr>
        <w:pStyle w:val="ListBullet"/>
        <w:spacing w:after="80"/>
      </w:pPr>
      <w:r>
        <w:t>REL-02: Published opportunities are real and traceable to official sources. Each monitored source has an implemented adapter, recorded checks, and an honest supported scope.</w:t>
      </w:r>
    </w:p>
    <w:p>
      <w:pPr>
        <w:pStyle w:val="ListBullet"/>
        <w:spacing w:after="80"/>
      </w:pPr>
      <w:r>
        <w:t>REL-03: Demonstrate an accepted requirement change, recorded evidence, correct eligibility recalculation, and a single preference-compliant notification. Demonstrate the unchanged replay and source-outage paths.</w:t>
      </w:r>
    </w:p>
    <w:p>
      <w:pPr>
        <w:pStyle w:val="ListBullet"/>
        <w:spacing w:after="80"/>
      </w:pPr>
      <w:r>
        <w:t>REL-04: Core permission, rule, event, and TestSprite checks pass. The required PR check has demonstrably blocked a broken branch and passed after the fix. No unresolved critical data-isolation or eligibility defect remains.</w:t>
      </w:r>
    </w:p>
    <w:p>
      <w:pPr>
        <w:pStyle w:val="Heading2"/>
      </w:pPr>
      <w:r>
        <w:t>Delivery sequence</w:t>
      </w:r>
    </w:p>
    <w:p>
      <w:r>
        <w:t>First establish deployment, persistent records, authentication, a thin student journey, and the TestSprite PR gate. Then build verified catalogue ingestion, deterministic rules, evidence and match history, saved applications, and the connected monitoring and notification pipeline. Complete operator workflows, accessibility, reliability checks, and presentation evidence throughout these increments.</w:t>
      </w:r>
    </w:p>
    <w:p>
      <w:r>
        <w:t>Initial planning targets are 20 to 30 verified scholarship cycles and at least three supported official source adapters. These are implementation planning defaults, not a claim of current coverage or a substitute for the release gates. Confirm source accessibility early and report the actual collection at submission.</w:t>
      </w:r>
    </w:p>
    <w:p>
      <w:pPr>
        <w:pStyle w:val="Heading2"/>
      </w:pPr>
      <w:r>
        <w:t>Success measures and dependencies</w:t>
      </w:r>
    </w:p>
    <w:p>
      <w:r>
        <w:t>Measure onboarding completion, explained-match views, opportunities saved, application progress, source-check success and freshness, reviewed changes, alert failures and duplicates, and PR test reliability. Separate observed metrics from targets. Dependencies include official-source access, authentication and email delivery, hosting, persistent scheduled work, and available TestSprite execution capacity.</w:t>
      </w:r>
    </w:p>
    <w:p>
      <w:r>
        <w:t>Resolve the implementation stack, providers, source catalogue, and notification sender configuration before their dependent work. Keep product rules independent of a particular framework. Test runs cannot certify that every external scholarship fact is correct; evidence review remains necessary.</w:t>
      </w:r>
    </w:p>
    <w:p>
      <w:pPr>
        <w:pStyle w:val="Heading2"/>
      </w:pPr>
      <w:r>
        <w:t>Hackathon evidence</w:t>
      </w:r>
    </w:p>
    <w:p>
      <w:r>
        <w:t>Prepare a public repository with README, live application URL, supported coverage, reproducible test instructions, and a PR carrying TestSprite results. Preserve run evidence and disclose limitations. Submit the required PR link, live URL, and TestSprite account details through the organiser’s submission channel; prepare an optional short demonstration and factual build write-up.</w:t>
      </w:r>
    </w:p>
    <w:p>
      <w:r>
        <w:t>Official judging reference: TestSprite Hackathon Season 4, https://www.testsprite.com/hackathon-s4, checked 24 October 2026. Project quality carries 40 points; automated testing 40; innovation 20. Engagement is an additional bonus. This PRD defines acceptance conditions, not a predicted judging result.</w:t>
      </w:r>
    </w:p>
    <w:sectPr w:rsidR="00FC693F" w:rsidRPr="0006063C" w:rsidSect="00034616">
      <w:footerReference w:type="default" r:id="rId9"/>
      <w:pgSz w:w="12240" w:h="15840"/>
      <w:pgMar w:top="965"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GrantPath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GrantPath Product Requirements</dc:title>
  <dc:subject>Product scope and acceptance criteria for the initial release</dc:subject>
  <dc:creator>GrantPath</dc:creator>
  <cp:keywords/>
  <dc:description>generated by python-docx</dc:description>
  <cp:lastModifiedBy/>
  <cp:revision>1</cp:revision>
  <dcterms:created xsi:type="dcterms:W3CDTF">2013-12-23T23:15:00Z</dcterms:created>
  <dcterms:modified xsi:type="dcterms:W3CDTF">2013-12-23T23:15:00Z</dcterms:modified>
  <cp:category/>
</cp:coreProperties>
</file>