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ЛИЦЕНЗИОННЫЙ ДОГОВОР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на использование Программного обеспечения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г. Москва</w:t>
        <w:tab/>
        <w:tab/>
        <w:tab/>
        <w:tab/>
        <w:tab/>
        <w:tab/>
        <w:tab/>
        <w:tab/>
        <w:t>«___» __________ 20__ г.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ind w:firstLine="360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Общество с ограниченной ответственностью «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М-Софт Медикал Имаджинг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»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в лице генерального директора Юдина Бориса Александровича, действующей на основании Устава, именуемое в дальнейшем «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Лицензиар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», с одной стороны, и 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___________________________________________________________________________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в лице _____________________________, действующего на основании __________________, именуемое в дальнейшем «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Лицензиат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», с другой стороны, совместно именуемые в дальнейшем «Стороны», заключили настоящий договор, в дальнейшем «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Договор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», о нижеследующем: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ИСПОЛЬЗУЕМЫЕ ТЕРМИНЫ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1.1. 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Дистрибутив программного обеспечения (дистрибутив ПО)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– набор (комплект) файлов и компонентов программно-аппаратной защиты, скомплектованных (собранных) согласно правил Правообладателя (производителя дистрибутива) и предназначенных для ЭВМ и других компьютерных устройств, необходимый Пользователю для начала использования соответствующего Программного обеспечения согласно условий Лицензионного договора (соглашения), выраженный на материальном носителе или переданный Сублицензиату по электронным каналам связи.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1.2. 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Лицензионный договор (соглашение)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– соглашение (договор), заключаемое Лицензиатом и Лицензиаром (правообладателем) на условиях присоединения или оферты, на использование ПО, которое сопровождает регистрацию и использование ПО Конечным пользователем и определяет условия использования ПО Конечным пользователем.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1.3. 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Конечный пользователь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– юридическое или физическое лицо, в установленном порядке приобретающее (получающее) у Лицензиата Права на использование ПО и осуществляющее его использование в соответствии с условиями настоящего Договора и Лицензионного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1.4. 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Программное обеспечение (ПО)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– объективные формы представления совокупности данных и команд, предназначенных для функционирования электронных вычислительных машин (ЭВМ) и других компьютерных устройств.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1.5. 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Лицензиар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(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Правообладатель)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– физическое/юридическое лицо, которому принадлежит исключительное право на ПО.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1.6. 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Неисключительное право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– право на использование Программного обеспечения на условиях простой (неисключительной) лицензии в соответствии с условиями настоящего Договора, а именно: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Wingdings" w:cs="Times New Roman" w:ascii="Times New Roman" w:hAnsi="Times New Roman"/>
          <w:color w:val="333333"/>
          <w:sz w:val="24"/>
          <w:szCs w:val="24"/>
        </w:rPr>
        <w:t>l</w:t>
      </w:r>
      <w:r>
        <w:rPr>
          <w:rFonts w:eastAsia="Wingdings" w:cs="Times New Roman" w:ascii="Times New Roman" w:hAnsi="Times New Roman"/>
          <w:color w:val="333333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право на воспроизведение ПО, ограниченное правом инсталляции и запуска ПО в соответствии с пользовательской документацией/Лицензионным договором, сопровождающей (им) установку и запуск ПО и устанавливающим правила использования ПО, предоставляемое на условиях простой (неисключительной) лицензии с единственной целью передачи этого права напрямую или через третьих лиц Конечным пользователям ПО на ТКД;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Wingdings" w:cs="Times New Roman" w:ascii="Times New Roman" w:hAnsi="Times New Roman"/>
          <w:color w:val="333333"/>
          <w:sz w:val="24"/>
          <w:szCs w:val="24"/>
        </w:rPr>
        <w:t>l</w:t>
      </w:r>
      <w:r>
        <w:rPr>
          <w:rFonts w:eastAsia="Wingdings" w:cs="Times New Roman" w:ascii="Times New Roman" w:hAnsi="Times New Roman"/>
          <w:color w:val="333333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право на распространение ПО в соответствии с полномочиями, указанными в настоящем Договоре.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1.7. 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Регистрационная информация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– компьютерный файл, регистрационный ключ на материальном носителе, серийный номер и т.д., содержащий уникальный набор символов, позволяющий осуществлять использование ПО без временных или функциональных ограничений в соответствии с условиями Лицензионного договора и являющийся конфиденциальной информацией Лицензиара, а также предоставляющий доступ к услугам технической поддержки ПО, оказываемым Лицензиаром.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1.8. 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Комплектующие материалы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– материалы, которые могут поставляться Лицензиаром Лицензиату, необходимые для использования Лицензиатом/Конечным пользователем Программного обеспечения (Документация, дистрибутивы Программного обеспечения и т.д.).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1.9. 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ТКД (территория коммерческой деятельности)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– означает территорию РФ, на которой Лицензиат получает право распространения ПО.</w:t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1.10. 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Техническая поддержка ПО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– право на получение услуг технической поддержки ПО, оказываемой Лицензиаром или третьим лицом, надлежаще уполномоченным Лицензиаром на оказание таких услуг.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ПРЕДМЕТ ДОГОВОРА</w:t>
      </w:r>
    </w:p>
    <w:p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2.1. По настоящему Договору Лицензиар обязуется предоставить (передать) Лицензиату: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Wingdings" w:cs="Times New Roman" w:ascii="Times New Roman" w:hAnsi="Times New Roman"/>
          <w:color w:val="333333"/>
          <w:sz w:val="24"/>
          <w:szCs w:val="24"/>
        </w:rPr>
        <w:t>l</w:t>
      </w:r>
      <w:r>
        <w:rPr>
          <w:rFonts w:eastAsia="Wingdings" w:cs="Times New Roman" w:ascii="Times New Roman" w:hAnsi="Times New Roman"/>
          <w:color w:val="333333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Неисключительные права на программное обеспечение «Картотека» (далее – ПО «Картотека»);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Wingdings" w:cs="Times New Roman" w:ascii="Times New Roman" w:hAnsi="Times New Roman"/>
          <w:color w:val="333333"/>
          <w:sz w:val="24"/>
          <w:szCs w:val="24"/>
        </w:rPr>
        <w:t>l</w:t>
      </w:r>
      <w:r>
        <w:rPr>
          <w:rFonts w:eastAsia="Wingdings" w:cs="Times New Roman" w:ascii="Times New Roman" w:hAnsi="Times New Roman"/>
          <w:color w:val="333333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Техническую поддержку;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Wingdings" w:cs="Times New Roman" w:ascii="Times New Roman" w:hAnsi="Times New Roman"/>
          <w:color w:val="333333"/>
          <w:sz w:val="24"/>
          <w:szCs w:val="24"/>
        </w:rPr>
        <w:t>l</w:t>
      </w:r>
      <w:r>
        <w:rPr>
          <w:rFonts w:eastAsia="Wingdings" w:cs="Times New Roman" w:ascii="Times New Roman" w:hAnsi="Times New Roman"/>
          <w:color w:val="333333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Комплектующие материалы.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2.2. Лицензиат обязуется принять и оплатить переданное ему в соответствии с п.2.1 настоящего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2.3. Неисключительные права, Техническая поддержка, а также Комплектующие материалы указываются в счетах, выставляемых Лицензиаром в соответствии с условиями настоящего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2.4. В соответствии с настоящим Договором Лицензиар предоставляет Лицензиату право передавать (предоставлять) Неисключительные права, Техническую поддержку и Комплектующие материалы, полученные согласно п.2.1 настоящего Договора Сублицензиату /Конечным пользователям только на ТКД.</w:t>
      </w:r>
    </w:p>
    <w:p>
      <w:pPr>
        <w:pStyle w:val="Normal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2.5. Основанием правомерности Лицензиара в части наличия у него прав, передаваемых по настоящему Договору, и права на их передачу Лицензиату является:</w:t>
      </w:r>
    </w:p>
    <w:p>
      <w:pPr>
        <w:pStyle w:val="Normal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- акт ввода ПО «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Картотека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» в эксплуатацию № 1 от 31.01.2023 г;</w:t>
      </w:r>
    </w:p>
    <w:p>
      <w:pPr>
        <w:pStyle w:val="Normal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2.6. Все права, передаваемые Лицензиаром Лицензиату по настоящему Договору, в отношении ПО «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Картотека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», ограничены условиями, описанными в настоящем Договоре.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2.7. Все обязательства, принимаемые Лицензиатом по настоящему Договору, в 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отношении ПО «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Картотека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»,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указаны в настоящем Договоре.</w:t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2.8. Лицензиат производит ознакомление с условиями лицензионного договора и подтверждает, что полностью ознакомлен и согласен со всеми условиями, ограничениями и обязательствами, которые он должен и/или имеет право исполнять.</w:t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СРОКИ И ПОРЯДОК ПРИЕМКИ И ПЕРЕДАЧИ</w:t>
      </w:r>
    </w:p>
    <w:p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3.1. Передача Неисключительных прав, Технической поддержки, а также комплектующих материалов в соответствии с настоящим Договором происходит на основании Акта приема передачи прав (Приложение № 1 к Договору), подписываемому обеими Сторонами, и считается совершенной с момента его подписания Лицензиатом и поступления всей суммы вознаграждения на расчетный счет Лицензиара, если иное не согласованно Сторонами. 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При этом использование ПО «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Картотека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» (передача прав на использование ПО «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Картотека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»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 Конечному пользователю) возможно только на основании действующих Лицензионных договоров (соглашений), подписанных (принятых в порядке присоединения) Конечным пользователем и договоров заключенных между Лицензиатом и Конечным пользователем.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3.2. Лицензиар передает Лицензиату (или указанному им Конечному пользователю) Регистрационную информацию посредством сети Интернет или иных каналов связи в полном объеме в течение 5 (Пяти) рабочих дней с момента поступления полной оплаты вознаграждения в соответствии с разделом 4. настоящего Договора, если иного не согласовано Сторонами.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3.3. Срок передачи Лицензиату Комплектующих материалов составляет до 5 (Пяти) рабочих дней или в иной срок по соглашению Сторон. Лицензиар передает Комплектующие материалы представителю Лицензиата в офисе Лицензиата или осуществляет их отправку за счет Лицензиата почтовой посылкой.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СТОИМОСТЬ И ПОРЯДОК РАСЧЕТОВ</w:t>
      </w:r>
    </w:p>
    <w:p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4.1. За предоставляемые по настоящему Договору Неисключительные права, Техническую поддержку и Комплектующие материалы Лицензиат обязуется уплатить Лицензиару вознаграждение в размере ______________________ рублей 00 копеек, 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НДС не облагается в соответствии с п.п 26 пункта 2 статьи 149 Налогового кодекса РФ (решение уполномоченного органа о внесении сведений о ПО «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Картотека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 xml:space="preserve">» в Единый реестр российских программ для ЭВМ и баз данных, рег. № 17400 от «21» апреля 2023 г.).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4.2. Вознаграждение, указанное в п.4.1 настоящего Договора, уплачивается в форме разового фиксированного платежа </w:t>
      </w:r>
      <w:r>
        <w:rPr>
          <w:rFonts w:cs="Times New Roman" w:ascii="Times New Roman" w:hAnsi="Times New Roman"/>
          <w:color w:val="000000" w:themeColor="text1"/>
          <w:sz w:val="24"/>
          <w:szCs w:val="24"/>
          <w:lang w:val="ru-RU"/>
        </w:rPr>
        <w:t xml:space="preserve">на основании счета, 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выставляемого Лицензиаром.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4.3 Уплата вознаграждения, указанного в п.4.1 настоящего Договора, осуществляется Лицензиатом путем предоплаты в размере 100% (Сто) процентов в течение 2 (Двух) рабочих дней с даты выставления Лицензиаром счета, если иное не согласованно Сторонами.</w:t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4.4. Все платежи осуществляются в рублях РФ путем перечисления денежных средств на расчетный счет Лицензиара. Днем исполнения платежа считается день зачисления денежных средств на расчетный счет Лицензиара.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ОСОБЫЕ УСЛОВИЯ</w:t>
      </w:r>
    </w:p>
    <w:p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5.1. Лицензиар подтверждает, что на момент предоставления (передачи) Лицензиату по настоящему Договору Неисключительного права, Технической поддержки и Комплектующих материалов, они не заложены, не арестованы, не является предметом исков третьих лиц.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5.2. Лицензиат самостоятельно осуществляет права, указанные в разделе 2. настоящего Договора. На основании настоящего Договора Лицензиат действует в качестве партнера по продаже (предоставлению, передаче) Неисключительных прав, Технической поддержки и Комплектующих материалов. Лицензиат от своего имени, за свой счет и на свой риск приобретает у Лицензиара Неисключительные права, Техническую поддержку и Комплектующие материалы, осуществляет их рекламу (маркетинг), хранение, распоряжение и продажу (предоставление, передачу) третьим лицам в рамках прав и ограничений, предусмотренных настоящим Договором. Лицензиат является уполномоченным партнером по продажам (предоставлению, передаче) прав, но не агентом Лицензиара по сбыту.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5.3. Лицензиат не уполномочен действовать от имени Лицензиара.</w:t>
      </w:r>
    </w:p>
    <w:p>
      <w:pPr>
        <w:pStyle w:val="Normal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5.4. Лицензиат гарантирует, что в момент передачи ему Неисключительных прав согласно п.3.1 настоящего Договора он ознакомлен и согласен с условиями лицензионного договора, на основании которого возможно 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использование ПО «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Картотека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».</w:t>
      </w:r>
    </w:p>
    <w:p>
      <w:pPr>
        <w:pStyle w:val="Normal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5.5. Лицензиат обязуется по требованию Лицензиара обеспечить подписание Конечным пользователем Лицензионного договора (соглашения) с использованием форм и/или с выполнением дополнительных требований, установленных для 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ПО «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Картотека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  <w:lang w:val="ru-RU"/>
        </w:rPr>
        <w:t>».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 xml:space="preserve">5.6. Лицензиат обязуется осуществлять предоставление Неисключительных прав, Технической поддержки и Комплектующих материалов Конечным пользователям по ценам не ниже цен Лицензиара, если иное не согласовано Сторонами.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5.7. В случае несогласованного Сторонами предоставления Неисключительных прав, Технической поддержки и Комплектующих материалов Конечным пользователям по ценам ниже цен, определенных Лицензиаром, Лицензиар оставляет за собой право отказать Лицензиату в предоставлении Неисключительных прав, Технической поддержки и Комплектующих материалов.</w:t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5.8. Стороны договорились, что п.5.6 является существенным условием настоящего Договора и его нарушение может являться основанием для расторжения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ОТВЕТСТВЕННОСТЬ СТОРОН</w:t>
      </w:r>
    </w:p>
    <w:p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6.1. За невыполнение или ненадлежащее выполнение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6.2. Сторона, причинившая ущерб, обязана в полном объеме компенсировать такой ущерб другой Стороне.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6.3. Лицензиар не несет ответственности за любые убытки, возникшие в результате использования ПО «Картотека» (включая, но не ограничиваясь перечисленным: утрату информации из-за сбоя в работе ПО «Картотека», снижение показателей производительности и др.).</w:t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6.4. Лицензиат гарантирует, что ему известны функциональные свойства ПО «Картотека». Лицензиат сам несет риск соответствия ПО «Картотека» его желаниям и потребностям, а также риск соответствия условий и объема предоставляемых прав своим желаниям и потребностям. Лицензиар не несет ответственность за какие-либо убытки или ущерб, не зависимо от причин их возникновения, (включая, но не ограничиваясь этим, особый, случайный или косвенный ущерб, убытки, связанные с недополученной прибылью, прерыванием коммерческой или производственной деятельности, утратой деловой информации, небрежностью, или какие-либо иные убытки), возникшие вследствие использования или невозможности использования ПО «Картотека».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КОНФИДЕНЦИАЛЬНОСТЬ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7.1. Регистрационная информация, передаваемая Лицензиаром Лицензиату, составляет конфиденциальную информацию и не должна копироваться Лицензиатом, а также предоставляться третьим лицам в течение действия настоящего Договора и после его окончания без ограничения срока. Исключение в данном случае составляет передача Регистрационной информации Лицензиатом Конечным пользователям, в данном случае Лицензиат должен отражать условия конфиденциальности, указанные в настоящем Договоре, в договорах с Конечными пользователями.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7.2. Стороны примут все меры по сохранению конфиденциальной информации, получаемой друг от друга по настоящему Договору в течение действия настоящего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7.3. Конфиденциальной признается также информация, передаваемая на материальном носителе и имеющая гриф «Конфиденциально» или «Коммерческая тайна».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7.4. В рамках настоящего Договора Лицензиар получает от Лицензиата право использовать сведения о персональных данных, полученных Лицензиаром (в устной и письменной форме, а также посредством электронной почты) и касающихся представителей Лицензиата, а также Конечных пользователей – его клиентов, для их обработки, использования, блокирования, уничтожения, обезличивания, трансграничной передачи (в том числе – для регистрации Лицензии, если это необходимо). Обязанность обеспечения конфиденциальности и безопасности персональных данных представителей Лицензиата при их обработке, в соответствии с частью 4 статьи 6 Федерального закона № 152-ФЗ от 27.07.06 «О персональных данных», возлагается на Лицензиара.</w:t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7.5. Лицензиат гарантирует, что имеет право на передачу указанных персональных данных Лицензиару.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ОБСТОЯТЕЛЬСТВА НЕПРЕОДОЛИМОЙ СИЛЫ</w:t>
      </w:r>
    </w:p>
    <w:p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8.1. Стороны Договора освобождаются от ответственности за частичное или полное неисполнение обязательств по Договору, если такое неисполнение явилось прямым следствием обстоятельств непреодолимой силы (форс-мажорных обстоятельств), возникших после заключения Договора (пожара, наводнения, урагана, землетрясения или наложения органами государственной власти ограничений на деятельность любой из Сторон и т.д.), и эти обстоятельства нарушившая Сторона не могла ни предвидеть, ни предотвратить.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8.2. Сторона, для которой создалась невозможность исполнения своих обязательств по Договору, обязана не позднее 10 (Десяти) рабочих дней с момента возникновения обстоятельств непреодолимой силы в письменной форме уведомить другую Сторону о возникновении и предполагаемом времени действия вышеуказанных обстоятельств. Факты, изложенные в уведомлении, должны быть подтверждены компетентным органом или организацией.</w:t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8.3. Если срок действия обстоятельств непреодолимой силы составит более 6 (Шести) месяцев, любая из Сторон вправе отказаться от исполнения всего Договора или его неисполнимой части. В этом случае Стороны производят взаиморасчеты по обязательствам, возникающим из настоящего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ПОРЯДОК РАЗРЕШЕНИЯ СПОРОВ</w:t>
      </w:r>
    </w:p>
    <w:p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9.1. В случае возникновения разногласий Стороны будут урегулировать их путем переговоров.</w:t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9.2. Не урегулированные Сторонами споры и разногласия, возникающие из настоящего Договора или в связи с ним, подлежат рассмотрению Арбитражным судом г. Москвы.</w:t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СРОК ДЕЙСТВИЯ И ПОРЯДОК РАСТОРЖЕНИЯ ДОГОВОРА</w:t>
      </w:r>
    </w:p>
    <w:p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10.1. Настоящий Договор действует в течение одного года с момента его подписания уполномоченными представителями Сторон, а в случае, если Договор подписан в разные даты, он вступает в силу с последней из них.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10.2. В случае если ни одна из Сторон в письменном виде не заявила о расторжении Договора за 10 (Десять) календарных дней до окончания срока его действия, Договор считается пролонгированным на следующий год.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10.3. Расторжение Договора оформляется соглашением о расторжении договора. Договор будет считаться расторгнутым в случае, если ни одна из Сторон не имеет претензий по реализации и расчетам по Договору.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10.4. Односторонний отказ от исполнения настоящего Договора (полностью или частично) допускаются в случае существенного нарушения Договора.</w:t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10.5. В случаях, не предусмотренных настоящим Договором, он может быть расторгнут только по соглашению Сторон или в иных случаях предусмотренных действующем законодательством.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ДОПОЛНИТЕЛЬНЫЕ УСЛОВИЯ</w:t>
      </w:r>
    </w:p>
    <w:p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11.1. С момента подписания Договора утрачивают силу все предыдущие соглашения и договоренности Сторон, касающиеся предмета данного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11.2. Договор совершен в письменной форме. Письменная форма считается выполненной при наличии подписей уполномоченных лиц и оттисков печатей Сторон, либо факсимильного воспроизведения подписей первых лиц при наличии оттисков печатей.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11.3. Настоящий Договор составлен в двух экземплярах, имеющих одинаковую юридическую силу и находящихся по одному у каждой Стороны.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11.4. Все Приложения, Дополнения и Соглашения к настоящему Договору являются неотъемлемой его частью и действительны при условии соблюдения письменной формы и оттисков печатей Сторон.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11.5. Стороны обязуется назначить ответственных лиц для связи по вопросам осуществления и ведения настоящего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11.6. Оповещение Сторон происходит письмом, отправленным по электронной почте на имя сотрудника Лицензиата, ответственного за работу по Договору.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11.7. Стороны обязуются письменно извещать друг друга о перемене адресов и реквизитов в пятидневный срок.</w:t>
      </w:r>
    </w:p>
    <w:p>
      <w:pPr>
        <w:pStyle w:val="Normal"/>
        <w:jc w:val="both"/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11.8. Если в силу технических особенностей определенного ПО какие-либо условия Договора выполнить невозможно, то эти условия и ответственность за невыполнение этих условий, если она предусмотрена, считаются недействующими в отношении такого ПО. Сторона, не выполнившая в данных обстоятельствах какие-либо условия Договора, направляет в течение 10 (Десяти) рабочих дней официальное уведомление об этом другой Стороне. Официальное уведомление совершается в письменной форме или по электронной почте на имя сотрудника другой Стороны, ответственного за работу по Договору.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ind w:left="360" w:hanging="0"/>
        <w:jc w:val="both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  <w:t>ЮРИДИЧЕСКИЕ АДРЕСА И БАНКОВСКИЕ РЕКВИЗИТЫ СТОРОН</w:t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color w:val="333333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/>
        </w:rPr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jc w:val="both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Лицензиар</w:t>
        <w:tab/>
        <w:tab/>
        <w:tab/>
        <w:tab/>
        <w:tab/>
        <w:tab/>
        <w:t>Лицензиат</w:t>
      </w:r>
    </w:p>
    <w:tbl>
      <w:tblPr>
        <w:tblW w:w="9035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VBand="1" w:noHBand="0" w:lastColumn="0" w:firstColumn="1" w:lastRow="0" w:firstRow="1"/>
      </w:tblPr>
      <w:tblGrid>
        <w:gridCol w:w="4519"/>
        <w:gridCol w:w="4515"/>
      </w:tblGrid>
      <w:tr>
        <w:trPr/>
        <w:tc>
          <w:tcPr>
            <w:tcW w:w="451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Общество с ограниченной ответственностью «М-Софт Медикал Имаджинг»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ИНН/КПП 7728632135 /771501001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Юридический адрес: 127018, г. Москва, ул. Складочная, д. 1, стр. 18, подъезд 12, этаж 2, офис 208/1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Фактический адрес: 127018, г. Москва, ул. Складочная, д. 1, стр. 18, подъезд 12, этаж 2, офис 208/1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Банковские реквизиты: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р/с 40702810202570005448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 xml:space="preserve">АО "АЛЬФА-БАНК" г. Москва 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к/с 30101810200000000593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БИК 044525593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____________________________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ИНН/КПП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Юридический адрес: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Фактический адрес: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Банковские реквизиты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р/с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в ____________________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к/с </w:t>
            </w: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____________________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БИК </w:t>
            </w: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________________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</w:rPr>
        <w:t>13. ПОДПИСИ СТОРОН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9035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VBand="1" w:noHBand="0" w:lastColumn="0" w:firstColumn="1" w:lastRow="0" w:firstRow="1"/>
      </w:tblPr>
      <w:tblGrid>
        <w:gridCol w:w="4518"/>
        <w:gridCol w:w="4516"/>
      </w:tblGrid>
      <w:tr>
        <w:trPr/>
        <w:tc>
          <w:tcPr>
            <w:tcW w:w="45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333333"/>
                <w:sz w:val="24"/>
                <w:szCs w:val="24"/>
              </w:rPr>
              <w:t>Лицензиа</w:t>
            </w:r>
            <w:r>
              <w:rPr>
                <w:rFonts w:cs="Times New Roman" w:ascii="Times New Roman" w:hAnsi="Times New Roman"/>
                <w:b/>
                <w:bCs/>
                <w:color w:val="333333"/>
                <w:sz w:val="24"/>
                <w:szCs w:val="24"/>
                <w:lang w:val="ru-RU"/>
              </w:rPr>
              <w:t>р</w:t>
            </w:r>
            <w:r>
              <w:rPr>
                <w:rFonts w:cs="Times New Roman"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_______________</w:t>
            </w:r>
          </w:p>
        </w:tc>
        <w:tc>
          <w:tcPr>
            <w:tcW w:w="45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333333"/>
                <w:sz w:val="24"/>
                <w:szCs w:val="24"/>
                <w:lang w:val="ru-RU"/>
              </w:rPr>
              <w:t>Л</w:t>
            </w:r>
            <w:r>
              <w:rPr>
                <w:rFonts w:cs="Times New Roman" w:ascii="Times New Roman" w:hAnsi="Times New Roman"/>
                <w:b/>
                <w:bCs/>
                <w:color w:val="333333"/>
                <w:sz w:val="24"/>
                <w:szCs w:val="24"/>
              </w:rPr>
              <w:t>ицензиат _______________</w:t>
            </w:r>
          </w:p>
        </w:tc>
      </w:tr>
      <w:tr>
        <w:trPr/>
        <w:tc>
          <w:tcPr>
            <w:tcW w:w="45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333333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333333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333333"/>
                <w:sz w:val="24"/>
                <w:szCs w:val="24"/>
                <w:lang w:val="ru-RU"/>
              </w:rPr>
              <w:t>М.П.</w:t>
            </w:r>
          </w:p>
        </w:tc>
        <w:tc>
          <w:tcPr>
            <w:tcW w:w="45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333333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333333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М.П.</w:t>
            </w:r>
          </w:p>
        </w:tc>
      </w:tr>
      <w:tr>
        <w:trPr/>
        <w:tc>
          <w:tcPr>
            <w:tcW w:w="45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333333"/>
                <w:sz w:val="24"/>
                <w:szCs w:val="24"/>
              </w:rPr>
            </w:r>
          </w:p>
        </w:tc>
        <w:tc>
          <w:tcPr>
            <w:tcW w:w="45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333333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Приложение № 1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к лицензионному договору 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на использование программного обеспечения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от «____» _______ 202___ г.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sz w:val="24"/>
          <w:szCs w:val="24"/>
          <w:lang w:val="ru-RU"/>
        </w:rPr>
        <w:t xml:space="preserve">АКТ ПРИЕМА-ПЕРЕДАЧИ 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sz w:val="24"/>
          <w:szCs w:val="24"/>
          <w:lang w:val="ru-RU"/>
        </w:rPr>
        <w:t>права на использование программного обеспечения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sz w:val="24"/>
          <w:szCs w:val="24"/>
          <w:lang w:val="ru-RU"/>
        </w:rPr>
      </w:r>
    </w:p>
    <w:p>
      <w:pPr>
        <w:pStyle w:val="Normal"/>
        <w:spacing w:before="120" w:after="0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>г. Москва</w:t>
        <w:tab/>
        <w:tab/>
        <w:tab/>
        <w:tab/>
        <w:tab/>
        <w:tab/>
        <w:tab/>
        <w:tab/>
        <w:t>«___» __________ 20__ г</w:t>
      </w:r>
    </w:p>
    <w:p>
      <w:pPr>
        <w:pStyle w:val="Normal1"/>
        <w:ind w:firstLine="709"/>
        <w:rPr>
          <w:szCs w:val="24"/>
        </w:rPr>
      </w:pPr>
      <w:r>
        <w:rPr>
          <w:b/>
          <w:szCs w:val="24"/>
        </w:rPr>
        <w:t>Общество с ограниченной ответственностью «М-Софт Медикал Имаджинг»,</w:t>
      </w:r>
      <w:r>
        <w:rPr>
          <w:szCs w:val="24"/>
        </w:rPr>
        <w:t xml:space="preserve"> именуемое в дальнейшем «</w:t>
      </w:r>
      <w:r>
        <w:rPr>
          <w:b/>
          <w:szCs w:val="24"/>
        </w:rPr>
        <w:t>Лицензиар</w:t>
      </w:r>
      <w:r>
        <w:rPr>
          <w:szCs w:val="24"/>
        </w:rPr>
        <w:t>», в лице Генерального директора Юдина Бориса Александровича, действующей на основании Устава, с одной стороны, и</w:t>
      </w:r>
    </w:p>
    <w:p>
      <w:pPr>
        <w:pStyle w:val="Normal1"/>
        <w:ind w:firstLine="709"/>
        <w:rPr>
          <w:szCs w:val="24"/>
        </w:rPr>
      </w:pPr>
      <w:r>
        <w:rPr>
          <w:b/>
          <w:szCs w:val="24"/>
        </w:rPr>
        <w:t>________________________________________________________</w:t>
      </w:r>
      <w:r>
        <w:rPr>
          <w:b/>
          <w:bCs/>
          <w:szCs w:val="24"/>
        </w:rPr>
        <w:t xml:space="preserve">, </w:t>
      </w:r>
      <w:bookmarkStart w:id="0" w:name="OLE_LINK14"/>
      <w:r>
        <w:rPr>
          <w:bCs/>
          <w:szCs w:val="24"/>
        </w:rPr>
        <w:t xml:space="preserve">именуемое в дальнейшем </w:t>
      </w:r>
      <w:r>
        <w:rPr>
          <w:b/>
          <w:bCs/>
          <w:szCs w:val="24"/>
        </w:rPr>
        <w:t>«</w:t>
      </w:r>
      <w:bookmarkEnd w:id="0"/>
      <w:r>
        <w:rPr>
          <w:b/>
          <w:bCs/>
          <w:szCs w:val="24"/>
        </w:rPr>
        <w:t>Лицензиат»</w:t>
      </w:r>
      <w:r>
        <w:rPr>
          <w:bCs/>
          <w:szCs w:val="24"/>
        </w:rPr>
        <w:t xml:space="preserve">, в лице </w:t>
      </w:r>
      <w:r>
        <w:rPr>
          <w:rFonts w:eastAsia="Calibri"/>
          <w:bCs/>
          <w:szCs w:val="24"/>
          <w:lang w:eastAsia="en-US"/>
        </w:rPr>
        <w:t>в лице _______________________________, действующего на основании _____________________</w:t>
      </w:r>
      <w:r>
        <w:rPr>
          <w:bCs/>
          <w:szCs w:val="24"/>
        </w:rPr>
        <w:t>,</w:t>
      </w:r>
      <w:r>
        <w:rPr>
          <w:szCs w:val="24"/>
        </w:rPr>
        <w:t xml:space="preserve"> с другой стороны, именуемые в дальнейшем совместно «Стороны», составили настоящий Акт (далее – Акт) о нижеследующем:</w:t>
      </w:r>
    </w:p>
    <w:p>
      <w:pPr>
        <w:pStyle w:val="Normal1"/>
        <w:rPr>
          <w:szCs w:val="24"/>
        </w:rPr>
      </w:pPr>
      <w:r>
        <w:rPr>
          <w:szCs w:val="24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Лицензиар предоставил Лицензиату на срок действия исключительного права: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- безвозмездную простую (неисключительную) лицензию на использование </w:t>
      </w:r>
      <w:r>
        <w:rPr>
          <w:rFonts w:cs="Times New Roman" w:ascii="Times New Roman" w:hAnsi="Times New Roman"/>
          <w:b/>
          <w:sz w:val="24"/>
          <w:szCs w:val="24"/>
          <w:lang w:val="ru-RU"/>
        </w:rPr>
        <w:t>__________________________________________________________________________</w:t>
      </w:r>
      <w:r>
        <w:rPr>
          <w:rFonts w:cs="Times New Roman" w:ascii="Times New Roman" w:hAnsi="Times New Roman"/>
          <w:sz w:val="24"/>
          <w:szCs w:val="24"/>
          <w:lang w:val="ru-RU"/>
        </w:rPr>
        <w:t>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ru-RU"/>
        </w:rPr>
        <w:t>- Техническую поддержку;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ru-RU"/>
        </w:rPr>
        <w:t>- Комплектующие материалы (документацию).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в целях </w:t>
      </w:r>
      <w:r>
        <w:rPr>
          <w:rFonts w:cs="Times New Roman" w:ascii="Times New Roman" w:hAnsi="Times New Roman"/>
          <w:color w:val="333333"/>
          <w:sz w:val="24"/>
          <w:szCs w:val="24"/>
          <w:lang w:val="ru-RU"/>
        </w:rPr>
        <w:t>осуществления предоставления Неисключительных прав, Технической поддержки и Комплектующих материалов Конечным пользователям</w:t>
      </w:r>
      <w:r>
        <w:rPr>
          <w:rFonts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Лицензиат принял: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-  права на использование ________________________________,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ru-RU"/>
        </w:rPr>
        <w:t>- Техническую поддержку;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ru-RU"/>
        </w:rPr>
        <w:t>- Комплектующие материалы (документацию).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Стороны не имеют претензий друг к другу.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Настоящий Акт составлен в двух экземплярах, имеющих одинаковую юридическую силу.</w:t>
      </w:r>
    </w:p>
    <w:p>
      <w:pPr>
        <w:pStyle w:val="Normal1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tbl>
      <w:tblPr>
        <w:tblW w:w="9035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VBand="1" w:noHBand="0" w:lastColumn="0" w:firstColumn="1" w:lastRow="0" w:firstRow="1"/>
      </w:tblPr>
      <w:tblGrid>
        <w:gridCol w:w="4518"/>
        <w:gridCol w:w="4516"/>
      </w:tblGrid>
      <w:tr>
        <w:trPr/>
        <w:tc>
          <w:tcPr>
            <w:tcW w:w="45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333333"/>
                <w:sz w:val="24"/>
                <w:szCs w:val="24"/>
              </w:rPr>
              <w:t>Лицензиа</w:t>
            </w:r>
            <w:r>
              <w:rPr>
                <w:rFonts w:cs="Times New Roman" w:ascii="Times New Roman" w:hAnsi="Times New Roman"/>
                <w:b/>
                <w:bCs/>
                <w:color w:val="333333"/>
                <w:sz w:val="24"/>
                <w:szCs w:val="24"/>
                <w:lang w:val="ru-RU"/>
              </w:rPr>
              <w:t>р</w:t>
            </w:r>
            <w:r>
              <w:rPr>
                <w:rFonts w:cs="Times New Roman"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______</w:t>
            </w:r>
            <w:r>
              <w:rPr>
                <w:rFonts w:cs="Times New Roman" w:ascii="Times New Roman" w:hAnsi="Times New Roman"/>
                <w:b/>
                <w:bCs/>
                <w:color w:val="333333"/>
                <w:sz w:val="24"/>
                <w:szCs w:val="24"/>
                <w:lang w:val="ru-RU"/>
              </w:rPr>
              <w:t>__</w:t>
            </w:r>
            <w:r>
              <w:rPr>
                <w:rFonts w:cs="Times New Roman" w:ascii="Times New Roman" w:hAnsi="Times New Roman"/>
                <w:b/>
                <w:bCs/>
                <w:color w:val="333333"/>
                <w:sz w:val="24"/>
                <w:szCs w:val="24"/>
              </w:rPr>
              <w:t>_________</w:t>
            </w:r>
          </w:p>
        </w:tc>
        <w:tc>
          <w:tcPr>
            <w:tcW w:w="45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333333"/>
                <w:sz w:val="24"/>
                <w:szCs w:val="24"/>
                <w:lang w:val="ru-RU"/>
              </w:rPr>
              <w:t>Л</w:t>
            </w:r>
            <w:r>
              <w:rPr>
                <w:rFonts w:cs="Times New Roman" w:ascii="Times New Roman" w:hAnsi="Times New Roman"/>
                <w:b/>
                <w:bCs/>
                <w:color w:val="333333"/>
                <w:sz w:val="24"/>
                <w:szCs w:val="24"/>
              </w:rPr>
              <w:t>ицензиат _______________</w:t>
            </w:r>
          </w:p>
        </w:tc>
      </w:tr>
      <w:tr>
        <w:trPr/>
        <w:tc>
          <w:tcPr>
            <w:tcW w:w="45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333333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333333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333333"/>
                <w:sz w:val="24"/>
                <w:szCs w:val="24"/>
                <w:lang w:val="ru-RU"/>
              </w:rPr>
              <w:t>М.П.</w:t>
            </w:r>
          </w:p>
        </w:tc>
        <w:tc>
          <w:tcPr>
            <w:tcW w:w="45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333333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333333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М.П.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">
    <w:name w:val="Footnote Characters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Style14" w:customStyle="1">
    <w:name w:val="Верхний колонтитул Знак"/>
    <w:basedOn w:val="DefaultParagraphFont"/>
    <w:link w:val="a4"/>
    <w:uiPriority w:val="99"/>
    <w:qFormat/>
    <w:rsid w:val="00223874"/>
    <w:rPr/>
  </w:style>
  <w:style w:type="character" w:styleId="Style15" w:customStyle="1">
    <w:name w:val="Нижний колонтитул Знак"/>
    <w:basedOn w:val="DefaultParagraphFont"/>
    <w:link w:val="a6"/>
    <w:uiPriority w:val="99"/>
    <w:qFormat/>
    <w:rsid w:val="00223874"/>
    <w:rPr/>
  </w:style>
  <w:style w:type="character" w:styleId="Style16" w:customStyle="1">
    <w:name w:val="Основной текст Знак"/>
    <w:basedOn w:val="DefaultParagraphFont"/>
    <w:link w:val="a9"/>
    <w:qFormat/>
    <w:rsid w:val="00d41f40"/>
    <w:rPr>
      <w:rFonts w:ascii="Times New Roman" w:hAnsi="Times New Roman" w:eastAsia="Times New Roman" w:cs="Times New Roman"/>
      <w:sz w:val="24"/>
      <w:lang w:val="ru-RU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link w:val="aa"/>
    <w:rsid w:val="00d41f40"/>
    <w:pPr>
      <w:spacing w:before="0" w:after="120"/>
    </w:pPr>
    <w:rPr>
      <w:rFonts w:ascii="Times New Roman" w:hAnsi="Times New Roman" w:eastAsia="Times New Roman" w:cs="Times New Roman"/>
      <w:sz w:val="24"/>
      <w:lang w:val="ru-RU"/>
    </w:rPr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a5"/>
    <w:uiPriority w:val="99"/>
    <w:unhideWhenUsed/>
    <w:rsid w:val="00223874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a7"/>
    <w:uiPriority w:val="99"/>
    <w:unhideWhenUsed/>
    <w:rsid w:val="00223874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34"/>
    <w:qFormat/>
    <w:rsid w:val="00223874"/>
    <w:pPr>
      <w:spacing w:before="0" w:after="0"/>
      <w:ind w:left="720" w:hanging="0"/>
      <w:contextualSpacing/>
    </w:pPr>
    <w:rPr/>
  </w:style>
  <w:style w:type="paragraph" w:styleId="Normal1" w:customStyle="1">
    <w:name w:val="Normal1"/>
    <w:qFormat/>
    <w:rsid w:val="00d41f40"/>
    <w:pPr>
      <w:widowControl/>
      <w:bidi w:val="0"/>
      <w:spacing w:before="12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LibreOffice/7.0.6.2$MacOSX_X86_64 LibreOffice_project/144abb84a525d8e30c9dbbefa69cbbf2d8d4ae3b</Application>
  <AppVersion>15.0000</AppVersion>
  <Pages>8</Pages>
  <Words>2319</Words>
  <Characters>17038</Characters>
  <CharactersWithSpaces>19269</CharactersWithSpaces>
  <Paragraphs>131</Paragraphs>
  <Company>ООО "Национальная юридическая служба"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2025-11-17T09:46:00Z</dcterms:created>
  <dc:creator>amulex.ru</dc:creator>
  <dc:description>Образец лицензионного договора на использование программного обеспечения, заключаемого между юридическими лицами</dc:description>
  <dc:language>en-US</dc:language>
  <cp:lastModifiedBy/>
  <dcterms:modified xsi:type="dcterms:W3CDTF">2025-11-19T22:56:40Z</dcterms:modified>
  <cp:revision>7</cp:revision>
  <dc:subject/>
  <dc:title>Образец лицензионного договора на использование программного обеспечения, заключаемого между юридическими лицами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