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shd w:fill="FFFFFF" w:val="clear"/>
          <w:lang w:eastAsia="ru-RU"/>
        </w:rPr>
        <w:t>Главный закон подлости</w:t>
      </w:r>
    </w:p>
    <w:p>
      <w:pPr>
        <w:pStyle w:val="Style37"/>
        <w:rPr/>
      </w:pPr>
      <w:r>
        <w:rPr/>
        <w:t xml:space="preserve">«Все делают общие выводы из одного примера. По крайней мере, я делаю именно так.» </w:t>
      </w:r>
    </w:p>
    <w:p>
      <w:pPr>
        <w:pStyle w:val="Style37"/>
        <w:rPr/>
      </w:pPr>
      <w:r>
        <w:rPr>
          <w:lang w:eastAsia="ru-RU"/>
        </w:rPr>
        <w:t>Стивен Браст</w:t>
      </w:r>
    </w:p>
    <w:p>
      <w:pPr>
        <w:pStyle w:val="Style37"/>
        <w:rPr/>
      </w:pPr>
      <w:r>
        <w:rPr/>
      </w:r>
    </w:p>
    <w:p>
      <w:pPr>
        <w:pStyle w:val="Style37"/>
        <w:rPr/>
      </w:pPr>
      <w:r>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pPr>
        <w:pStyle w:val="Style37"/>
        <w:rPr/>
      </w:pPr>
      <w:r>
        <w:rPr>
          <w:rStyle w:val="12"/>
        </w:rPr>
        <w:t>Марк Твен</w:t>
      </w:r>
    </w:p>
    <w:p>
      <w:pPr>
        <w:pStyle w:val="Style30"/>
        <w:rPr/>
      </w:pPr>
      <w:r>
        <w:rPr>
          <w:shd w:fill="FFFFFF" w:val="clear"/>
          <w:lang w:eastAsia="ru-RU"/>
        </w:rPr>
        <w:t xml:space="preserve">Речь в этой главе пойдёт о статистике, </w:t>
      </w:r>
      <w:r>
        <w:rPr>
          <w:shd w:fill="FFFFFF" w:val="clear"/>
          <w:lang w:eastAsia="ru-RU"/>
        </w:rPr>
        <w:t>о погоде и даже о философии.  Отличные темы для tabletalk в приличном обществе.</w:t>
      </w:r>
    </w:p>
    <w:p>
      <w:pPr>
        <w:pStyle w:val="Style26"/>
        <w:rPr/>
      </w:pPr>
      <w:r>
        <w:rPr>
          <w:shd w:fill="FFFFFF" w:val="clear"/>
          <w:lang w:eastAsia="ru-RU"/>
        </w:rPr>
        <w:t>Как часто летом мы планируем на свои выходные дни вы</w:t>
      </w:r>
      <w:bookmarkStart w:id="0" w:name="_GoBack"/>
      <w:bookmarkEnd w:id="0"/>
      <w:r>
        <w:rPr>
          <w:shd w:fill="FFFFFF" w:val="clear"/>
          <w:lang w:eastAsia="ru-RU"/>
        </w:rPr>
        <w:t>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преследует именно выходные дни, раз за разом попадая на субботу или воскресенье!</w:t>
      </w:r>
    </w:p>
    <w:p>
      <w:pPr>
        <w:pStyle w:val="Style26"/>
        <w:rPr/>
      </w:pPr>
      <w:r>
        <w:rPr>
          <w:shd w:fill="FFFFFF" w:val="clear"/>
          <w:lang w:eastAsia="ru-RU"/>
        </w:rPr>
        <w:t>Совсем недавно вышла статья австралийских исследователей: «</w:t>
      </w:r>
      <w:r>
        <w:rPr>
          <w:i/>
          <w:iCs/>
          <w:shd w:fill="FFFFFF" w:val="clear"/>
          <w:lang w:eastAsia="ru-RU"/>
        </w:rPr>
        <w:t>Недельные циклы  пиковой температуры и интенсивность городских тепловых островов»</w:t>
      </w:r>
      <w:r>
        <w:rPr>
          <w:rStyle w:val="Style22"/>
          <w:i/>
          <w:iCs/>
          <w:shd w:fill="FFFFFF" w:val="clear"/>
          <w:lang w:eastAsia="ru-RU"/>
        </w:rPr>
        <w:footnoteReference w:id="2"/>
      </w:r>
      <w:r>
        <w:rPr>
          <w:shd w:fill="FFFFFF" w:val="clear"/>
          <w:lang w:eastAsia="ru-RU"/>
        </w:rPr>
        <w:t>.</w:t>
      </w:r>
      <w:r>
        <w:rPr>
          <w:shd w:fill="FFFFFF" w:val="clear"/>
          <w:lang w:eastAsia="ru-RU"/>
        </w:rPr>
        <w:t xml:space="preserve"> Её подхватили новостные издания и перепечатали результаты с таким заголовком: «</w:t>
      </w:r>
      <w:r>
        <w:rPr>
          <w:i/>
          <w:iCs/>
          <w:shd w:fill="FFFFFF" w:val="clear"/>
          <w:lang w:eastAsia="ru-RU"/>
        </w:rPr>
        <w:t xml:space="preserve">Вам не кажется! </w:t>
      </w:r>
      <w:r>
        <w:rPr>
          <w:i/>
          <w:iCs/>
          <w:shd w:fill="FFFFFF" w:val="clear"/>
          <w:lang w:eastAsia="ru-RU"/>
        </w:rPr>
        <w:t>У</w:t>
      </w:r>
      <w:r>
        <w:rPr>
          <w:i/>
          <w:iCs/>
          <w:shd w:fill="FFFFFF" w:val="clear"/>
          <w:lang w:eastAsia="ru-RU"/>
        </w:rPr>
        <w:t>чёные доказали: погода на выходные, действительно хуже чем в будние дни</w:t>
      </w:r>
      <w:r>
        <w:rPr>
          <w:i/>
          <w:iCs/>
          <w:shd w:fill="FFFFFF" w:val="clear"/>
          <w:lang w:eastAsia="ru-RU"/>
        </w:rPr>
        <w:t>.</w:t>
      </w:r>
      <w:r>
        <w:rPr>
          <w:shd w:fill="FFFFFF" w:val="clear"/>
          <w:lang w:eastAsia="ru-RU"/>
        </w:rPr>
        <w:t xml:space="preserve">» В цитируемой работе приводится статистика температуры и осадков за много лет в нескольких городах Австралии, выявляющая понижение температуры по выходным на 0.3оС по сравнению с будними днями. После чего даётся объяснение, связывающее локальную погоду с уровнем загрязнённости воздуха возрастающим транспортным потком. </w:t>
      </w:r>
      <w:r>
        <w:rPr>
          <w:shd w:fill="FFFFFF" w:val="clear"/>
          <w:lang w:eastAsia="ru-RU"/>
        </w:rPr>
        <w:t>Оказывается, человческая деятельность способна менять не только глобальный климат, но и погоду в городе.</w:t>
      </w:r>
    </w:p>
    <w:p>
      <w:pPr>
        <w:pStyle w:val="Style26"/>
        <w:rPr/>
      </w:pPr>
      <w:r>
        <w:rPr>
          <w:shd w:fill="FFFFFF" w:val="clear"/>
          <w:lang w:eastAsia="ru-RU"/>
        </w:rPr>
        <w:t xml:space="preserve">Это весьма тонкий эффект, обычно, сетуя на непогоду в долгожданную субботу, нас интересует не </w:t>
      </w:r>
      <w:r>
        <w:rPr>
          <w:shd w:fill="FFFFFF" w:val="clear"/>
          <w:lang w:eastAsia="ru-RU"/>
        </w:rPr>
        <w:t>десятые доли градуса</w:t>
      </w:r>
      <w:r>
        <w:rPr>
          <w:shd w:fill="FFFFFF" w:val="clear"/>
          <w:lang w:eastAsia="ru-RU"/>
        </w:rPr>
        <w:t xml:space="preserve">, а будет ли день солнечным или дождливым. </w:t>
      </w:r>
      <w:r>
        <w:rPr>
          <w:shd w:fill="FFFFFF" w:val="clear"/>
          <w:lang w:eastAsia="ru-RU"/>
        </w:rPr>
        <w:t>Мы</w:t>
      </w:r>
      <w:r>
        <w:rPr>
          <w:shd w:fill="FFFFFF" w:val="clear"/>
          <w:lang w:eastAsia="ru-RU"/>
        </w:rPr>
        <w:t xml:space="preserve"> пров</w:t>
      </w:r>
      <w:r>
        <w:rPr>
          <w:shd w:fill="FFFFFF" w:val="clear"/>
          <w:lang w:eastAsia="ru-RU"/>
        </w:rPr>
        <w:t>едём</w:t>
      </w:r>
      <w:r>
        <w:rPr>
          <w:shd w:fill="FFFFFF" w:val="clear"/>
          <w:lang w:eastAsia="ru-RU"/>
        </w:rPr>
        <w:t xml:space="preserve"> собственное исследование на эту тему и </w:t>
      </w:r>
      <w:r>
        <w:rPr>
          <w:shd w:fill="FFFFFF" w:val="clear"/>
          <w:lang w:eastAsia="ru-RU"/>
        </w:rPr>
        <w:t>с</w:t>
      </w:r>
      <w:r>
        <w:rPr>
          <w:shd w:fill="FFFFFF" w:val="clear"/>
          <w:lang w:eastAsia="ru-RU"/>
        </w:rPr>
        <w:t>мо</w:t>
      </w:r>
      <w:r>
        <w:rPr>
          <w:shd w:fill="FFFFFF" w:val="clear"/>
          <w:lang w:eastAsia="ru-RU"/>
        </w:rPr>
        <w:t>жем</w:t>
      </w:r>
      <w:r>
        <w:rPr>
          <w:shd w:fill="FFFFFF" w:val="clear"/>
          <w:lang w:eastAsia="ru-RU"/>
        </w:rPr>
        <w:t xml:space="preserve"> уверенно утверждать, что, по крайней мере, на Камчатке, день недели и непогода никак не связаны, хотя бывали месяцы, в которые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страницы журналов, но нам с вами важно понять, на каком основании я, </w:t>
      </w:r>
      <w:r>
        <w:rPr>
          <w:shd w:fill="FFFFFF" w:val="clear"/>
          <w:lang w:eastAsia="ru-RU"/>
        </w:rPr>
        <w:t>вообще,</w:t>
      </w:r>
      <w:r>
        <w:rPr>
          <w:shd w:fill="FFFFFF" w:val="clear"/>
          <w:lang w:eastAsia="ru-RU"/>
        </w:rPr>
        <w:t xml:space="preserve"> могу что-то уверенно заявлять о случайных процессах. И в этом плане отрицательный результат ничуть не хуже положительного.</w:t>
      </w:r>
    </w:p>
    <w:p>
      <w:pPr>
        <w:pStyle w:val="Style26"/>
        <w:rPr/>
      </w:pPr>
      <w:r>
        <w:rPr>
          <w:shd w:fill="FFFFFF" w:val="clear"/>
          <w:lang w:eastAsia="ru-RU"/>
        </w:rPr>
        <w:t xml:space="preserve">Статистику обвиняют в массе грехов: и во лжи и в возможностях манипуляций и, наконец, в непонятности. Но мне очень хочется реабилитировать эту </w:t>
      </w:r>
      <w:r>
        <w:rPr>
          <w:shd w:fill="FFFFFF" w:val="clear"/>
          <w:lang w:eastAsia="ru-RU"/>
        </w:rPr>
        <w:t>область знаний</w:t>
      </w:r>
      <w:r>
        <w:rPr>
          <w:shd w:fill="FFFFFF" w:val="clear"/>
          <w:lang w:eastAsia="ru-RU"/>
        </w:rPr>
        <w:t xml:space="preserve">, показав насколько сложна задача, для которой она предназначена.  </w:t>
      </w:r>
      <w:r>
        <w:rPr>
          <w:shd w:fill="FFFFFF" w:val="clear"/>
          <w:lang w:eastAsia="ru-RU"/>
        </w:rPr>
        <w:t xml:space="preserve">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подчёркну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социолога – результаты 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немного больше,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Скороее всего, оно будет представленно в виде таблицы или гистограммы, дающей возможность оценить моменты распределения, быть может, глядя на гистограмму удастся угадать его точную форму. Но все эти результаты сами будут случайными величинами! Покуда мы не знаем распределения точно,  все результаты наблюдений дают нам лишь вероятностное описание случайного процесса! Случайное описание случайного процесса – ещё бы здесь не запутаться или даже не подмухлевать! </w:t>
      </w:r>
    </w:p>
    <w:p>
      <w:pPr>
        <w:pStyle w:val="Style26"/>
        <w:rPr/>
      </w:pPr>
      <w:r>
        <w:rPr>
          <w:shd w:fill="FFFFFF" w:val="clear"/>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вычислимую гарантию, того что в этих рамках наше знание точно. </w:t>
      </w:r>
      <w:r>
        <w:rPr>
          <w:i/>
          <w:iCs/>
          <w:shd w:fill="FFFFFF" w:val="clear"/>
          <w:lang w:eastAsia="ru-RU"/>
        </w:rPr>
        <w:t>Это язык, на котором можно рассуждать о неизвестных случайных величинах так, чтобы рассуждения имели смысл.</w:t>
      </w:r>
      <w:r>
        <w:rPr>
          <w:shd w:fill="FFFFFF" w:val="clear"/>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pPr>
        <w:pStyle w:val="Style26"/>
        <w:rPr>
          <w:highlight w:val="white"/>
          <w:lang w:eastAsia="ru-RU"/>
        </w:rPr>
      </w:pPr>
      <w:r>
        <w:rPr>
          <w:highlight w:val="white"/>
          <w:lang w:eastAsia="ru-RU"/>
        </w:rPr>
      </w:r>
    </w:p>
    <w:p>
      <w:pPr>
        <w:pStyle w:val="Style26"/>
        <w:rPr/>
      </w:pPr>
      <w:r>
        <w:rPr>
          <w:shd w:fill="FFFFFF" w:val="clear"/>
          <w:lang w:eastAsia="ru-RU"/>
        </w:rPr>
        <w:t>Теперь ещё раз взгляните на эпиграфы к этой главе и осознайте, что статистика, которую так пренебрежительно называют третьей степенью лжи – это единственное, чем располагает любой нематематик.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беспокоиться. Однако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26"/>
        <w:rPr>
          <w:highlight w:val="white"/>
          <w:lang w:eastAsia="ru-RU"/>
        </w:rPr>
      </w:pPr>
      <w:r>
        <w:rPr>
          <w:highlight w:val="white"/>
          <w:lang w:eastAsia="ru-RU"/>
        </w:rPr>
      </w:r>
    </w:p>
    <w:p>
      <w:pPr>
        <w:pStyle w:val="Style26"/>
        <w:rPr/>
      </w:pPr>
      <w:r>
        <w:rPr>
          <w:shd w:fill="FFFFFF" w:val="clear"/>
          <w:lang w:eastAsia="ru-RU"/>
        </w:rPr>
        <w:t xml:space="preserve">Наша книжка не учебник и мы не будем детально изучать и доказывать статистические методы, но мне хотелось бы показать ход рассуждений и форму результатов, характерных для  этой области знания. </w:t>
      </w:r>
    </w:p>
    <w:p>
      <w:pPr>
        <w:pStyle w:val="Style26"/>
        <w:rPr/>
      </w:pPr>
      <w:r>
        <w:rPr>
          <w:shd w:fill="FFFFFF" w:val="clear"/>
          <w:lang w:eastAsia="ru-RU"/>
        </w:rPr>
        <w:t xml:space="preserve">Основными столпами матстатистики являются </w:t>
      </w:r>
      <w:r>
        <w:rPr>
          <w:i/>
          <w:iCs/>
          <w:shd w:fill="FFFFFF" w:val="clear"/>
          <w:lang w:eastAsia="ru-RU"/>
        </w:rPr>
        <w:t xml:space="preserve">закон больших чисел </w:t>
      </w:r>
      <w:r>
        <w:rPr>
          <w:shd w:fill="FFFFFF" w:val="clear"/>
          <w:lang w:eastAsia="ru-RU"/>
        </w:rPr>
        <w:t xml:space="preserve">и </w:t>
      </w:r>
      <w:r>
        <w:rPr>
          <w:i/>
          <w:iCs/>
          <w:shd w:fill="FFFFFF" w:val="clear"/>
          <w:lang w:eastAsia="ru-RU"/>
        </w:rPr>
        <w:t>центральная предельная теорема</w:t>
      </w:r>
      <w:r>
        <w:rPr>
          <w:shd w:fill="FFFFFF" w:val="clear"/>
          <w:lang w:eastAsia="ru-RU"/>
        </w:rPr>
        <w:t>. Первый, в вольной трактовке,  говорит о том, что большое число наблюдений случайной величины отражает её распределение, так что наблюдаемые моменты: среднее, дисперсия и прочие характеристики, стремятся к точным значениям, соответствующим случайной величине. Иными словами, гистограмма наблюдаемых величин при бесконечном числе данных, стремится к истинному распределению.</w:t>
      </w:r>
    </w:p>
    <w:p>
      <w:pPr>
        <w:pStyle w:val="Style26"/>
        <w:rPr/>
      </w:pPr>
      <w:r>
        <w:rPr>
          <w:shd w:fill="FFFFFF" w:val="clear"/>
          <w:lang w:eastAsia="ru-RU"/>
        </w:rPr>
        <w:t>Второй столп, опять же, в вольной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мы увидим позже, что её проще понять введя понятие энтропии, как меры вероятности состояния системы. Нормальное распределение имеет наибольшую энтропию при наименьшем числе ограничений, и в этом смысле, оно оптимально при описании неизвестной случайной величины, либо случайной величины, являющейся совкупностью многих других величин, распределение которых нам может быть неизвестно.</w:t>
      </w:r>
    </w:p>
    <w:p>
      <w:pPr>
        <w:pStyle w:val="Style26"/>
        <w:rPr/>
      </w:pPr>
      <w:r>
        <w:rPr>
          <w:shd w:fill="FFFFFF" w:val="clear"/>
          <w:lang w:eastAsia="ru-RU"/>
        </w:rPr>
        <w:t xml:space="preserve">Эти два закона лежат в основе количественных оценок достоверности наших знаний, основанных на наблюдениях. В частности, в простейшем случае – для распределения Бернулли с параметром p, из них вытекает полезная в практике оценка достоверности предположения о значении параметра: </w:t>
      </w:r>
    </w:p>
    <w:p>
      <w:pPr>
        <w:pStyle w:val="Style26"/>
        <w:rPr/>
      </w:pPr>
      <w:r>
        <w:rPr>
          <w:shd w:fill="FFFFFF" w:val="clear"/>
          <w:lang w:eastAsia="ru-RU"/>
        </w:rPr>
        <w:t xml:space="preserve">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w:t>
      </w:r>
      <w:r>
        <w:rPr>
          <w:shd w:fill="FFFFFF" w:val="clear"/>
          <w:lang w:eastAsia="ru-RU"/>
        </w:rPr>
      </w:r>
      <m:oMath xmlns:m="http://schemas.openxmlformats.org/officeDocument/2006/math">
        <m:r>
          <w:rPr>
            <w:rFonts w:ascii="Cambria Math" w:hAnsi="Cambria Math"/>
          </w:rPr>
          <m:t xml:space="preserve">n</m:t>
        </m:r>
        <m:r>
          <w:rPr>
            <w:rFonts w:ascii="Cambria Math" w:hAnsi="Cambria Math"/>
          </w:rPr>
          <m:t xml:space="preserve">p</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n</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shd w:fill="FFFFFF" w:val="clear"/>
          <w:lang w:eastAsia="ru-RU"/>
        </w:rPr>
        <w:t>.</w:t>
      </w:r>
    </w:p>
    <w:p>
      <w:pPr>
        <w:pStyle w:val="Style26"/>
        <w:rPr/>
      </w:pPr>
      <w:r>
        <w:rPr>
          <w:shd w:fill="FFFFFF" w:val="clear"/>
          <w:lang w:eastAsia="ru-RU"/>
        </w:rPr>
        <w:t xml:space="preserve">Это соответствует «правилу </w:t>
      </w:r>
      <w:r>
        <w:rPr>
          <w:shd w:fill="FFFFFF" w:val="clear"/>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shd w:fill="FFFFFF" w:val="clear"/>
          <w:lang w:eastAsia="ru-RU"/>
        </w:rPr>
        <w:t xml:space="preserve">», которая даёт </w:t>
      </w:r>
      <w:r>
        <w:rPr>
          <w:shd w:fill="FFFFFF" w:val="clear"/>
          <w:lang w:eastAsia="ru-RU"/>
        </w:rPr>
      </w:r>
      <m:oMath xmlns:m="http://schemas.openxmlformats.org/officeDocument/2006/math">
        <m:r>
          <w:rPr>
            <w:rFonts w:ascii="Cambria Math" w:hAnsi="Cambria Math"/>
          </w:rPr>
          <m:t xml:space="preserve">95</m:t>
        </m:r>
        <m:r>
          <m:rPr>
            <m:lit/>
            <m:nor/>
          </m:rPr>
          <w:rPr>
            <w:rFonts w:ascii="Cambria Math" w:hAnsi="Cambria Math"/>
          </w:rPr>
          <m:t xml:space="preserve">%</m:t>
        </m:r>
      </m:oMath>
      <w:r>
        <w:rPr>
          <w:shd w:fill="FFFFFF" w:val="clear"/>
          <w:lang w:eastAsia="ru-RU"/>
        </w:rPr>
        <w:t xml:space="preserve"> вероятность того, что мы угадали параметр верно. Если заменить двойку перед корнем на тройку, то степень уверенности вырастет до </w:t>
      </w:r>
      <w:r>
        <w:rPr>
          <w:shd w:fill="FFFFFF" w:val="clear"/>
          <w:lang w:eastAsia="ru-RU"/>
        </w:rPr>
      </w:r>
      <m:oMath xmlns:m="http://schemas.openxmlformats.org/officeDocument/2006/math">
        <m:r>
          <w:rPr>
            <w:rFonts w:ascii="Cambria Math" w:hAnsi="Cambria Math"/>
          </w:rPr>
          <m:t xml:space="preserve">99.5</m:t>
        </m:r>
        <m:r>
          <m:rPr>
            <m:lit/>
            <m:nor/>
          </m:rPr>
          <w:rPr>
            <w:rFonts w:ascii="Cambria Math" w:hAnsi="Cambria Math"/>
          </w:rPr>
          <m:t xml:space="preserve">%</m:t>
        </m:r>
      </m:oMath>
      <w:r>
        <w:rPr>
          <w:shd w:fill="FFFFFF" w:val="clear"/>
          <w:lang w:eastAsia="ru-RU"/>
        </w:rPr>
        <w:t xml:space="preserve">.  </w:t>
      </w:r>
    </w:p>
    <w:p>
      <w:pPr>
        <w:pStyle w:val="Style26"/>
        <w:rPr/>
      </w:pPr>
      <w:r>
        <w:rPr>
          <w:shd w:fill="FFFFFF" w:val="clear"/>
          <w:lang w:eastAsia="ru-RU"/>
        </w:rPr>
        <w:t xml:space="preserve">Может возникнуть вопрос: в каком смыле мы «угадываем» параметр? Неужели учёные угадывают или не угадывают свои знания? Здесь речь идёт о статистическом подтверждении или опревержении предположения, которое можно сделать из каких-то общих оснований и математической модели. Такое предположение называется </w:t>
      </w:r>
      <w:r>
        <w:rPr>
          <w:rStyle w:val="Style17"/>
        </w:rPr>
        <w:t>гипотезой</w:t>
      </w:r>
      <w:r>
        <w:rPr>
          <w:shd w:fill="FFFFFF" w:val="clear"/>
          <w:lang w:eastAsia="ru-RU"/>
        </w:rPr>
        <w:t xml:space="preserve"> и  если число результатов, опровергающих эту гипотезу не выходит за пределы </w:t>
      </w:r>
      <w:r>
        <w:rPr>
          <w:shd w:fill="FFFFFF" w:val="clear"/>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shd w:fill="FFFFFF" w:val="clear"/>
          <w:lang w:eastAsia="ru-RU"/>
        </w:rPr>
        <w:t>, то мы вынуждены признать, что у нас нет оснований для её опровержения.</w:t>
      </w:r>
    </w:p>
    <w:p>
      <w:pPr>
        <w:pStyle w:val="Style26"/>
        <w:rPr/>
      </w:pPr>
      <w:r>
        <w:rPr>
          <w:shd w:fill="FFFFFF" w:val="clear"/>
          <w:lang w:eastAsia="ru-RU"/>
        </w:rPr>
        <w:t xml:space="preserve">Здесь можно подумать, что исследователи вынуждены совершать одну из классических логических ошибок, которая носит звучное латинское имя </w:t>
      </w:r>
      <w:r>
        <w:rPr>
          <w:rStyle w:val="Style19"/>
          <w:i/>
          <w:iCs/>
          <w:shd w:fill="FFFFFF" w:val="clear"/>
          <w:lang w:eastAsia="ru-RU"/>
        </w:rPr>
        <w:t>Ad ignorantiam</w:t>
      </w:r>
      <w:r>
        <w:rPr>
          <w:rStyle w:val="Style19"/>
          <w:b w:val="false"/>
          <w:shd w:fill="FFFFFF" w:val="clear"/>
          <w:lang w:eastAsia="ru-RU"/>
        </w:rPr>
        <w:t xml:space="preserve"> </w:t>
      </w:r>
      <w:r>
        <w:rPr>
          <w:rStyle w:val="Style19"/>
          <w:i/>
          <w:iCs/>
          <w:shd w:fill="FFFFFF" w:val="clear"/>
          <w:lang w:eastAsia="ru-RU"/>
        </w:rPr>
        <w:t>(«к невежеству»).</w:t>
      </w:r>
      <w:r>
        <w:rPr>
          <w:shd w:fill="FFFFFF" w:val="clear"/>
          <w:lang w:eastAsia="ru-RU"/>
        </w:rPr>
        <w:t xml:space="preserve">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w:t>
      </w:r>
      <w:r>
        <w:rPr>
          <w:rStyle w:val="Style20"/>
          <w:shd w:fill="FFFFFF" w:val="clear"/>
          <w:lang w:eastAsia="ru-RU"/>
        </w:rPr>
        <w:t>«У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w:t>
      </w:r>
      <w:r>
        <w:rPr>
          <w:shd w:fill="FFFFFF" w:val="clear"/>
          <w:lang w:eastAsia="ru-RU"/>
        </w:rPr>
        <w:t xml:space="preserve">. Или ещё ярче: </w:t>
      </w:r>
      <w:r>
        <w:rPr>
          <w:rStyle w:val="Style20"/>
          <w:shd w:fill="FFFFFF" w:val="clear"/>
          <w:lang w:eastAsia="ru-RU"/>
        </w:rPr>
        <w:t>«Снежный человек существует, поскольку никто не доказал обратного.»</w:t>
      </w:r>
      <w:r>
        <w:rPr>
          <w:shd w:fill="FFFFFF" w:val="clear"/>
          <w:lang w:eastAsia="ru-RU"/>
        </w:rPr>
        <w:t xml:space="preserve"> Выявление разницы между научной гипотезой и подобными уловками составляет предмет целой науки:  методологии научного познания. Одним из ярких результатов этой науки явояется критерий фальсифицируемости, выдвинутый замечательным философом Карлом Поппераом в двадцатые годы XX века. Этот критерий призван разделять научное знание от ненаучного,  и , на первый взгляд, он кажется парадоксальным. </w:t>
      </w:r>
    </w:p>
    <w:p>
      <w:pPr>
        <w:pStyle w:val="Style31"/>
        <w:rPr/>
      </w:pPr>
      <w:r>
        <w:rPr/>
        <w:t>Теория или гипотеза может считаться научной только если существует, пусть даже гипотетически, способ её опровергнуть.</w:t>
      </w:r>
    </w:p>
    <w:p>
      <w:pPr>
        <w:pStyle w:val="Style26"/>
        <w:ind w:hanging="0"/>
        <w:rPr/>
      </w:pPr>
      <w:r>
        <w:rPr>
          <w:shd w:fill="FFFFFF" w:val="clear"/>
          <w:lang w:eastAsia="ru-RU"/>
        </w:rPr>
        <w:t xml:space="preserve">Чем не закон подлости! Получается, что любая научная теория автоматически потенциально неверна. Более того, этому критерию не удовлетворяет такая наука, как математика! А если к этому добавить ещё один результат тридцатых годов принцип неполноты Гёделя, то может стать и вовсе непонятно зачем заниматься всей этой наукой. </w:t>
      </w:r>
    </w:p>
    <w:p>
      <w:pPr>
        <w:pStyle w:val="Style26"/>
        <w:ind w:hanging="0"/>
        <w:rPr>
          <w:highlight w:val="white"/>
          <w:lang w:eastAsia="ru-RU"/>
        </w:rPr>
      </w:pPr>
      <w:r>
        <w:rPr>
          <w:highlight w:val="white"/>
          <w:lang w:eastAsia="ru-RU"/>
        </w:rPr>
      </w:r>
    </w:p>
    <w:p>
      <w:pPr>
        <w:pStyle w:val="Style26"/>
        <w:ind w:hanging="0"/>
        <w:rPr/>
      </w:pPr>
      <w:r>
        <w:rPr>
          <w:shd w:fill="FFFFFF" w:val="clear"/>
          <w:lang w:eastAsia="ru-RU"/>
        </w:rPr>
        <w:t xml:space="preserve">Но это не мешает нам строить страшно, если </w:t>
      </w:r>
    </w:p>
    <w:p>
      <w:pPr>
        <w:pStyle w:val="Style26"/>
        <w:ind w:hanging="0"/>
        <w:rPr>
          <w:highlight w:val="white"/>
          <w:lang w:eastAsia="ru-RU"/>
        </w:rPr>
      </w:pPr>
      <w:r>
        <w:rPr>
          <w:highlight w:val="white"/>
          <w:lang w:eastAsia="ru-RU"/>
        </w:rPr>
      </w:r>
    </w:p>
    <w:p>
      <w:pPr>
        <w:pStyle w:val="Style26"/>
        <w:rPr>
          <w:highlight w:val="white"/>
          <w:lang w:eastAsia="ru-RU"/>
        </w:rPr>
      </w:pPr>
      <w:r>
        <w:rPr>
          <w:highlight w:val="white"/>
          <w:lang w:eastAsia="ru-RU"/>
        </w:rPr>
      </w:r>
    </w:p>
    <w:p>
      <w:pPr>
        <w:pStyle w:val="Style26"/>
        <w:rPr/>
      </w:pPr>
      <w:r>
        <w:rPr>
          <w:shd w:fill="FFFFFF" w:val="clear"/>
          <w:lang w:eastAsia="ru-RU"/>
        </w:rPr>
        <w:t xml:space="preserve">В главе про монетку мы упомянули результат группы Перси Диакониса, говорящий о принипиальной,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w:t>
      </w:r>
      <w:r>
        <w:rPr>
          <w:shd w:fill="FFFFFF" w:val="clear"/>
          <w:lang w:eastAsia="ru-RU"/>
        </w:rPr>
      </w:r>
      <m:oMath xmlns:m="http://schemas.openxmlformats.org/officeDocument/2006/math">
        <m:r>
          <w:rPr>
            <w:rFonts w:ascii="Cambria Math" w:hAnsi="Cambria Math"/>
          </w:rPr>
          <m:t xml:space="preserve">51</m:t>
        </m:r>
        <m:r>
          <m:rPr>
            <m:lit/>
            <m:nor/>
          </m:rPr>
          <w:rPr>
            <w:rFonts w:ascii="Cambria Math" w:hAnsi="Cambria Math"/>
          </w:rPr>
          <m:t xml:space="preserve">%</m:t>
        </m:r>
      </m:oMath>
      <w:r>
        <w:rPr>
          <w:shd w:fill="FFFFFF" w:val="clear"/>
          <w:lang w:eastAsia="ru-RU"/>
        </w:rPr>
        <w:t xml:space="preserve">. Имеет ли смысл такое отклонение? Можно ли его заметить в экспериментах? </w:t>
      </w:r>
    </w:p>
    <w:p>
      <w:pPr>
        <w:pStyle w:val="Style26"/>
        <w:rPr>
          <w:highlight w:val="white"/>
          <w:lang w:eastAsia="ru-RU"/>
        </w:rPr>
      </w:pPr>
      <w:r>
        <w:rPr>
          <w:highlight w:val="white"/>
          <w:lang w:eastAsia="ru-RU"/>
        </w:rPr>
      </w:r>
    </w:p>
    <w:p>
      <w:pPr>
        <w:pStyle w:val="Style26"/>
        <w:rPr>
          <w:highlight w:val="white"/>
          <w:lang w:eastAsia="ru-RU"/>
        </w:rPr>
      </w:pPr>
      <w:r>
        <w:rPr>
          <w:highlight w:val="white"/>
          <w:lang w:eastAsia="ru-RU"/>
        </w:rPr>
      </w:r>
    </w:p>
    <w:p>
      <w:pPr>
        <w:pStyle w:val="Style26"/>
        <w:rPr/>
      </w:pPr>
      <w:r>
        <w:rPr>
          <w:shd w:fill="FFFFFF" w:val="clear"/>
          <w:lang w:eastAsia="ru-RU"/>
        </w:rPr>
        <w:t>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shd w:fill="FFFFFF" w:val="clear"/>
          <w:lang w:eastAsia="ru-RU"/>
        </w:rPr>
      </w:r>
      <m:oMath xmlns:m="http://schemas.openxmlformats.org/officeDocument/2006/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fPr>
            <m:type m:val="lin"/>
          </m:fPr>
          <m:num>
            <m:r>
              <w:rPr>
                <w:rFonts w:ascii="Cambria Math" w:hAnsi="Cambria Math"/>
              </w:rPr>
              <m:t xml:space="preserve">σ</m:t>
            </m:r>
          </m:num>
          <m:den>
            <m:r>
              <w:rPr>
                <w:rFonts w:ascii="Cambria Math" w:hAnsi="Cambria Math"/>
              </w:rPr>
              <m:t xml:space="preserve">n</m:t>
            </m:r>
          </m:den>
        </m:f>
      </m:oMath>
      <w:r>
        <w:rPr>
          <w:shd w:fill="FFFFFF" w:val="clear"/>
          <w:lang w:eastAsia="ru-RU"/>
        </w:rPr>
        <w:t>, здесь </w:t>
      </w:r>
      <w:r>
        <w:rPr>
          <w:shd w:fill="FFFFFF" w:val="clear"/>
          <w:lang w:eastAsia="ru-RU"/>
        </w:rPr>
      </w:r>
      <m:oMath xmlns:m="http://schemas.openxmlformats.org/officeDocument/2006/math">
        <m:r>
          <w:rPr>
            <w:rFonts w:ascii="Cambria Math" w:hAnsi="Cambria Math"/>
          </w:rPr>
          <m:t xml:space="preserve">σ</m:t>
        </m:r>
      </m:oMath>
      <w:r>
        <w:rPr>
          <w:shd w:fill="FFFFFF" w:val="clear"/>
          <w:lang w:eastAsia="ru-RU"/>
        </w:rPr>
        <w:t> — стандартное отклонение для исследуемого распределения. В нашем случае, для распределения Бернулли с вероятностью </w:t>
      </w:r>
      <w:r>
        <w:rPr>
          <w:shd w:fill="FFFFFF" w:val="clear"/>
          <w:lang w:eastAsia="ru-RU"/>
        </w:rPr>
      </w:r>
      <m:oMath xmlns:m="http://schemas.openxmlformats.org/officeDocument/2006/math">
        <m:r>
          <w:rPr>
            <w:rFonts w:ascii="Cambria Math" w:hAnsi="Cambria Math"/>
          </w:rPr>
          <m:t xml:space="preserve">0.51</m:t>
        </m:r>
      </m:oMath>
      <w:r>
        <w:rPr>
          <w:shd w:fill="FFFFFF" w:val="clear"/>
          <w:lang w:eastAsia="ru-RU"/>
        </w:rPr>
        <w:t>, которое равно </w:t>
      </w:r>
      <w:r>
        <w:rPr>
          <w:shd w:fill="FFFFFF" w:val="clear"/>
          <w:lang w:eastAsia="ru-RU"/>
        </w:rPr>
      </w:r>
      <m:oMath xmlns:m="http://schemas.openxmlformats.org/officeDocument/2006/math">
        <m:r>
          <w:rPr>
            <w:rFonts w:ascii="Cambria Math" w:hAnsi="Cambria Math"/>
          </w:rPr>
          <m:t xml:space="preserve">0.51</m:t>
        </m:r>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0.5</m:t>
        </m:r>
      </m:oMath>
      <w:r>
        <w:rPr>
          <w:shd w:fill="FFFFFF" w:val="clear"/>
          <w:lang w:eastAsia="ru-RU"/>
        </w:rPr>
        <w:t>. Чтобы уверенно выделить отклонение среднего в одну сотую, это отклонение должно превышать 2 стандартных отклонения. Таким образом, мы можем оценить число испытаний:</w:t>
      </w:r>
    </w:p>
    <w:p>
      <w:pPr>
        <w:pStyle w:val="Normal"/>
        <w:spacing w:lineRule="auto" w:line="240"/>
        <w:jc w:val="center"/>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2</m:t>
                    </m:r>
                    <m:r>
                      <w:rPr>
                        <w:rFonts w:ascii="Cambria Math" w:hAnsi="Cambria Math"/>
                      </w:rPr>
                      <m:t xml:space="preserve">σ</m:t>
                    </m:r>
                  </m:num>
                  <m:den>
                    <m:sSub>
                      <m:e>
                        <m:r>
                          <w:rPr>
                            <w:rFonts w:ascii="Cambria Math" w:hAnsi="Cambria Math"/>
                          </w:rPr>
                          <m:t xml:space="preserve">σ</m:t>
                        </m:r>
                      </m:e>
                      <m:sub>
                        <m:r>
                          <w:rPr>
                            <w:rFonts w:ascii="Cambria Math" w:hAnsi="Cambria Math"/>
                          </w:rPr>
                          <m:t xml:space="preserve">μ</m:t>
                        </m:r>
                      </m:sub>
                    </m:sSub>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2</m:t>
                    </m:r>
                    <m:r>
                      <w:rPr>
                        <w:rFonts w:ascii="Cambria Math" w:hAnsi="Cambria Math"/>
                      </w:rPr>
                      <m:t xml:space="preserve">×</m:t>
                    </m:r>
                    <m:r>
                      <w:rPr>
                        <w:rFonts w:ascii="Cambria Math" w:hAnsi="Cambria Math"/>
                      </w:rPr>
                      <m:t xml:space="preserve">0.5</m:t>
                    </m:r>
                  </m:num>
                  <m:den>
                    <m:r>
                      <w:rPr>
                        <w:rFonts w:ascii="Cambria Math" w:hAnsi="Cambria Math"/>
                      </w:rPr>
                      <m:t xml:space="preserve">0.005</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40000.</m:t>
        </m:r>
      </m:oMath>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jc w:val="center"/>
        <w:rPr/>
      </w:pPr>
      <w:r>
        <w:rPr>
          <w:rStyle w:val="Style19"/>
          <w:rFonts w:eastAsia="Times New Roman" w:cs="Times New Roman"/>
          <w:color w:val="000000"/>
          <w:sz w:val="28"/>
          <w:szCs w:val="24"/>
          <w:lang w:eastAsia="ru-RU"/>
        </w:rPr>
        <w:t>Постулат Персига</w:t>
      </w:r>
      <w:r>
        <w:rPr>
          <w:rFonts w:eastAsia="Times New Roman" w:cs="Times New Roman"/>
          <w:szCs w:val="24"/>
          <w:lang w:eastAsia="ru-RU"/>
        </w:rPr>
        <w:br/>
      </w:r>
      <w:r>
        <w:rPr>
          <w:rFonts w:eastAsia="Times New Roman" w:cs="Times New Roman"/>
          <w:color w:val="000000"/>
          <w:sz w:val="28"/>
          <w:szCs w:val="24"/>
          <w:lang w:eastAsia="ru-RU"/>
        </w:rPr>
        <w:t>Число разумных гипотез, объясняющих любое данное явление, бесконечно.</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Style26"/>
        <w:rPr/>
      </w:pPr>
      <w:r>
        <w:rP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эти совпадения неслучайны. Каждый дождливый день можно рассматривать как наблюдение случайной величины – дня недели, подчиняющегося распределению Бернулли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7</m:t>
            </m:r>
          </m:den>
        </m:f>
      </m:oMath>
      <w:r>
        <w:rPr/>
        <w:t xml:space="preserve">. Примем в качестве гипотезы предположение, что все дни недели одинаковы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7</m:t>
            </m:r>
          </m:den>
        </m:f>
      </m:oMath>
      <w:r>
        <w:rPr/>
        <w:t xml:space="preserve">,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w:r>
        <w:rPr/>
      </w:r>
      <m:oMath xmlns:m="http://schemas.openxmlformats.org/officeDocument/2006/math">
        <m:f>
          <m:fPr>
            <m:type m:val="lin"/>
          </m:fPr>
          <m:num>
            <m:r>
              <w:rPr>
                <w:rFonts w:ascii="Cambria Math" w:hAnsi="Cambria Math"/>
              </w:rPr>
              <m:t xml:space="preserve">90</m:t>
            </m:r>
          </m:num>
          <m:den>
            <m:r>
              <w:rPr>
                <w:rFonts w:ascii="Cambria Math" w:hAnsi="Cambria Math"/>
              </w:rPr>
              <m:t xml:space="preserve">365</m:t>
            </m:r>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oMath>
      <w:r>
        <w:rPr/>
        <w:t xml:space="preserve">. Давайте посчитаем какое количество дождливых выходных мы должны зарегистировать, для того, чтобы быть уверенным в том, что существует некоторая закономерность. Напомню, что для распределения Бернулли число значимых отклонений от ожидаемой </w:t>
      </w:r>
      <w:r>
        <w:rPr/>
      </w:r>
      <m:oMath xmlns:m="http://schemas.openxmlformats.org/officeDocument/2006/math">
        <m:r>
          <w:rPr>
            <w:rFonts w:ascii="Cambria Math" w:hAnsi="Cambria Math"/>
          </w:rPr>
          <m:t xml:space="preserve">np</m:t>
        </m:r>
      </m:oMath>
      <w:r>
        <w:rPr/>
        <w:t xml:space="preserve"> оценивается как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t>. Вот что у нас получается:</w:t>
      </w:r>
    </w:p>
    <w:p>
      <w:pPr>
        <w:pStyle w:val="Style26"/>
        <w:rPr/>
      </w:pPr>
      <w:r>
        <w:rPr/>
      </w:r>
    </w:p>
    <w:tbl>
      <w:tblPr>
        <w:tblW w:w="935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433"/>
        <w:gridCol w:w="1534"/>
        <w:gridCol w:w="1983"/>
        <w:gridCol w:w="1533"/>
        <w:gridCol w:w="2872"/>
      </w:tblGrid>
      <w:tr>
        <w:trPr/>
        <w:tc>
          <w:tcPr>
            <w:tcW w:w="14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Период наблюдений</w:t>
            </w:r>
          </w:p>
        </w:tc>
        <w:tc>
          <w:tcPr>
            <w:tcW w:w="153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Ожидаемое число наблюдений</w:t>
            </w:r>
          </w:p>
        </w:tc>
        <w:tc>
          <w:tcPr>
            <w:tcW w:w="198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Ожидаемое число положительных исходов</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Значимое отклонение</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Style35"/>
              <w:ind w:hanging="0"/>
              <w:jc w:val="center"/>
              <w:rPr/>
            </w:pPr>
            <w:r>
              <w:rPr/>
              <w:t>Значимая доля непогожих в общем числе выходных дней</w:t>
            </w:r>
          </w:p>
        </w:tc>
      </w:tr>
      <w:tr>
        <w:trPr/>
        <w:tc>
          <w:tcPr>
            <w:tcW w:w="14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лето</w:t>
            </w:r>
          </w:p>
        </w:tc>
        <w:tc>
          <w:tcPr>
            <w:tcW w:w="153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23</w:t>
            </w:r>
          </w:p>
        </w:tc>
        <w:tc>
          <w:tcPr>
            <w:tcW w:w="198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6</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4</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Style35"/>
              <w:ind w:hanging="0"/>
              <w:jc w:val="center"/>
              <w:rPr/>
            </w:pPr>
            <w:r>
              <w:rPr/>
              <w:t>42%</w:t>
            </w:r>
          </w:p>
        </w:tc>
      </w:tr>
      <w:tr>
        <w:trPr/>
        <w:tc>
          <w:tcPr>
            <w:tcW w:w="14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год</w:t>
            </w:r>
          </w:p>
        </w:tc>
        <w:tc>
          <w:tcPr>
            <w:tcW w:w="153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90</w:t>
            </w:r>
          </w:p>
        </w:tc>
        <w:tc>
          <w:tcPr>
            <w:tcW w:w="198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26</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Style35"/>
              <w:ind w:hanging="0"/>
              <w:jc w:val="center"/>
              <w:rPr/>
            </w:pPr>
            <w:r>
              <w:rPr/>
              <w:t>33%</w:t>
            </w:r>
          </w:p>
        </w:tc>
      </w:tr>
      <w:tr>
        <w:trPr/>
        <w:tc>
          <w:tcPr>
            <w:tcW w:w="14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5 лет</w:t>
            </w:r>
          </w:p>
        </w:tc>
        <w:tc>
          <w:tcPr>
            <w:tcW w:w="153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456</w:t>
            </w:r>
          </w:p>
        </w:tc>
        <w:tc>
          <w:tcPr>
            <w:tcW w:w="198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130</w:t>
            </w:r>
          </w:p>
        </w:tc>
        <w:tc>
          <w:tcPr>
            <w:tcW w:w="153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Style35"/>
              <w:ind w:hanging="0"/>
              <w:jc w:val="center"/>
              <w:rPr/>
            </w:pPr>
            <w:r>
              <w:rPr/>
              <w:t>19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Style35"/>
              <w:ind w:hanging="0"/>
              <w:jc w:val="center"/>
              <w:rPr/>
            </w:pPr>
            <w:r>
              <w:rPr/>
              <w:t>29%</w:t>
            </w:r>
          </w:p>
        </w:tc>
      </w:tr>
    </w:tbl>
    <w:p>
      <w:pPr>
        <w:pStyle w:val="Style26"/>
        <w:rPr/>
      </w:pPr>
      <w:r>
        <w:rPr/>
      </w:r>
    </w:p>
    <w:p>
      <w:pPr>
        <w:pStyle w:val="Style26"/>
        <w:rPr/>
      </w:pPr>
      <w:r>
        <w:rPr/>
        <w:t xml:space="preserve">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двух пятых всех выходных окажутся дождливыми. Нулевая же гипотеза предполагает, что тоько четверть выходных должна совпасть с ненастной погодой. За пять лет наблюдений уже можно надеяться подметить тонкие отклонения выхадящие за пределы </w:t>
      </w:r>
      <w:r>
        <w:rPr/>
      </w:r>
      <m:oMath xmlns:m="http://schemas.openxmlformats.org/officeDocument/2006/math">
        <m:r>
          <w:rPr>
            <w:rFonts w:ascii="Cambria Math" w:hAnsi="Cambria Math"/>
          </w:rPr>
          <m:t xml:space="preserve">5</m:t>
        </m:r>
        <m:r>
          <m:rPr>
            <m:lit/>
            <m:nor/>
          </m:rPr>
          <w:rPr>
            <w:rFonts w:ascii="Cambria Math" w:hAnsi="Cambria Math"/>
          </w:rPr>
          <m:t xml:space="preserve">%</m:t>
        </m:r>
      </m:oMath>
      <w:r>
        <w:rPr/>
        <w:t xml:space="preserve"> и приступать к их объяснению.</w:t>
      </w:r>
    </w:p>
    <w:p>
      <w:pPr>
        <w:pStyle w:val="Style26"/>
        <w:rPr/>
      </w:pPr>
      <w:r>
        <w:rPr/>
        <w:t xml:space="preserve">Я воспользовался дневником погоды, который велся с 2014 по 2018 год и выяснил, что за пять лет  случилось 459 ненастных дней из них </w:t>
      </w:r>
      <w:r>
        <w:rPr/>
      </w:r>
      <m:oMath xmlns:m="http://schemas.openxmlformats.org/officeDocument/2006/math">
        <m:r>
          <w:rPr>
            <w:rFonts w:ascii="Cambria Math" w:hAnsi="Cambria Math"/>
          </w:rPr>
          <m:t xml:space="preserve">137</m:t>
        </m:r>
      </m:oMath>
      <w:r>
        <w:rPr/>
        <w:t xml:space="preserve"> пришлись на выходные, это, действительно, больше ожидаемого числа, но всего на </w:t>
      </w:r>
      <w:r>
        <w:rPr/>
      </w:r>
      <m:oMath xmlns:m="http://schemas.openxmlformats.org/officeDocument/2006/math">
        <m:r>
          <w:rPr>
            <w:rFonts w:ascii="Cambria Math" w:hAnsi="Cambria Math"/>
          </w:rPr>
          <m:t xml:space="preserve">7</m:t>
        </m:r>
      </m:oMath>
      <w:r>
        <w:rPr/>
        <w:t xml:space="preserve">, а значимые отклонения начинаются с </w:t>
      </w:r>
      <w:r>
        <w:rPr/>
      </w:r>
      <m:oMath xmlns:m="http://schemas.openxmlformats.org/officeDocument/2006/math">
        <m:r>
          <w:rPr>
            <w:rFonts w:ascii="Cambria Math" w:hAnsi="Cambria Math"/>
          </w:rPr>
          <m:t xml:space="preserve">19</m:t>
        </m:r>
      </m:oMath>
      <w:r>
        <w:rPr/>
        <w:t>, так что это, как мы говорили в детстве: «не считается». Вот как выглядит гистограмма, показывающая распределение непогоды по дням недели.</w:t>
      </w:r>
    </w:p>
    <w:p>
      <w:pPr>
        <w:pStyle w:val="Style26"/>
        <w:rPr/>
      </w:pPr>
      <w:r>
        <w:rPr/>
      </w:r>
    </w:p>
    <w:p>
      <w:pPr>
        <w:pStyle w:val="Style26"/>
        <w:rPr/>
      </w:pPr>
      <w:r>
        <w:rPr/>
        <w:t xml:space="preserve">Стоит ли после такого наблюдения искать причины совпадения или можно смело ссылаться на случайные флуктуации? Можно принять во внимание, что ненастные дни идут чередой и, может быть, мы неверно оценили вероятность попадания непогоды на выходные? Давайте проверим эту гипотезу. Если предположить, что дожди идут по два дня, то вероятность перекрыть выходные увеличивается до </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7</m:t>
            </m:r>
          </m:den>
        </m:f>
      </m:oMath>
      <w:r>
        <w:rPr/>
        <w:t xml:space="preserve">. При такой вероятности ожидаемое число совпадений для пяти лет должно составить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21</m:t>
        </m:r>
      </m:oMath>
      <w:r>
        <w:rPr/>
        <w:t xml:space="preserve">, то есть от </w:t>
      </w:r>
      <w:r>
        <w:rPr/>
      </w:r>
      <m:oMath xmlns:m="http://schemas.openxmlformats.org/officeDocument/2006/math">
        <m:r>
          <w:rPr>
            <w:rFonts w:ascii="Cambria Math" w:hAnsi="Cambria Math"/>
          </w:rPr>
          <m:t xml:space="preserve">174</m:t>
        </m:r>
      </m:oMath>
      <w:r>
        <w:rPr/>
        <w:t xml:space="preserve"> до </w:t>
      </w:r>
      <w:r>
        <w:rPr/>
      </w:r>
      <m:oMath xmlns:m="http://schemas.openxmlformats.org/officeDocument/2006/math">
        <m:r>
          <w:rPr>
            <w:rFonts w:ascii="Cambria Math" w:hAnsi="Cambria Math"/>
          </w:rPr>
          <m:t xml:space="preserve">216</m:t>
        </m:r>
      </m:oMath>
      <w:r>
        <w:rPr/>
        <w:t xml:space="preserve"> раз. Наблюдённая величина </w:t>
      </w:r>
      <w:r>
        <w:rPr/>
      </w:r>
      <m:oMath xmlns:m="http://schemas.openxmlformats.org/officeDocument/2006/math">
        <m:r>
          <w:rPr>
            <w:rFonts w:ascii="Cambria Math" w:hAnsi="Cambria Math"/>
          </w:rPr>
          <m:t xml:space="preserve">137</m:t>
        </m:r>
      </m:oMath>
      <w:r>
        <w:rPr/>
        <w:t xml:space="preserve"> не входит в этот диапазон и значит гипотезу об эффекте сдвоенных  дней непогоды можно смело отвергать. И вообще,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26"/>
        <w:rPr/>
      </w:pPr>
      <w:r>
        <w:rPr/>
        <w:t xml:space="preserve">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Задачу можно сформулировать по-разному: либо «Какова вероятность того, </w:t>
      </w:r>
      <w:r>
        <w:rPr>
          <w:rStyle w:val="Style18"/>
        </w:rPr>
        <w:t>что</w:t>
      </w:r>
      <w:r>
        <w:rPr/>
        <w:t xml:space="preserve"> n дождливых дней подряд придутся на выходные?», либо «Какова вероятность того, что n выходных подряд окажутся дождливыми?» Оба варианта обидные, и достойны рассмотрения.</w:t>
      </w:r>
    </w:p>
    <w:p>
      <w:pPr>
        <w:pStyle w:val="Normal"/>
        <w:spacing w:lineRule="auto" w:line="240"/>
        <w:rPr/>
      </w:pPr>
      <w:r>
        <w:rPr>
          <w:rStyle w:val="Style18"/>
        </w:rPr>
        <w:t xml:space="preserve">На первый вопрос можно отвечать таким образом: вероятность того, что дождливый день будет субботой или воскресеньем составляет 2/7. Для n таких дней, идущих подряд, мы должны получить вероятнгсть (2/7)^n. То есть для двух – 8%, для трёх – 2%, для четырёх – 0.5%. При этом мы неявно предполагаем, что между этими злосчастными выходными дождей не было. За пять лет наблюдений мы можем ожидать пять цепочек из двух и одну цепочку из трёх  идущих подряд ненастных дней, пришедшихся на выходные. В моём дневнике таких цепочек было, соответственно четыре и одна – нечастое явление. Вероятность получения цепочек заданной длины в бернуллевских экспериментах описывается геометрическим распределением.  </w:t>
      </w:r>
    </w:p>
    <w:p>
      <w:pPr>
        <w:pStyle w:val="Normal"/>
        <w:spacing w:lineRule="auto" w:line="240"/>
        <w:rPr/>
      </w:pPr>
      <w:r>
        <w:rPr>
          <w:rStyle w:val="Style18"/>
        </w:rPr>
        <w:t xml:space="preserve">Со вторым  вопросом дела обстоят так: разумно предположить, что непогожие дни образуют пуассоновский поток с интенсивностью ¼ дня. Мы прореживаем его с вероятностью 1-2/7, вычёркивая будние дни. Таким образом, получаем новый поток с интенсивностью 1/4*2/7 = 1/14 дня, то есть, ненастные выходные случаются с интенсивностью раз в две недели. Однако, мы можем «сжать» поток данных, исключив из рассмотрения будние дни, как показано на рисунке В таком случае, мы снова получаем поток с интенсивностью ¼.  Данные моего дневника подтверждают это, говоря, что поток ненастных выходных имеет интенсивность 137/(5*2*51) = 0,26. Интервалы между пуассоновскими событиями описываются экспоненциальным распределением, нас интересуют дискретные интервалы: 0,1,2,3 дня и т. д. Значит, мы вновь приходим к геометрическому распределению, но на сей раз, с сдругим параметром, равным 1/4. Два события, идущие подряд имеют интервал равный нулю, с вероятностью ¼ – 25%, для трёх событий мы ожидаем получить вероятнгсть (¼)^2 = 6%, для четырёх – (¼)^3 = 1.5% соответствующую двум нулевым интервалам следующим подряд.  Для ответа на вопрос с какой вероятностью может быть испорчено два выходных подряд, мы можем посчитать значения: </w:t>
      </w:r>
    </w:p>
    <w:p>
      <w:pPr>
        <w:pStyle w:val="Normal"/>
        <w:spacing w:lineRule="auto" w:line="240"/>
        <w:rPr/>
      </w:pPr>
      <w:r>
        <w:rPr>
          <w:rStyle w:val="Style18"/>
        </w:rPr>
        <w:t>Конечно, в наших рассуждениях мы увлекаемся упрощением. Пуассоновский процесс не имеет памяти, а погода на завтра, безусловно, зависит от сегодняшней погоды, но перерыв в неделю может часть этой памяти стереть. Так что экспериментальные данные говорят в пользую нашей простой модели и не требуют введения дополнительных усложнений.</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spacing w:lineRule="auto" w:line="240"/>
        <w:rPr/>
      </w:pPr>
      <w:r>
        <w:rPr>
          <w:rFonts w:eastAsia="Times New Roman" w:cs="Arial" w:ascii="Arial" w:hAnsi="Arial"/>
          <w:color w:val="222222"/>
          <w:szCs w:val="24"/>
          <w:shd w:fill="FFFFFF" w:val="clear"/>
          <w:lang w:eastAsia="ru-RU"/>
        </w:rPr>
        <w:t xml:space="preserve">Зададимся, наконец, таким вопросом: сколько лет нужно вести наблюдения, чтобы </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highlight w:val="white"/>
          <w:lang w:eastAsia="ru-RU"/>
        </w:rPr>
      </w:r>
    </w:p>
    <w:p>
      <w:pPr>
        <w:pStyle w:val="Normal"/>
        <w:rPr/>
      </w:pPr>
      <w:r>
        <w:rPr/>
        <w:t xml:space="preserve">Вообще-то, погоду нельзя описывать пуассоновским процессом – это динамическая система и состояние погоды не является независимым, оно прямо связано с предыдущими состояниями. Почему же наши наблюдения говорят в пользу простой стохастической модели? Дело в том, что мы отображаем закономерный процесс формирования осадков на множество дней недели, или, говоря на языке математики, на систему вычетов по модулю семь. Этот процесс способен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 </w:t>
      </w:r>
    </w:p>
    <w:p>
      <w:pPr>
        <w:pStyle w:val="Normal"/>
        <w:rPr/>
      </w:pPr>
      <w:r>
        <w:rPr/>
      </w:r>
    </w:p>
    <w:p>
      <w:pPr>
        <w:pStyle w:val="Normal"/>
        <w:rPr/>
      </w:pPr>
      <w:r>
        <w:rPr/>
        <w:t>Это тоже своеобразный закон подлости, который можно назвать проклятием Пифагора: Реальный мир нерационален.</w:t>
      </w:r>
    </w:p>
    <w:p>
      <w:pPr>
        <w:pStyle w:val="Normal"/>
        <w:rPr/>
      </w:pPr>
      <w:r>
        <w:rPr/>
      </w:r>
    </w:p>
    <w:p>
      <w:pPr>
        <w:pStyle w:val="Normal"/>
        <w:rPr/>
      </w:pPr>
      <w:r>
        <w:rPr/>
        <w:t xml:space="preserve">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мы наблюдаем скачки от регулярных представлений таких чисел, как 1/2, ¼, или 1/3 до периодических, но вполне беспорядочных, таких 1/17 или 1/113. Иррациональные числа не имеют конечной или периодической записи в десятичной форме и там в последовательности чисел чаще всего царит хаос. Но это не значит, что в этих числах нет порядка! Например, первое встретившееся математикам иррациональное число sqrt 2 в десятичной записи порождает хаотический набор цифр. Однако, с другой стороны, это число можно представить в виде бесконечной цепной дроби: </w:t>
      </w:r>
    </w:p>
    <w:p>
      <w:pPr>
        <w:pStyle w:val="Normal"/>
        <w:rPr/>
      </w:pPr>
      <w:r>
        <w:rPr/>
        <w:t xml:space="preserve">нетрудно показать, что эта цепочка, действительно равна корню из двух: </w:t>
      </w:r>
    </w:p>
    <w:p>
      <w:pPr>
        <w:pStyle w:val="Normal"/>
        <w:ind w:hanging="0"/>
        <w:rPr/>
      </w:pPr>
      <w:r>
        <w:rPr/>
        <w:t>Цепные дроби с повторяюшимися коэффициентами записывают подобно периодическим десятичным дробям:</w:t>
      </w:r>
    </w:p>
    <w:p>
      <w:pPr>
        <w:pStyle w:val="Normal"/>
        <w:ind w:hanging="0"/>
        <w:rPr/>
      </w:pPr>
      <w:r>
        <w:rPr/>
        <w:t>Знаменитое золотое сечение в этом смысле представляет собой самое просто устроенное иррациональное число:</w:t>
      </w:r>
    </w:p>
    <w:p>
      <w:pPr>
        <w:pStyle w:val="Normal"/>
        <w:rPr/>
      </w:pPr>
      <w:r>
        <w:rPr/>
        <w:t xml:space="preserve">Все рациональные числа представляются в виде конечных цепных дробей, часть иррациональных – в виде бесконечных, но периодических, их называют алгебраическими, те же, что не имеют конечной записи даже в такой форме – трансцендентными. Самое знаменитое из  трансцендентных – число pi, оно порождает хаос как в десятичной записи, так и в виде цепной дроби. </w:t>
      </w:r>
    </w:p>
    <w:p>
      <w:pPr>
        <w:pStyle w:val="Normal"/>
        <w:rPr/>
      </w:pPr>
      <w:r>
        <w:rPr/>
        <w:t>А вот число Эйлера, оставаясь трансцендентным, в форме цепной дроби проявляет внутреннюю структуру, скрытую в десятичной записи:</w:t>
      </w:r>
    </w:p>
    <w:p>
      <w:pPr>
        <w:pStyle w:val="Normal"/>
        <w:rPr/>
      </w:pPr>
      <w:r>
        <w:rPr/>
        <w:t>Наверное, не один математик подозревал мир в коварстве, обнаруживая, что такое нужное, такое фундаментальное число pi, сопровождающее циклические явления и формы, всплывающее всюду, где мы используем изотропность нашего мира (то есть, инвариантность относительно поворотов), появляющееся в нормировке гауссового распределения, в во многих других задачах,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pi.</w:t>
      </w:r>
    </w:p>
    <w:p>
      <w:pPr>
        <w:pStyle w:val="Normal"/>
        <w:rPr/>
      </w:pPr>
      <w:r>
        <w:rPr/>
      </w:r>
    </w:p>
    <w:p>
      <w:pPr>
        <w:pStyle w:val="Normal"/>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Style36"/>
        <w:rPr/>
      </w:pPr>
      <w:r>
        <w:rPr/>
        <w:footnoteRef/>
        <w:tab/>
        <w:t xml:space="preserve"> </w:t>
      </w:r>
      <w:r>
        <w:rPr/>
        <w:t xml:space="preserve">N. Earl, I. Simmonds and N. Tapper. </w:t>
      </w:r>
      <w:r>
        <w:rPr>
          <w:i/>
          <w:iCs/>
        </w:rPr>
        <w:t>Weekly cycles in peak time temperatures and urban heat island intensity</w:t>
      </w:r>
      <w:r>
        <w:rPr/>
        <w:t>. Environ. Res. Lett. 11 (2016) 074003</w:t>
      </w:r>
    </w:p>
  </w:footnote>
</w:footnotes>
</file>

<file path=word/settings.xml><?xml version="1.0" encoding="utf-8"?>
<w:settings xmlns:w="http://schemas.openxmlformats.org/wordprocessingml/2006/main">
  <w:zoom w:percent="74"/>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2186"/>
    <w:pPr>
      <w:widowControl/>
      <w:suppressAutoHyphens w:val="false"/>
      <w:bidi w:val="0"/>
      <w:spacing w:lineRule="auto" w:line="276"/>
      <w:ind w:firstLine="397"/>
      <w:jc w:val="both"/>
    </w:pPr>
    <w:rPr>
      <w:rFonts w:ascii="Times New Roman" w:hAnsi="Times New Roman" w:eastAsia="Calibri" w:cs=""/>
      <w:color w:val="00000A"/>
      <w:sz w:val="24"/>
      <w:szCs w:val="22"/>
      <w:lang w:val="ru-RU" w:eastAsia="en-US" w:bidi="ar-SA"/>
    </w:rPr>
  </w:style>
  <w:style w:type="paragraph" w:styleId="1">
    <w:name w:val="Heading 1"/>
    <w:basedOn w:val="Normal"/>
    <w:link w:val="10"/>
    <w:uiPriority w:val="9"/>
    <w:qFormat/>
    <w:rsid w:val="00aa1f08"/>
    <w:pPr>
      <w:keepNext/>
      <w:keepLines/>
      <w:spacing w:before="600" w:after="480"/>
      <w:ind w:hanging="0"/>
      <w:jc w:val="center"/>
      <w:outlineLvl w:val="0"/>
    </w:pPr>
    <w:rPr>
      <w:rFonts w:ascii="Cambria" w:hAnsi="Cambria" w:eastAsia="" w:cs="" w:asciiTheme="majorHAnsi" w:cstheme="majorBidi" w:eastAsiaTheme="majorEastAsia" w:hAnsiTheme="majorHAnsi"/>
      <w:b/>
      <w:bCs/>
      <w:color w:val="00000A"/>
      <w:sz w:val="40"/>
      <w:szCs w:val="28"/>
    </w:rPr>
  </w:style>
  <w:style w:type="paragraph" w:styleId="2">
    <w:name w:val="Heading 2"/>
    <w:basedOn w:val="Normal"/>
    <w:link w:val="20"/>
    <w:uiPriority w:val="9"/>
    <w:unhideWhenUsed/>
    <w:qFormat/>
    <w:rsid w:val="00bc23f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color w:val="00000A"/>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Endnotereference">
    <w:name w:val="endnote reference"/>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link w:val="af3"/>
    <w:uiPriority w:val="99"/>
    <w:qFormat/>
    <w:rsid w:val="00d51c41"/>
    <w:rPr>
      <w:rFonts w:ascii="Times New Roman" w:hAnsi="Times New Roman"/>
      <w:szCs w:val="20"/>
    </w:rPr>
  </w:style>
  <w:style w:type="character" w:styleId="Footnotereference">
    <w:name w:val="footnote reference"/>
    <w:basedOn w:val="DefaultParagraphFont"/>
    <w:uiPriority w:val="99"/>
    <w:semiHidden/>
    <w:unhideWhenUsed/>
    <w:qFormat/>
    <w:rsid w:val="00d51c41"/>
    <w:rPr>
      <w:vertAlign w:val="superscript"/>
    </w:rPr>
  </w:style>
  <w:style w:type="character" w:styleId="Style16">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7" w:customStyle="1">
    <w:name w:val="термин"/>
    <w:basedOn w:val="DefaultParagraphFont"/>
    <w:uiPriority w:val="1"/>
    <w:qFormat/>
    <w:rsid w:val="00263831"/>
    <w:rPr>
      <w:i/>
      <w:iCs/>
      <w:color w:val="215868" w:themeColor="accent5" w:themeShade="80"/>
      <w:shd w:fill="FFFFFF" w:val="clear"/>
      <w:lang w:eastAsia="ru-RU"/>
    </w:rPr>
  </w:style>
  <w:style w:type="character" w:styleId="Style18" w:customStyle="1">
    <w:name w:val="Основной текст Знак"/>
    <w:basedOn w:val="DefaultParagraphFont"/>
    <w:qFormat/>
    <w:rsid w:val="00482186"/>
    <w:rPr>
      <w:rFonts w:ascii="Times New Roman" w:hAnsi="Times New Roman"/>
      <w:sz w:val="24"/>
    </w:rPr>
  </w:style>
  <w:style w:type="character" w:styleId="Style19" w:customStyle="1">
    <w:name w:val="Выделение жирным"/>
    <w:qFormat/>
    <w:rsid w:val="00482186"/>
    <w:rPr>
      <w:b/>
      <w:bCs/>
    </w:rPr>
  </w:style>
  <w:style w:type="character" w:styleId="12" w:customStyle="1">
    <w:name w:val="Цитата1"/>
    <w:qFormat/>
    <w:rsid w:val="00482186"/>
    <w:rPr>
      <w:i/>
      <w:iCs/>
    </w:rPr>
  </w:style>
  <w:style w:type="character" w:styleId="Style20">
    <w:name w:val="Цитата"/>
    <w:qFormat/>
    <w:rPr>
      <w:i/>
      <w:iCs/>
    </w:rPr>
  </w:style>
  <w:style w:type="character" w:styleId="Style21">
    <w:name w:val="Символ сноски"/>
    <w:qFormat/>
    <w:rPr/>
  </w:style>
  <w:style w:type="character" w:styleId="Style22">
    <w:name w:val="Привязка сноски"/>
    <w:rPr>
      <w:vertAlign w:val="superscript"/>
    </w:rPr>
  </w:style>
  <w:style w:type="character" w:styleId="Style23">
    <w:name w:val="Привязка концевой сноски"/>
    <w:rPr>
      <w:vertAlign w:val="superscript"/>
    </w:rPr>
  </w:style>
  <w:style w:type="character" w:styleId="Style24">
    <w:name w:val="Символы концевой сноски"/>
    <w:qFormat/>
    <w:rPr/>
  </w:style>
  <w:style w:type="paragraph" w:styleId="Style25" w:customStyle="1">
    <w:name w:val="Заголовок"/>
    <w:basedOn w:val="Normal"/>
    <w:next w:val="Style26"/>
    <w:qFormat/>
    <w:pPr>
      <w:keepNext/>
      <w:spacing w:before="240" w:after="120"/>
    </w:pPr>
    <w:rPr>
      <w:rFonts w:ascii="Liberation Sans" w:hAnsi="Liberation Sans" w:eastAsia="Unifont" w:cs="FreeSans"/>
      <w:color w:val="00000A"/>
      <w:sz w:val="28"/>
      <w:szCs w:val="28"/>
    </w:rPr>
  </w:style>
  <w:style w:type="paragraph" w:styleId="Style26">
    <w:name w:val="Body Text"/>
    <w:basedOn w:val="Normal"/>
    <w:rsid w:val="007a639f"/>
    <w:pPr>
      <w:spacing w:lineRule="auto" w:line="288"/>
    </w:pPr>
    <w:rPr>
      <w:color w:val="00000A"/>
    </w:rPr>
  </w:style>
  <w:style w:type="paragraph" w:styleId="Style27">
    <w:name w:val="List"/>
    <w:basedOn w:val="Style26"/>
    <w:pPr/>
    <w:rPr>
      <w:rFonts w:cs="FreeSans"/>
    </w:rPr>
  </w:style>
  <w:style w:type="paragraph" w:styleId="Style28">
    <w:name w:val="Caption"/>
    <w:basedOn w:val="Normal"/>
    <w:qFormat/>
    <w:pPr>
      <w:suppressLineNumbers/>
      <w:spacing w:before="120" w:after="120"/>
    </w:pPr>
    <w:rPr>
      <w:rFonts w:cs="FreeSans"/>
      <w:i/>
      <w:iCs/>
      <w:sz w:val="24"/>
      <w:szCs w:val="24"/>
    </w:rPr>
  </w:style>
  <w:style w:type="paragraph" w:styleId="Style29">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color w:val="00000A"/>
      <w:szCs w:val="24"/>
    </w:rPr>
  </w:style>
  <w:style w:type="paragraph" w:styleId="Indexheading">
    <w:name w:val="index heading"/>
    <w:basedOn w:val="Normal"/>
    <w:qFormat/>
    <w:pPr>
      <w:suppressLineNumbers/>
    </w:pPr>
    <w:rPr>
      <w:rFonts w:cs="FreeSans"/>
      <w:color w:val="00000A"/>
    </w:rPr>
  </w:style>
  <w:style w:type="paragraph" w:styleId="BalloonText">
    <w:name w:val="Balloon Text"/>
    <w:basedOn w:val="Normal"/>
    <w:uiPriority w:val="99"/>
    <w:semiHidden/>
    <w:unhideWhenUsed/>
    <w:qFormat/>
    <w:rsid w:val="00951f6e"/>
    <w:pPr>
      <w:spacing w:lineRule="auto" w:line="240"/>
    </w:pPr>
    <w:rPr>
      <w:rFonts w:ascii="Tahoma" w:hAnsi="Tahoma" w:cs="Tahoma"/>
      <w:color w:val="00000A"/>
      <w:sz w:val="16"/>
      <w:szCs w:val="16"/>
    </w:rPr>
  </w:style>
  <w:style w:type="paragraph" w:styleId="Style30">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31"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32" w:customStyle="1">
    <w:name w:val="Подпись к рисунку"/>
    <w:basedOn w:val="Normal"/>
    <w:qFormat/>
    <w:rsid w:val="005f7ea2"/>
    <w:pPr>
      <w:keepLines/>
      <w:spacing w:before="120" w:after="240"/>
      <w:ind w:left="567" w:right="567" w:hanging="0"/>
      <w:mirrorIndents/>
    </w:pPr>
    <w:rPr>
      <w:i/>
      <w:color w:val="00000A"/>
    </w:rPr>
  </w:style>
  <w:style w:type="paragraph" w:styleId="Style33"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Endnotetext">
    <w:name w:val="endnote text"/>
    <w:basedOn w:val="Normal"/>
    <w:link w:val="af1"/>
    <w:uiPriority w:val="99"/>
    <w:semiHidden/>
    <w:unhideWhenUsed/>
    <w:qFormat/>
    <w:rsid w:val="00e75020"/>
    <w:pPr>
      <w:spacing w:lineRule="auto" w:line="240"/>
    </w:pPr>
    <w:rPr>
      <w:color w:val="00000A"/>
      <w:sz w:val="20"/>
      <w:szCs w:val="20"/>
    </w:rPr>
  </w:style>
  <w:style w:type="paragraph" w:styleId="Footnotetext">
    <w:name w:val="footnote text"/>
    <w:basedOn w:val="Normal"/>
    <w:link w:val="af4"/>
    <w:uiPriority w:val="99"/>
    <w:unhideWhenUsed/>
    <w:qFormat/>
    <w:rsid w:val="00d51c41"/>
    <w:pPr>
      <w:spacing w:lineRule="auto" w:line="240"/>
    </w:pPr>
    <w:rPr>
      <w:color w:val="00000A"/>
      <w:sz w:val="20"/>
      <w:szCs w:val="20"/>
    </w:rPr>
  </w:style>
  <w:style w:type="paragraph" w:styleId="TableofFigures" w:customStyle="1">
    <w:name w:val="Table of Figures"/>
    <w:basedOn w:val="Normal"/>
    <w:qFormat/>
    <w:rsid w:val="00e52244"/>
    <w:pPr>
      <w:keepNext/>
      <w:spacing w:before="240" w:after="120"/>
      <w:ind w:hanging="0"/>
      <w:mirrorIndents/>
      <w:jc w:val="center"/>
    </w:pPr>
    <w:rPr>
      <w:i/>
      <w:iCs/>
      <w:color w:val="00000A"/>
      <w:lang w:eastAsia="ru-RU"/>
    </w:rPr>
  </w:style>
  <w:style w:type="paragraph" w:styleId="Style34" w:customStyle="1">
    <w:name w:val="Формула"/>
    <w:basedOn w:val="TableofFigures"/>
    <w:qFormat/>
    <w:rsid w:val="00a905c8"/>
    <w:pPr>
      <w:spacing w:before="120" w:after="120"/>
      <w:ind w:left="227" w:right="227" w:hanging="0"/>
    </w:pPr>
    <w:rPr/>
  </w:style>
  <w:style w:type="paragraph" w:styleId="Style35" w:customStyle="1">
    <w:name w:val="Содержимое таблицы"/>
    <w:basedOn w:val="Normal"/>
    <w:qFormat/>
    <w:rsid w:val="00482186"/>
    <w:pPr/>
    <w:rPr/>
  </w:style>
  <w:style w:type="paragraph" w:styleId="Style36">
    <w:name w:val="Footnote Text"/>
    <w:basedOn w:val="Normal"/>
    <w:pPr/>
    <w:rPr/>
  </w:style>
  <w:style w:type="paragraph" w:styleId="Style37">
    <w:name w:val="Эпиграф"/>
    <w:basedOn w:val="Style26"/>
    <w:qFormat/>
    <w:pPr>
      <w:bidi w:val="0"/>
      <w:spacing w:before="115" w:after="115"/>
      <w:ind w:left="3600" w:right="0" w:hanging="0"/>
      <w:contextualSpacing/>
      <w:jc w:val="right"/>
    </w:pPr>
    <w:rPr>
      <w: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2C34-F401-47C6-87A7-DD11BD4B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ToH</Template>
  <TotalTime>10961</TotalTime>
  <Application>LibreOfficeDev/5.2.6.2$Linux_X86_64 LibreOffice_project/20m0$Build-2</Application>
  <Pages>7</Pages>
  <Words>2746</Words>
  <Characters>17089</Characters>
  <CharactersWithSpaces>19832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2018-12-30T09:53:00Z</dcterms:created>
  <dc:creator>СБ</dc:creator>
  <dc:description/>
  <dc:language>ru-RU</dc:language>
  <cp:lastModifiedBy/>
  <dcterms:modified xsi:type="dcterms:W3CDTF">2019-01-08T12:21:07Z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