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6.jpeg" ContentType="image/jpeg"/>
  <Override PartName="/word/media/image5.png" ContentType="image/png"/>
  <Override PartName="/word/media/image1.png" ContentType="image/png"/>
  <Override PartName="/word/media/image2.jpeg" ContentType="image/jpeg"/>
  <Override PartName="/word/media/image3.png" ContentType="image/png"/>
  <Override PartName="/word/media/image7.png" ContentType="image/png"/>
  <Override PartName="/word/media/image4.jpeg" ContentType="image/jpe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600" w:after="480"/>
        <w:rPr/>
      </w:pPr>
      <w:r>
        <w:rPr/>
        <w:t>Нормальность ненормальности</w:t>
      </w:r>
    </w:p>
    <w:p>
      <w:pPr>
        <w:pStyle w:val="Style24"/>
        <w:rPr/>
      </w:pPr>
      <w:r>
        <w:rPr/>
        <w:t xml:space="preserve">В этой главе мы начнём с анализа арбузов и их корок, выясним их связь со знаменитым законом Мерфи и убедимся со всей математической </w:t>
      </w:r>
      <w:bookmarkStart w:id="0" w:name="_GoBack"/>
      <w:bookmarkEnd w:id="0"/>
      <w:r>
        <w:rPr/>
        <w:t>строгостью в том, что о вкусах не спорят.</w:t>
      </w:r>
    </w:p>
    <w:p>
      <w:pPr>
        <w:pStyle w:val="2"/>
        <w:rPr/>
      </w:pPr>
      <w:r>
        <w:rPr/>
        <w:t>Мне одному кажется, что я нормальный?</w:t>
      </w:r>
    </w:p>
    <w:p>
      <w:pPr>
        <w:pStyle w:val="Style20"/>
        <w:rPr/>
      </w:pPr>
      <w:r>
        <w:rPr/>
        <w:t>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говорят, что каждый из нас уникален. А подростки уверены, что они-то уж точно отличаются от серой массы "нормальных людей" и ни на кого не похожи.</w:t>
      </w:r>
    </w:p>
    <w:p>
      <w:pPr>
        <w:pStyle w:val="Style20"/>
        <w:rPr/>
      </w:pPr>
      <w:r>
        <w:rP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значение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одновариантные распределения – распределения в одномерном пространстве исходов. Но жизнь многогранна, и уж точно не одномерна! А при добавлении дополнительных размерностей могут случаться весьма неожиданные вещи.</w:t>
      </w:r>
    </w:p>
    <w:p>
      <w:pPr>
        <w:pStyle w:val="Style20"/>
        <w:rPr/>
      </w:pPr>
      <w:r>
        <mc:AlternateContent>
          <mc:Choice Requires="wps">
            <w:drawing>
              <wp:anchor behindDoc="0" distT="0" distB="0" distL="114300" distR="114300" simplePos="0" locked="0" layoutInCell="1" allowOverlap="1" relativeHeight="3" wp14:anchorId="4C0EDB9A">
                <wp:simplePos x="0" y="0"/>
                <wp:positionH relativeFrom="column">
                  <wp:posOffset>2857500</wp:posOffset>
                </wp:positionH>
                <wp:positionV relativeFrom="paragraph">
                  <wp:posOffset>3618230</wp:posOffset>
                </wp:positionV>
                <wp:extent cx="3132455" cy="452120"/>
                <wp:effectExtent l="0" t="0" r="0" b="0"/>
                <wp:wrapSquare wrapText="bothSides"/>
                <wp:docPr id="1" name="Поле 4"/>
                <a:graphic xmlns:a="http://schemas.openxmlformats.org/drawingml/2006/main">
                  <a:graphicData uri="http://schemas.microsoft.com/office/word/2010/wordprocessingShape">
                    <wps:wsp>
                      <wps:cNvSpPr/>
                      <wps:spPr>
                        <a:xfrm>
                          <a:off x="0" y="0"/>
                          <a:ext cx="3132000" cy="451440"/>
                        </a:xfrm>
                        <a:prstGeom prst="rect">
                          <a:avLst/>
                        </a:prstGeom>
                        <a:solidFill>
                          <a:srgbClr val="ffffff"/>
                        </a:solidFill>
                        <a:ln>
                          <a:noFill/>
                        </a:ln>
                      </wps:spPr>
                      <wps:style>
                        <a:lnRef idx="0"/>
                        <a:fillRef idx="0"/>
                        <a:effectRef idx="0"/>
                        <a:fontRef idx="minor"/>
                      </wps:style>
                      <wps:txbx>
                        <w:txbxContent>
                          <w:p>
                            <w:pPr>
                              <w:pStyle w:val="Caption"/>
                              <w:spacing w:before="120" w:after="120"/>
                              <w:ind w:hanging="0"/>
                              <w:jc w:val="center"/>
                              <w:rPr/>
                            </w:pPr>
                            <w:r>
                              <w:rPr>
                                <w:color w:val="00000A"/>
                              </w:rPr>
                              <w:t>Доли, которые занимает корка в арбузе различной размерности.</w:t>
                            </w:r>
                          </w:p>
                        </w:txbxContent>
                      </wps:txbx>
                      <wps:bodyPr lIns="0" rIns="0" tIns="0" bIns="0">
                        <a:prstTxWarp prst="textNoShape"/>
                        <a:spAutoFit/>
                      </wps:bodyPr>
                    </wps:wsp>
                  </a:graphicData>
                </a:graphic>
              </wp:anchor>
            </w:drawing>
          </mc:Choice>
          <mc:Fallback>
            <w:pict>
              <v:rect id="shape_0" ID="Поле 4" fillcolor="white" stroked="f" style="position:absolute;margin-left:225pt;margin-top:284.9pt;width:246.55pt;height:35.5pt" wp14:anchorId="4C0EDB9A">
                <w10:wrap type="square"/>
                <v:fill o:detectmouseclick="t" type="solid" color2="black"/>
                <v:stroke color="#3465a4" joinstyle="round" endcap="flat"/>
                <v:textbox>
                  <w:txbxContent>
                    <w:p>
                      <w:pPr>
                        <w:pStyle w:val="Caption"/>
                        <w:spacing w:before="120" w:after="120"/>
                        <w:ind w:hanging="0"/>
                        <w:jc w:val="center"/>
                        <w:rPr/>
                      </w:pPr>
                      <w:r>
                        <w:rPr>
                          <w:color w:val="00000A"/>
                        </w:rPr>
                        <w:t>Доли, которые занимает корка в арбузе различной размерности.</w:t>
                      </w:r>
                    </w:p>
                  </w:txbxContent>
                </v:textbox>
              </v:rect>
            </w:pict>
          </mc:Fallback>
        </mc:AlternateContent>
        <w:drawing>
          <wp:anchor behindDoc="0" distT="0" distB="8890" distL="114300" distR="114300" simplePos="0" locked="0" layoutInCell="1" allowOverlap="1" relativeHeight="2">
            <wp:simplePos x="0" y="0"/>
            <wp:positionH relativeFrom="column">
              <wp:posOffset>2880995</wp:posOffset>
            </wp:positionH>
            <wp:positionV relativeFrom="paragraph">
              <wp:posOffset>712470</wp:posOffset>
            </wp:positionV>
            <wp:extent cx="3131185" cy="2772410"/>
            <wp:effectExtent l="0" t="0" r="0" b="0"/>
            <wp:wrapSquare wrapText="bothSides"/>
            <wp:docPr id="3"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C:\tmp\podlost\ToH\work\figures\normal\-ikkd_2dsim_dghvqbbzuukvimo.png"/>
                    <pic:cNvPicPr>
                      <a:picLocks noChangeAspect="1" noChangeArrowheads="1"/>
                    </pic:cNvPicPr>
                  </pic:nvPicPr>
                  <pic:blipFill>
                    <a:blip r:embed="rId2"/>
                    <a:stretch>
                      <a:fillRect/>
                    </a:stretch>
                  </pic:blipFill>
                  <pic:spPr bwMode="auto">
                    <a:xfrm>
                      <a:off x="0" y="0"/>
                      <a:ext cx="3131185" cy="2772410"/>
                    </a:xfrm>
                    <a:prstGeom prst="rect">
                      <a:avLst/>
                    </a:prstGeom>
                  </pic:spPr>
                </pic:pic>
              </a:graphicData>
            </a:graphic>
          </wp:anchor>
        </w:drawing>
      </w:r>
      <w:r>
        <w:rPr/>
        <w:t xml:space="preserve">Одна из особенностей многомерной геометрии — увеличение доли пограничных значений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сколько же чудесной сахарной мякоти нам достанется от этого огромного, крепкого и аппетитного арбуза, если надрезав его, мы выяснили, что толщина его корки не превышает </w:t>
      </w:r>
      <w:r>
        <w:rPr/>
      </w:r>
      <m:oMath xmlns:m="http://schemas.openxmlformats.org/officeDocument/2006/math">
        <m:r>
          <w:rPr>
            <w:rFonts w:ascii="Cambria Math" w:hAnsi="Cambria Math"/>
          </w:rPr>
          <m:t xml:space="preserve">15</m:t>
        </m:r>
        <m:r>
          <m:rPr>
            <m:lit/>
            <m:nor/>
          </m:rPr>
          <w:rPr>
            <w:rFonts w:ascii="Cambria Math" w:hAnsi="Cambria Math"/>
          </w:rPr>
          <m:t xml:space="preserve">%</m:t>
        </m:r>
      </m:oMath>
      <w:r>
        <w:rPr/>
        <w:t xml:space="preserve"> от его радиуса? Кажется, что это уж больно много, но посмотрите на рисунок, пожалуй, арбуз с такими пропорциями мы сочтём вполне приемлемым. Рассмотрим сначала одномерный арбуз, в виде розового столбика. Его корка представляет собой два маленьких белых отрезочка по краям, суммарная длина корки будет мерой (обобщённым объёмом) в одномерном мире и составит 15% от общей меры арбуза. У двумерного, блинообразного арбуза, мера корка в виде площади белого кольца, будет меньше, чем его внутренняя часть, уже всего в три раза. В привычном нам трёхмерном мире, такая корка составит почти 40% общего объёма. Уже чувствуется подвох.</w:t>
      </w:r>
    </w:p>
    <w:p>
      <w:pPr>
        <w:pStyle w:val="Style20"/>
        <w:rPr/>
      </w:pPr>
      <w:r>
        <w:rPr/>
        <w:t>Такую возрастающую роль границ мы уже встречали, когда рассматривали туристический закон подлости. Но тогда мы ограничились двумерным случаем, вполне естественным для топографических карт. Сейчас мы пойдём в нашем исследовании дальше.</w:t>
      </w:r>
    </w:p>
    <w:p>
      <w:pPr>
        <w:pStyle w:val="Style20"/>
        <w:rPr/>
      </w:pPr>
      <w:r>
        <w:rPr/>
        <w:t xml:space="preserve">Для шара, как, впрочем, и для тела произвольной формы, можно точно вычислить зависимость отношения объёма корки к общему объёму тела. Её легко получить, вновь воспользовавшись анализом размерности, и общим понятием меры. Для сплошного тела в пространстве размерности </w:t>
      </w:r>
      <w:r>
        <w:rPr/>
      </w:r>
      <m:oMath xmlns:m="http://schemas.openxmlformats.org/officeDocument/2006/math">
        <m:r>
          <w:rPr>
            <w:rFonts w:ascii="Cambria Math" w:hAnsi="Cambria Math"/>
          </w:rPr>
          <m:t xml:space="preserve">m</m:t>
        </m:r>
      </m:oMath>
      <w:r>
        <w:rPr>
          <w:rFonts w:eastAsia="" w:eastAsiaTheme="minorEastAsia"/>
        </w:rPr>
        <w:t>,</w:t>
      </w:r>
      <w:r>
        <w:rPr/>
        <w:t xml:space="preserve"> его мера, или обобщённый объём, пропорциональна степенной функции от характерного размера тела </w:t>
      </w:r>
      <w:r>
        <w:rPr/>
      </w:r>
      <m:oMath xmlns:m="http://schemas.openxmlformats.org/officeDocument/2006/math">
        <m:r>
          <w:rPr>
            <w:rFonts w:ascii="Cambria Math" w:hAnsi="Cambria Math"/>
          </w:rPr>
          <m:t xml:space="preserve">d</m:t>
        </m:r>
      </m:oMath>
      <w:r>
        <w:rPr/>
        <w:t>:</w:t>
      </w:r>
    </w:p>
    <w:p>
      <w:pPr>
        <w:pStyle w:val="Style28"/>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d</m:t>
            </m:r>
          </m:e>
          <m:sup>
            <m:r>
              <w:rPr>
                <w:rFonts w:ascii="Cambria Math" w:hAnsi="Cambria Math"/>
              </w:rPr>
              <m:t xml:space="preserve">m</m:t>
            </m:r>
          </m:sup>
        </m:sSup>
      </m:oMath>
      <w:r>
        <w:rPr/>
        <w:t>.</w:t>
      </w:r>
    </w:p>
    <w:p>
      <w:pPr>
        <w:pStyle w:val="Style20"/>
        <w:rPr/>
      </w:pPr>
      <w:r>
        <w:rPr/>
        <w:t xml:space="preserve">Под </w:t>
      </w:r>
      <w:r>
        <w:rPr>
          <w:rStyle w:val="Style16"/>
        </w:rPr>
        <w:t>сплошным</w:t>
      </w:r>
      <w:r>
        <w:rPr/>
        <w:t xml:space="preserve"> я понимаю тело, не являющееся </w:t>
      </w:r>
      <w:r>
        <w:rPr>
          <w:rStyle w:val="Style16"/>
        </w:rPr>
        <w:t>фрактальным</w:t>
      </w:r>
      <w:r>
        <w:rPr/>
        <w:t>. Такие объекты отличаются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Жулиа и губкой Менгера, мы уже встречались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разряда молнии, от корневой системы растений до устройства наших с вами лёгких.</w:t>
      </w:r>
    </w:p>
    <w:p>
      <w:pPr>
        <w:pStyle w:val="Style20"/>
        <w:rPr/>
      </w:pPr>
      <w:r>
        <w:rPr/>
        <w:t xml:space="preserve">С объёмом, как с мерой, мы разобрались в первой главе, а что такое характерный размер? Интуитивно ясно, что человек имеет характерный размер порядка метра, муравей —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знаком пропорциональности скрывается константа, которая называется </w:t>
      </w:r>
      <w:r>
        <w:rPr>
          <w:rStyle w:val="Style16"/>
        </w:rPr>
        <w:t>формфактором</w:t>
      </w:r>
      <w:r>
        <w:rPr/>
        <w:t xml:space="preserve">. Она зависит от формы тела, но не зависит от размеров: для куба она равна </w:t>
      </w:r>
      <w:r>
        <w:rPr/>
      </w:r>
      <m:oMath xmlns:m="http://schemas.openxmlformats.org/officeDocument/2006/math">
        <m:r>
          <w:rPr>
            <w:rFonts w:ascii="Cambria Math" w:hAnsi="Cambria Math"/>
          </w:rPr>
          <m:t xml:space="preserve">1</m:t>
        </m:r>
      </m:oMath>
      <w:r>
        <w:rPr/>
        <w:t xml:space="preserve">, для сферы того же размера примерно в двое меньше — </w:t>
      </w:r>
      <w:r>
        <w:rPr/>
      </w:r>
      <m:oMath xmlns:m="http://schemas.openxmlformats.org/officeDocument/2006/math">
        <m:f>
          <m:fPr>
            <m:type m:val="lin"/>
          </m:fPr>
          <m:num>
            <m:r>
              <w:rPr>
                <w:rFonts w:ascii="Cambria Math" w:hAnsi="Cambria Math"/>
              </w:rPr>
              <m:t xml:space="preserve">π</m:t>
            </m:r>
          </m:num>
          <m:den>
            <m:r>
              <w:rPr>
                <w:rFonts w:ascii="Cambria Math" w:hAnsi="Cambria Math"/>
              </w:rPr>
              <m:t xml:space="preserve">6</m:t>
            </m:r>
          </m:den>
        </m:f>
      </m:oMath>
      <w:r>
        <w:rPr/>
        <w:t xml:space="preserve"> и т. д.</w:t>
      </w:r>
    </w:p>
    <w:p>
      <w:pPr>
        <w:pStyle w:val="Textbody"/>
        <w:rPr/>
      </w:pPr>
      <w:r>
        <w:rPr/>
        <w:t>Объём корочки равен следующей разнице:</w:t>
      </w:r>
    </w:p>
    <w:p>
      <w:pPr>
        <w:pStyle w:val="Style28"/>
        <w:rPr>
          <w:rFonts w:ascii="Cambria Math" w:hAnsi="Cambria Math"/>
        </w:rPr>
      </w:pPr>
      <w:r>
        <w:rPr/>
      </w:r>
      <m:oMath xmlns:m="http://schemas.openxmlformats.org/officeDocument/2006/math">
        <m:sSub>
          <m:e>
            <m:r>
              <w:rPr>
                <w:rFonts w:ascii="Cambria Math" w:hAnsi="Cambria Math"/>
              </w:rPr>
              <m:t xml:space="preserve">V</m:t>
            </m:r>
          </m:e>
          <m:sub>
            <m:r>
              <w:rPr>
                <w:rFonts w:ascii="Cambria Math" w:hAnsi="Cambria Math"/>
              </w:rPr>
              <m:t xml:space="preserve">корки</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общ</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внутр</m:t>
            </m:r>
          </m:sub>
        </m:sSub>
        <m:r>
          <w:rPr>
            <w:rFonts w:ascii="Cambria Math" w:hAnsi="Cambria Math"/>
          </w:rPr>
          <m:t xml:space="preserve">,</m:t>
        </m:r>
      </m:oMath>
    </w:p>
    <w:p>
      <w:pPr>
        <w:pStyle w:val="Style20"/>
        <w:rPr/>
      </w:pPr>
      <w:r>
        <w:rPr/>
        <w:t xml:space="preserve">а отношение объёма корки, составляющей долю </w:t>
      </w:r>
      <w:r>
        <w:rPr/>
      </w:r>
      <m:oMath xmlns:m="http://schemas.openxmlformats.org/officeDocument/2006/math">
        <m:r>
          <w:rPr>
            <w:rFonts w:ascii="Cambria Math" w:hAnsi="Cambria Math"/>
          </w:rPr>
          <m:t xml:space="preserve">δ</m:t>
        </m:r>
      </m:oMath>
      <w:r>
        <w:rPr/>
        <w:t xml:space="preserve"> от размеров тела, к общему объёму выражается следующим образом:</w:t>
      </w:r>
    </w:p>
    <w:p>
      <w:pPr>
        <w:pStyle w:val="Style28"/>
        <w:rPr>
          <w:rFonts w:ascii="Cambria Math" w:hAnsi="Cambria Math"/>
        </w:rPr>
      </w:pPr>
      <w:r>
        <w:rPr/>
      </w:r>
      <m:oMath xmlns:m="http://schemas.openxmlformats.org/officeDocument/2006/math">
        <m:f>
          <m:num>
            <m:sSub>
              <m:e>
                <m:r>
                  <w:rPr>
                    <w:rFonts w:ascii="Cambria Math" w:hAnsi="Cambria Math"/>
                  </w:rPr>
                  <m:t xml:space="preserve">V</m:t>
                </m:r>
              </m:e>
              <m:sub>
                <m:r>
                  <w:rPr>
                    <w:rFonts w:ascii="Cambria Math" w:hAnsi="Cambria Math"/>
                  </w:rPr>
                  <m:t xml:space="preserve">корки</m:t>
                </m:r>
              </m:sub>
            </m:sSub>
          </m:num>
          <m:den>
            <m:sSub>
              <m:e>
                <m:r>
                  <w:rPr>
                    <w:rFonts w:ascii="Cambria Math" w:hAnsi="Cambria Math"/>
                  </w:rPr>
                  <m:t xml:space="preserve">V</m:t>
                </m:r>
              </m:e>
              <m:sub>
                <m:r>
                  <w:rPr>
                    <w:rFonts w:ascii="Cambria Math" w:hAnsi="Cambria Math"/>
                  </w:rPr>
                  <m:t xml:space="preserve">общ</m:t>
                </m:r>
              </m:sub>
            </m:sSub>
          </m:den>
        </m:f>
        <m:r>
          <w:rPr>
            <w:rFonts w:ascii="Cambria Math" w:hAnsi="Cambria Math"/>
          </w:rPr>
          <m:t xml:space="preserve">=</m:t>
        </m:r>
        <m:r>
          <w:rPr>
            <w:rFonts w:ascii="Cambria Math" w:hAnsi="Cambria Math"/>
          </w:rPr>
          <m:t xml:space="preserve">1</m:t>
        </m:r>
        <m:r>
          <w:rPr>
            <w:rFonts w:ascii="Cambria Math" w:hAnsi="Cambria Math"/>
          </w:rPr>
          <m:t xml:space="preserve">−</m:t>
        </m:r>
        <m:f>
          <m:num>
            <m:sSub>
              <m:e>
                <m:r>
                  <w:rPr>
                    <w:rFonts w:ascii="Cambria Math" w:hAnsi="Cambria Math"/>
                  </w:rPr>
                  <m:t xml:space="preserve">V</m:t>
                </m:r>
              </m:e>
              <m:sub>
                <m:r>
                  <w:rPr>
                    <w:rFonts w:ascii="Cambria Math" w:hAnsi="Cambria Math"/>
                  </w:rPr>
                  <m:t xml:space="preserve">внутр</m:t>
                </m:r>
              </m:sub>
            </m:sSub>
          </m:num>
          <m:den>
            <m:sSub>
              <m:e>
                <m:r>
                  <w:rPr>
                    <w:rFonts w:ascii="Cambria Math" w:hAnsi="Cambria Math"/>
                  </w:rPr>
                  <m:t xml:space="preserve">V</m:t>
                </m:r>
              </m:e>
              <m:sub>
                <m:r>
                  <w:rPr>
                    <w:rFonts w:ascii="Cambria Math" w:hAnsi="Cambria Math"/>
                  </w:rPr>
                  <m:t xml:space="preserve">общ</m:t>
                </m:r>
              </m:sub>
            </m:sSub>
          </m:den>
        </m:f>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δ</m:t>
                </m:r>
              </m:e>
            </m:d>
          </m:e>
          <m:sup>
            <m:r>
              <w:rPr>
                <w:rFonts w:ascii="Cambria Math" w:hAnsi="Cambria Math"/>
              </w:rPr>
              <m:t xml:space="preserve">m</m:t>
            </m:r>
          </m:sup>
        </m:sSup>
        <m:r>
          <w:rPr>
            <w:rFonts w:ascii="Cambria Math" w:hAnsi="Cambria Math"/>
          </w:rPr>
          <m:t xml:space="preserve">.</m:t>
        </m:r>
      </m:oMath>
    </w:p>
    <w:p>
      <w:pPr>
        <w:pStyle w:val="Style20"/>
        <w:rPr/>
      </w:pPr>
      <w:r>
        <w:rPr/>
        <w:t>Как хорошо получилось — мы перешли от пропорциональности к точному равенству. Это произошло благодаря отношениям, в которых сократились неизвестные нам формфактор и размеры тела. Таким образом, полученное соотношение объёма корки и объёма тела универсально и годится для арбузов сколь угодно сложной формы.</w:t>
      </w:r>
    </w:p>
    <w:p>
      <w:pPr>
        <w:pStyle w:val="Style20"/>
        <w:rPr/>
      </w:pPr>
      <w:r>
        <w:rPr/>
        <w:t>Вот как выглядит график роста доли пятнадцатипроцентной по радиусу корочки арбуза в его объёме, при дальнейшем увеличении размерности пространства.</w:t>
      </w:r>
    </w:p>
    <w:p>
      <w:pPr>
        <w:pStyle w:val="TableofFigures"/>
        <w:rPr/>
      </w:pPr>
      <w:r>
        <w:rPr/>
        <w:drawing>
          <wp:inline distT="0" distB="0" distL="0" distR="0">
            <wp:extent cx="4378325" cy="3195955"/>
            <wp:effectExtent l="0" t="0" r="0" b="0"/>
            <wp:docPr id="4"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C:\tmp\podlost\ToH\work\figures\normal\iui2tuuww5ok9bzwnnhrs6ynd1o.jpeg"/>
                    <pic:cNvPicPr>
                      <a:picLocks noChangeAspect="1" noChangeArrowheads="1"/>
                    </pic:cNvPicPr>
                  </pic:nvPicPr>
                  <pic:blipFill>
                    <a:blip r:embed="rId3"/>
                    <a:stretch>
                      <a:fillRect/>
                    </a:stretch>
                  </pic:blipFill>
                  <pic:spPr bwMode="auto">
                    <a:xfrm>
                      <a:off x="0" y="0"/>
                      <a:ext cx="4378325" cy="3195955"/>
                    </a:xfrm>
                    <a:prstGeom prst="rect">
                      <a:avLst/>
                    </a:prstGeom>
                  </pic:spPr>
                </pic:pic>
              </a:graphicData>
            </a:graphic>
          </wp:inline>
        </w:drawing>
      </w:r>
      <w:r>
        <w:rPr/>
        <w:t xml:space="preserve"> </w:t>
      </w:r>
    </w:p>
    <w:p>
      <w:pPr>
        <w:pStyle w:val="Style26"/>
        <w:rPr/>
      </w:pPr>
      <w:r>
        <w:rPr/>
        <w:t>В четырёхмерном пространстве наш условно тонкокорый арбуз оставит нам уже лишь половину мякоти, а в одиннадцатимерном мире мы сможем полакомится лишь 15% от всего арбуза, выбросив корочку, составляющую 15% его радиуса!</w:t>
      </w:r>
    </w:p>
    <w:p>
      <w:pPr>
        <w:pStyle w:val="Style20"/>
        <w:rPr/>
      </w:pPr>
      <w:r>
        <w:rPr/>
        <w:t xml:space="preserve">Итак, сейчас мы готовы сформулировать глубокомысленный закон </w:t>
      </w:r>
      <w:r>
        <w:rPr>
          <w:b/>
          <w:bCs/>
          <w:i/>
          <w:iCs/>
        </w:rPr>
        <w:t>арбузной корки</w:t>
      </w:r>
      <w:r>
        <w:rPr/>
        <w:t>:</w:t>
      </w:r>
    </w:p>
    <w:p>
      <w:pPr>
        <w:pStyle w:val="Style25"/>
        <w:rPr/>
      </w:pPr>
      <w:r>
        <w:rPr/>
        <w:t xml:space="preserve">Покупая многомерный арбуз, ты приобретаешь, </w:t>
        <w:br/>
        <w:t>в основном, его корку.</w:t>
      </w:r>
    </w:p>
    <w:p>
      <w:pPr>
        <w:pStyle w:val="Style20"/>
        <w:rPr/>
      </w:pPr>
      <w:r>
        <w:rPr/>
        <w:t>Обидно, конечно, но какое это имеет отношение к нормальности нашего мира и к законам подлости? Увы, именно он препятствует отысканию так называемой "золотой середины", обесценивает результаты социологических опросов и повышает роль маловероятных неприятностей.</w:t>
      </w:r>
    </w:p>
    <w:p>
      <w:pPr>
        <w:pStyle w:val="Style20"/>
        <w:rPr/>
      </w:pPr>
      <w:r>
        <w:rPr/>
        <w:t>Дело в том, что пространство людей со всеми их параметрами существенно многомерно.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параметров существует некая статистически определяемая "норма" — наиболее ожидаемое и, более того, часто наблюдаемое значение. Сколько же в таком богатом пространстве параметров окажется людей, типичных во всех отношениях? Выражение, которое мы использовали для вычисления отношения объёмов корки и арбуза, можно использовать и для вычисления вероятности попасть в число хоть в чём-то но "ненормальных" людей. Действительно, вероятность удовлетворить всем критериям типичности одновременно равна произведению вероятностей оказаться типичным по каждому критерию в отдельности.</w:t>
      </w:r>
    </w:p>
    <w:p>
      <w:pPr>
        <w:pStyle w:val="Style20"/>
        <w:rPr/>
      </w:pPr>
      <w:r>
        <w:rPr/>
        <w:t xml:space="preserve">Колмогоровское определение вероятности сильно упростит задачу, избавив нас от пугающих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подобно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подчиняются обсуждаемые качества людей, остаётся лишь предположить, что у этих распределений есть среднее значение (что, как мы увидим, бывает не всегда). Если обозначить за </w:t>
      </w:r>
      <w:r>
        <w:rPr/>
      </w:r>
      <m:oMath xmlns:m="http://schemas.openxmlformats.org/officeDocument/2006/math">
        <m:sSub>
          <m:e>
            <m:r>
              <w:rPr>
                <w:rFonts w:ascii="Cambria Math" w:hAnsi="Cambria Math"/>
              </w:rPr>
              <m:t xml:space="preserve">P</m:t>
            </m:r>
          </m:e>
          <m:sub>
            <m:r>
              <w:rPr>
                <w:rFonts w:ascii="Cambria Math" w:hAnsi="Cambria Math"/>
              </w:rPr>
              <m:t xml:space="preserve">out</m:t>
            </m:r>
          </m:sub>
        </m:sSub>
      </m:oMath>
      <w:r>
        <w:rPr/>
        <w:t xml:space="preserve"> вероятность оказаться за пределами области, которую мы сочли бы нормой, то вероятность оказаться в чём-то ненормальным, при рассмотрении </w:t>
      </w:r>
      <w:r>
        <w:rPr/>
      </w:r>
      <m:oMath xmlns:m="http://schemas.openxmlformats.org/officeDocument/2006/math">
        <m:r>
          <w:rPr>
            <w:rFonts w:ascii="Cambria Math" w:hAnsi="Cambria Math"/>
          </w:rPr>
          <m:t xml:space="preserve">m</m:t>
        </m:r>
      </m:oMath>
      <w:r>
        <w:rPr/>
        <w:t xml:space="preserve"> критериев, будет вычисляться по "арбузной" формуле:</w:t>
      </w:r>
    </w:p>
    <w:p>
      <w:pPr>
        <w:pStyle w:val="Style28"/>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out</m:t>
                    </m:r>
                  </m:sub>
                </m:sSub>
              </m:e>
            </m:d>
          </m:e>
          <m:sup>
            <m:r>
              <w:rPr>
                <w:rFonts w:ascii="Cambria Math" w:hAnsi="Cambria Math"/>
              </w:rPr>
              <m:t xml:space="preserve">m</m:t>
            </m:r>
          </m:sup>
        </m:sSup>
        <m:r>
          <w:rPr>
            <w:rFonts w:ascii="Cambria Math" w:hAnsi="Cambria Math"/>
          </w:rPr>
          <m:t xml:space="preserve">.</m:t>
        </m:r>
      </m:oMath>
    </w:p>
    <w:p>
      <w:pPr>
        <w:pStyle w:val="Style20"/>
        <w:rPr/>
      </w:pPr>
      <w:r>
        <w:rPr/>
        <w:t xml:space="preserve">Здесь мы вновь пользуемся колмогоровским пониманием вероятности, как меры. Толщину корки арбуза мы измеряли линейкой, попадание случайной величины в како-нибудь диапазон мы измеряем вероятностью. Какой бы малой ни была вероятность </w:t>
      </w:r>
      <w:r>
        <w:rPr/>
      </w:r>
      <m:oMath xmlns:m="http://schemas.openxmlformats.org/officeDocument/2006/math">
        <m:sSub>
          <m:e>
            <m:r>
              <w:rPr>
                <w:rFonts w:ascii="Cambria Math" w:hAnsi="Cambria Math"/>
              </w:rPr>
              <m:t xml:space="preserve">P</m:t>
            </m:r>
          </m:e>
          <m:sub>
            <m:r>
              <w:rPr>
                <w:rFonts w:ascii="Cambria Math" w:hAnsi="Cambria Math"/>
              </w:rPr>
              <m:t xml:space="preserve">out</m:t>
            </m:r>
          </m:sub>
        </m:sSub>
      </m:oMath>
      <w:r>
        <w:rPr/>
        <w:t xml:space="preserve">, при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
              <m:e>
                <m:r>
                  <w:rPr>
                    <w:rFonts w:ascii="Cambria Math" w:hAnsi="Cambria Math"/>
                  </w:rPr>
                  <m:t xml:space="preserve">P</m:t>
                </m:r>
              </m:e>
              <m:sub>
                <m:r>
                  <w:rPr>
                    <w:rFonts w:ascii="Cambria Math" w:hAnsi="Cambria Math"/>
                  </w:rPr>
                  <m:t xml:space="preserve">out</m:t>
                </m:r>
              </m:sub>
            </m:sSub>
          </m:num>
          <m:den>
            <m:r>
              <w:rPr>
                <w:rFonts w:ascii="Cambria Math" w:hAnsi="Cambria Math"/>
              </w:rPr>
              <m:t xml:space="preserve">2</m:t>
            </m:r>
          </m:den>
        </m:f>
      </m:oMath>
      <w:r>
        <w:rPr/>
        <w:t xml:space="preserve">, значение </w:t>
      </w:r>
      <w:r>
        <w:rPr/>
      </w:r>
      <m:oMath xmlns:m="http://schemas.openxmlformats.org/officeDocument/2006/math">
        <m:r>
          <w:rPr>
            <w:rFonts w:ascii="Cambria Math" w:hAnsi="Cambria Math"/>
          </w:rPr>
          <m:t xml:space="preserve">P</m:t>
        </m:r>
      </m:oMath>
      <w:r>
        <w:rPr/>
        <w:t xml:space="preserve"> превысит </w:t>
      </w:r>
      <w:r>
        <w:rPr/>
      </w:r>
      <m:oMath xmlns:m="http://schemas.openxmlformats.org/officeDocument/2006/math">
        <m:f>
          <m:fPr>
            <m:type m:val="lin"/>
          </m:fPr>
          <m:num>
            <m:r>
              <w:rPr>
                <w:rFonts w:ascii="Cambria Math" w:hAnsi="Cambria Math"/>
              </w:rPr>
              <m:t xml:space="preserve">1</m:t>
            </m:r>
          </m:num>
          <m:den>
            <m:r>
              <w:rPr>
                <w:rFonts w:ascii="Cambria Math" w:hAnsi="Cambria Math"/>
              </w:rPr>
              <m:t xml:space="preserve">2</m:t>
            </m:r>
          </m:den>
        </m:f>
      </m:oMath>
      <w:r>
        <w:rPr/>
        <w:t>.</w:t>
      </w:r>
    </w:p>
    <w:p>
      <w:pPr>
        <w:pStyle w:val="Style20"/>
        <w:rPr/>
      </w:pPr>
      <w:r>
        <mc:AlternateContent>
          <mc:Choice Requires="wps">
            <w:drawing>
              <wp:anchor behindDoc="0" distT="0" distB="0" distL="114300" distR="114300" simplePos="0" locked="0" layoutInCell="1" allowOverlap="1" relativeHeight="5" wp14:anchorId="51CB037E">
                <wp:simplePos x="0" y="0"/>
                <wp:positionH relativeFrom="column">
                  <wp:posOffset>2957195</wp:posOffset>
                </wp:positionH>
                <wp:positionV relativeFrom="paragraph">
                  <wp:posOffset>3194685</wp:posOffset>
                </wp:positionV>
                <wp:extent cx="2948940" cy="452120"/>
                <wp:effectExtent l="0" t="0" r="5080" b="0"/>
                <wp:wrapTight wrapText="bothSides">
                  <wp:wrapPolygon edited="0">
                    <wp:start x="0" y="0"/>
                    <wp:lineTo x="0" y="20736"/>
                    <wp:lineTo x="21498" y="20736"/>
                    <wp:lineTo x="21498" y="0"/>
                    <wp:lineTo x="0" y="0"/>
                  </wp:wrapPolygon>
                </wp:wrapTight>
                <wp:docPr id="5" name="Поле 1"/>
                <a:graphic xmlns:a="http://schemas.openxmlformats.org/drawingml/2006/main">
                  <a:graphicData uri="http://schemas.microsoft.com/office/word/2010/wordprocessingShape">
                    <wps:wsp>
                      <wps:cNvSpPr/>
                      <wps:spPr>
                        <a:xfrm>
                          <a:off x="0" y="0"/>
                          <a:ext cx="2948400" cy="451440"/>
                        </a:xfrm>
                        <a:prstGeom prst="rect">
                          <a:avLst/>
                        </a:prstGeom>
                        <a:solidFill>
                          <a:srgbClr val="ffffff"/>
                        </a:solidFill>
                        <a:ln>
                          <a:noFill/>
                        </a:ln>
                      </wps:spPr>
                      <wps:style>
                        <a:lnRef idx="0"/>
                        <a:fillRef idx="0"/>
                        <a:effectRef idx="0"/>
                        <a:fontRef idx="minor"/>
                      </wps:style>
                      <wps:txbx>
                        <w:txbxContent>
                          <w:p>
                            <w:pPr>
                              <w:pStyle w:val="Caption"/>
                              <w:spacing w:before="120" w:after="120"/>
                              <w:ind w:hanging="0"/>
                              <w:jc w:val="center"/>
                              <w:rPr/>
                            </w:pPr>
                            <w:r>
                              <w:rPr>
                                <w:color w:val="00000A"/>
                              </w:rPr>
                              <w:t>Бесконечный абстрактный арбуз в параметрическом пространстве.</w:t>
                            </w:r>
                          </w:p>
                        </w:txbxContent>
                      </wps:txbx>
                      <wps:bodyPr lIns="0" rIns="0" tIns="0" bIns="0">
                        <a:prstTxWarp prst="textNoShape"/>
                        <a:spAutoFit/>
                      </wps:bodyPr>
                    </wps:wsp>
                  </a:graphicData>
                </a:graphic>
              </wp:anchor>
            </w:drawing>
          </mc:Choice>
          <mc:Fallback>
            <w:pict>
              <v:rect id="shape_0" ID="Поле 1" fillcolor="white" stroked="f" style="position:absolute;margin-left:232.85pt;margin-top:251.55pt;width:232.1pt;height:35.5pt" wp14:anchorId="51CB037E">
                <w10:wrap type="square"/>
                <v:fill o:detectmouseclick="t" type="solid" color2="black"/>
                <v:stroke color="#3465a4" joinstyle="round" endcap="flat"/>
                <v:textbox>
                  <w:txbxContent>
                    <w:p>
                      <w:pPr>
                        <w:pStyle w:val="Caption"/>
                        <w:spacing w:before="120" w:after="120"/>
                        <w:ind w:hanging="0"/>
                        <w:jc w:val="center"/>
                        <w:rPr/>
                      </w:pPr>
                      <w:r>
                        <w:rPr>
                          <w:color w:val="00000A"/>
                        </w:rPr>
                        <w:t>Бесконечный абстрактный арбуз в параметрическом пространстве.</w:t>
                      </w:r>
                    </w:p>
                  </w:txbxContent>
                </v:textbox>
              </v:rect>
            </w:pict>
          </mc:Fallback>
        </mc:AlternateContent>
        <w:drawing>
          <wp:anchor behindDoc="0" distT="0" distB="0" distL="114300" distR="119380" simplePos="0" locked="0" layoutInCell="1" allowOverlap="1" relativeHeight="4">
            <wp:simplePos x="0" y="0"/>
            <wp:positionH relativeFrom="column">
              <wp:posOffset>2957195</wp:posOffset>
            </wp:positionH>
            <wp:positionV relativeFrom="paragraph">
              <wp:posOffset>107950</wp:posOffset>
            </wp:positionV>
            <wp:extent cx="2947670" cy="2991485"/>
            <wp:effectExtent l="0" t="0" r="0" b="0"/>
            <wp:wrapTight wrapText="bothSides">
              <wp:wrapPolygon edited="0">
                <wp:start x="-32" y="0"/>
                <wp:lineTo x="-32" y="21346"/>
                <wp:lineTo x="21438" y="21346"/>
                <wp:lineTo x="21438" y="0"/>
                <wp:lineTo x="-32" y="0"/>
              </wp:wrapPolygon>
            </wp:wrapTight>
            <wp:docPr id="7"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C:\tmp\podlost\ToH\work\figures\normal\2019-01-14_15-53-51.png"/>
                    <pic:cNvPicPr>
                      <a:picLocks noChangeAspect="1" noChangeArrowheads="1"/>
                    </pic:cNvPicPr>
                  </pic:nvPicPr>
                  <pic:blipFill>
                    <a:blip r:embed="rId4"/>
                    <a:stretch>
                      <a:fillRect/>
                    </a:stretch>
                  </pic:blipFill>
                  <pic:spPr bwMode="auto">
                    <a:xfrm>
                      <a:off x="0" y="0"/>
                      <a:ext cx="2947670" cy="2991485"/>
                    </a:xfrm>
                    <a:prstGeom prst="rect">
                      <a:avLst/>
                    </a:prstGeom>
                  </pic:spPr>
                </pic:pic>
              </a:graphicData>
            </a:graphic>
          </wp:anchor>
        </w:drawing>
      </w:r>
      <w:r>
        <w:rPr/>
        <w:t xml:space="preserve">Для хоть какой-то конкретики можно предположить, что параметры, о которых мы говорим имеют нормальное распределение. Это вполне разумно для наших целей, ведь мы говорим не о каком-то конкретном наборе характеристик, а, прямо скажем, фантазируем, стараясь сформулировать хоть что-то определённое в столь зыбкой теме. Выбор нормального распределения адекватно отражает степень нашего неведения и загружаться подробностями, пока не видна самая общая картина, рановато. Итак, наш арбуз превратился в размытое туманное пятно, что не мешает нам вычислить долю его бесконечной по протяжённости «корки». Для нормального распределения за норму можно принять значения не выходящие за пределы стандартного отклонения, что даёт </w:t>
      </w:r>
      <w:r>
        <w:rPr/>
      </w:r>
      <m:oMath xmlns:m="http://schemas.openxmlformats.org/officeDocument/2006/math">
        <m:sSub>
          <m:e>
            <m:r>
              <w:rPr>
                <w:rFonts w:ascii="Cambria Math" w:hAnsi="Cambria Math"/>
              </w:rPr>
              <m:t xml:space="preserve">P</m:t>
            </m:r>
          </m:e>
          <m:sub>
            <m:r>
              <w:rPr>
                <w:rFonts w:ascii="Cambria Math" w:hAnsi="Cambria Math"/>
              </w:rPr>
              <m:t xml:space="preserve">out</m:t>
            </m:r>
          </m:sub>
        </m:sSub>
        <m:r>
          <w:rPr>
            <w:rFonts w:ascii="Cambria Math" w:hAnsi="Cambria Math"/>
          </w:rPr>
          <m:t xml:space="preserve">=</m:t>
        </m:r>
        <m:r>
          <w:rPr>
            <w:rFonts w:ascii="Cambria Math" w:hAnsi="Cambria Math"/>
          </w:rPr>
          <m:t xml:space="preserve">16</m:t>
        </m:r>
        <m:r>
          <m:rPr>
            <m:lit/>
            <m:nor/>
          </m:rPr>
          <w:rPr>
            <w:rFonts w:ascii="Cambria Math" w:hAnsi="Cambria Math"/>
          </w:rPr>
          <m:t xml:space="preserve">%</m:t>
        </m:r>
      </m:oMath>
      <w:r>
        <w:rPr/>
        <w:t xml:space="preserve">, примерно, как в рассмотренном нами реальном арбузе. Применительно к нашему туманному арбузу здесь имеется в виду вероятность оказаться на удалении в одно стандартное отклонение от среднего, как показано на рисунке. При более толерантном понимании нормы можно  ограничиться двумя стандартными отклонениями, получая </w:t>
      </w:r>
      <w:r>
        <w:rPr/>
      </w:r>
      <m:oMath xmlns:m="http://schemas.openxmlformats.org/officeDocument/2006/math">
        <m:sSub>
          <m:e>
            <m:r>
              <w:rPr>
                <w:rFonts w:ascii="Cambria Math" w:hAnsi="Cambria Math"/>
              </w:rPr>
              <m:t xml:space="preserve">P</m:t>
            </m:r>
          </m:e>
          <m:sub>
            <m:r>
              <w:rPr>
                <w:rFonts w:ascii="Cambria Math" w:hAnsi="Cambria Math"/>
              </w:rPr>
              <m:t xml:space="preserve">out</m:t>
            </m:r>
          </m:sub>
        </m:sSub>
        <m:r>
          <w:rPr>
            <w:rFonts w:ascii="Cambria Math" w:hAnsi="Cambria Math"/>
          </w:rPr>
          <m:t xml:space="preserve">=</m:t>
        </m:r>
        <m:r>
          <w:rPr>
            <w:rFonts w:ascii="Cambria Math" w:hAnsi="Cambria Math"/>
          </w:rPr>
          <m:t xml:space="preserve">2.3</m:t>
        </m:r>
        <m:r>
          <m:rPr>
            <m:lit/>
            <m:nor/>
          </m:rPr>
          <w:rPr>
            <w:rFonts w:ascii="Cambria Math" w:hAnsi="Cambria Math"/>
          </w:rPr>
          <m:t xml:space="preserve">%</m:t>
        </m:r>
      </m:oMath>
      <w:r>
        <w:rPr/>
        <w:t>.</w:t>
      </w:r>
    </w:p>
    <w:p>
      <w:pPr>
        <w:pStyle w:val="TableofFigures"/>
        <w:rPr/>
      </w:pPr>
      <w:r>
        <w:rPr/>
        <w:drawing>
          <wp:inline distT="0" distB="0" distL="0" distR="0">
            <wp:extent cx="4104005" cy="3066415"/>
            <wp:effectExtent l="0" t="0" r="0" b="0"/>
            <wp:docPr id="8"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descr="C:\tmp\podlost\ToH\work\figures\normal\prziij0n2o3etulzz05frxftrhe.jpeg"/>
                    <pic:cNvPicPr>
                      <a:picLocks noChangeAspect="1" noChangeArrowheads="1"/>
                    </pic:cNvPicPr>
                  </pic:nvPicPr>
                  <pic:blipFill>
                    <a:blip r:embed="rId5"/>
                    <a:stretch>
                      <a:fillRect/>
                    </a:stretch>
                  </pic:blipFill>
                  <pic:spPr bwMode="auto">
                    <a:xfrm>
                      <a:off x="0" y="0"/>
                      <a:ext cx="4104005" cy="3066415"/>
                    </a:xfrm>
                    <a:prstGeom prst="rect">
                      <a:avLst/>
                    </a:prstGeom>
                  </pic:spPr>
                </pic:pic>
              </a:graphicData>
            </a:graphic>
          </wp:inline>
        </w:drawing>
      </w:r>
    </w:p>
    <w:p>
      <w:pPr>
        <w:pStyle w:val="Style26"/>
        <w:rPr/>
      </w:pPr>
      <w:r>
        <w:rP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pPr>
        <w:pStyle w:val="Style20"/>
        <w:rPr/>
      </w:pPr>
      <w:r>
        <w:rPr/>
        <w:t xml:space="preserve">Что же, выходит, это нормально — быть хоть в чём-то ненормальным. Оценивая людей по десятку параметров, будьте готовы к тому, что полностью заурядными окажутся лишь </w:t>
      </w:r>
      <w:r>
        <w:rPr/>
      </w:r>
      <m:oMath xmlns:m="http://schemas.openxmlformats.org/officeDocument/2006/math">
        <m:r>
          <w:rPr>
            <w:rFonts w:ascii="Cambria Math" w:hAnsi="Cambria Math"/>
          </w:rPr>
          <m:t xml:space="preserve">2</m:t>
        </m:r>
        <m:r>
          <m:rPr>
            <m:lit/>
            <m:nor/>
          </m:rPr>
          <w:rPr>
            <w:rFonts w:ascii="Cambria Math" w:hAnsi="Cambria Math"/>
          </w:rPr>
          <m:t xml:space="preserve">%</m:t>
        </m:r>
      </m:oMath>
      <w:r>
        <w:rPr/>
        <w:t xml:space="preserve"> общей популяции. Причём, как только мы их разыщем, они тут же станут знаменитостями, потеряв свою заурядность!</w:t>
      </w:r>
    </w:p>
    <w:p>
      <w:pPr>
        <w:pStyle w:val="2"/>
        <w:rPr/>
      </w:pPr>
      <w:r>
        <w:rPr/>
        <w:t>Антропометрия</w:t>
      </w:r>
    </w:p>
    <w:p>
      <w:pPr>
        <w:pStyle w:val="Textbody"/>
        <w:rPr/>
      </w:pPr>
      <w:r>
        <w:rPr/>
        <w:t>Необычность нормы сыграла забавную шутку с инженерами во время второй мировой войны.</w:t>
      </w:r>
    </w:p>
    <w:p>
      <w:pPr>
        <w:pStyle w:val="2"/>
        <w:rPr/>
      </w:pPr>
      <w:r>
        <w:rPr/>
        <w:t>Тот самый закон подлости</w:t>
      </w:r>
    </w:p>
    <w:p>
      <w:pPr>
        <w:pStyle w:val="Textbody"/>
        <w:rPr/>
      </w:pPr>
      <w:r>
        <w:rPr/>
        <w:t>Один из классических законов подлости, сформулированный в сердцах инженером Эдвардом Мёрфи, гласит:</w:t>
      </w:r>
    </w:p>
    <w:p>
      <w:pPr>
        <w:pStyle w:val="Style25"/>
        <w:rPr/>
      </w:pPr>
      <w:r>
        <w:rPr/>
        <w:t>Всё, что может пойти не так, пойдет не так.</w:t>
      </w:r>
    </w:p>
    <w:p>
      <w:pPr>
        <w:pStyle w:val="Textbody"/>
        <w:ind w:hanging="0"/>
        <w:rPr/>
      </w:pPr>
      <w:r>
        <w:rPr/>
        <w:t>Он несколько глубже, чем тривиальное утверждение о том, что в полной выборке наблюдаются все исходы, даже самые маловероятные.</w:t>
      </w:r>
    </w:p>
    <w:p>
      <w:pPr>
        <w:pStyle w:val="Textbody"/>
        <w:rPr/>
      </w:pPr>
      <w:r>
        <w:rPr/>
        <w:t xml:space="preserve">Пусть для выполнения некоторой работы требуется совершить ряд действий, и для каждого из них существует маленькая вероятность неудачи. Какова вероятность того, что всё пройдёт без сучка без задоринки? Мы имеем дело с пересечением множества событий, каждое из которых соответствует тому или иному этапу работы. Как посчитать вероятность для пересечения двух событий мы уже знаем. Операция пересечения </w:t>
      </w:r>
      <w:r>
        <w:rPr>
          <w:rStyle w:val="Style16"/>
        </w:rPr>
        <w:t>ассоциативна</w:t>
      </w:r>
      <w:r>
        <w:rPr/>
        <w:t>, это значит, что мы можем в произвольном порядке расставлять скобки для трёх и более пересекающихся событий:</w:t>
      </w:r>
    </w:p>
    <w:p>
      <w:pPr>
        <w:pStyle w:val="Style28"/>
        <w:rPr>
          <w:rFonts w:ascii="Cambria Math" w:hAnsi="Cambria Math"/>
          <w:lang w:val="en-US"/>
        </w:rPr>
      </w:pP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d>
          <m:dPr>
            <m:begChr m:val="("/>
            <m:endChr m:val=")"/>
          </m:dPr>
          <m:e>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e>
        </m:d>
        <m:r>
          <w:rPr>
            <w:rFonts w:ascii="Cambria Math" w:hAnsi="Cambria Math"/>
          </w:rPr>
          <m:t xml:space="preserve">.</m:t>
        </m:r>
      </m:oMath>
    </w:p>
    <w:p>
      <w:pPr>
        <w:pStyle w:val="Textbody"/>
        <w:ind w:hanging="0"/>
        <w:rPr/>
      </w:pPr>
      <w:r>
        <w:rPr/>
        <w:t>Отсюда легко получить общую формулу для пересечения произвольного числа событий:</w:t>
      </w:r>
    </w:p>
    <w:p>
      <w:pPr>
        <w:pStyle w:val="Style28"/>
        <w:rPr/>
      </w:pPr>
      <w:r>
        <w:rPr/>
      </w:r>
      <m:oMath xmlns:m="http://schemas.openxmlformats.org/officeDocument/2006/math">
        <m:eqArr>
          <m:e>
            <m:sSub>
              <m:e>
                <m:r>
                  <w:rPr>
                    <w:rFonts w:ascii="Cambria Math" w:hAnsi="Cambria Math"/>
                  </w:rPr>
                  <m:t xml:space="preserve">A</m:t>
                </m:r>
              </m:e>
              <m:sub>
                <m:r>
                  <w:rPr>
                    <w:rFonts w:ascii="Cambria Math" w:hAnsi="Cambria Math"/>
                  </w:rPr>
                  <m:t xml:space="preserve">2</m:t>
                </m:r>
              </m:sub>
            </m:sSub>
            <m:d>
              <m:dPr>
                <m:begChr m:val="|"/>
                <m:endChr m:val=")"/>
              </m:dPr>
              <m:e>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d>
              <m:dPr>
                <m:begChr m:val="("/>
                <m:sepChr m:val="|"/>
                <m:endChr m:val=")"/>
              </m:dPr>
              <m:e>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n</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n</m:t>
                    </m:r>
                  </m:sub>
                </m:sSub>
              </m:e>
            </m:d>
          </m:e>
          <m:e>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1</m:t>
                    </m:r>
                  </m:sub>
                </m:sSub>
              </m:e>
            </m:d>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P</m:t>
            </m:r>
          </m:e>
        </m:eqArr>
      </m:oMath>
    </w:p>
    <w:p>
      <w:pPr>
        <w:pStyle w:val="Textbody"/>
        <w:ind w:hanging="0"/>
        <w:rPr/>
      </w:pPr>
      <w:r>
        <w:rPr/>
        <w:t xml:space="preserve">Если события независимы, мы получаем произведение вероятностей наступления каждого из них. </w:t>
      </w:r>
    </w:p>
    <w:p>
      <w:pPr>
        <w:pStyle w:val="Style28"/>
        <w:rPr>
          <w:rFonts w:eastAsia="Calibri" w:cs="DejaVu San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1</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2</m:t>
                </m:r>
              </m:sub>
            </m:sSub>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n</m:t>
                </m:r>
              </m:sub>
            </m:sSub>
          </m:e>
        </m:d>
      </m:oMath>
    </w:p>
    <w:p>
      <w:pPr>
        <w:pStyle w:val="Textbody"/>
        <w:ind w:hanging="0"/>
        <w:rPr/>
      </w:pPr>
      <w:r>
        <w:rPr/>
        <w:t xml:space="preserve">В любом случае, вероятности, условные или нет, по определению должны быть меньше единицы, а значит, мы можем использовать закон арбузной корки: чем больше число шагов, тем существеннее роль границ, в нашем случае, внештатных ситуаций. Достаточно дюжины шагов, для того чтобы средняя вероятность ошибки для множества этапов в </w:t>
      </w:r>
      <w:r>
        <w:rPr/>
      </w:r>
      <m:oMath xmlns:m="http://schemas.openxmlformats.org/officeDocument/2006/math">
        <m:r>
          <w:rPr>
            <w:rFonts w:ascii="Cambria Math" w:hAnsi="Cambria Math"/>
          </w:rPr>
          <m:t xml:space="preserve">5</m:t>
        </m:r>
        <m:r>
          <m:rPr>
            <m:lit/>
            <m:nor/>
          </m:rPr>
          <w:rPr>
            <w:rFonts w:ascii="Cambria Math" w:hAnsi="Cambria Math"/>
          </w:rPr>
          <m:t xml:space="preserve">%</m:t>
        </m:r>
      </m:oMath>
      <w:r>
        <w:rPr/>
        <w:t xml:space="preserve">, выросла до </w:t>
      </w:r>
      <w:r>
        <w:rPr/>
      </w:r>
      <m:oMath xmlns:m="http://schemas.openxmlformats.org/officeDocument/2006/math">
        <m:r>
          <w:rPr>
            <w:rFonts w:ascii="Cambria Math" w:hAnsi="Cambria Math"/>
          </w:rPr>
          <m:t xml:space="preserve">50</m:t>
        </m:r>
        <m:r>
          <m:rPr>
            <m:lit/>
            <m:nor/>
          </m:rPr>
          <w:rPr>
            <w:rFonts w:ascii="Cambria Math" w:hAnsi="Cambria Math"/>
          </w:rPr>
          <m:t xml:space="preserve">%</m:t>
        </m:r>
      </m:oMath>
      <w:r>
        <w:rPr/>
        <w:t xml:space="preserve"> вероятности провала всего дела! </w:t>
      </w:r>
    </w:p>
    <w:p>
      <w:pPr>
        <w:pStyle w:val="Textbody"/>
        <w:rPr/>
      </w:pPr>
      <w:r>
        <w:rPr/>
        <w:t xml:space="preserve">Эти наши рассуждения чрезвычайно просты, а закон Мерфи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Style16"/>
        </w:rPr>
        <w:t>теория надёжности</w:t>
      </w:r>
      <w:r>
        <w:rPr/>
        <w:t xml:space="preserve">.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 Мы ещё вернёмся к этой теме, когда будем изучать </w:t>
      </w:r>
      <w:r>
        <w:rPr>
          <w:rStyle w:val="Style15"/>
        </w:rPr>
        <w:t>проклятие режиссёра</w:t>
      </w:r>
      <w:r>
        <w:rPr/>
        <w:t>, заставляющее принтер барахлить именно в день сдачи проекта. Закон Мерфи с учётом времени -- поистине страшная сила!</w:t>
      </w:r>
    </w:p>
    <w:p>
      <w:pPr>
        <w:pStyle w:val="Textbody"/>
        <w:rPr/>
      </w:pPr>
      <w:r>
        <w:rPr/>
        <w:t>В связи с рассуждениями о пересечении множества событий может возникнуть интересный и непростой вопрос. Если вероятность определена как мера, то она должна обладать свойством аддитивности. То есть, мера целого должна быть суммой мер его частей. Но мы рассмотрели вероятность успеха для некоего дела со множеством этапов, и увидели другую картину: вероятность целого оказалась равна произведению вероятностей для его частей, а не суммой. Это соответствет свойству мультипликативности. Так аддитивна вероятность, или мультипликативна?</w:t>
      </w:r>
    </w:p>
    <w:p>
      <w:pPr>
        <w:pStyle w:val="Textbody"/>
        <w:rPr/>
      </w:pPr>
      <w:r>
        <w:rPr/>
        <w:t xml:space="preserve">Тут следует различать </w:t>
      </w:r>
      <w:r>
        <w:rPr>
          <w:rStyle w:val="Style16"/>
        </w:rPr>
        <w:t>вероятностное пространство</w:t>
      </w:r>
      <w:r>
        <w:rP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Pr>
          <w:rStyle w:val="Style16"/>
        </w:rPr>
        <w:t>фазовое пространство</w:t>
      </w:r>
      <w:r>
        <w:rPr>
          <w:i/>
          <w:iCs/>
        </w:rPr>
        <w:t xml:space="preserve"> </w:t>
      </w:r>
      <w:r>
        <w:rPr/>
        <w:t xml:space="preserve">некоторой системы, содержащее все возможные её состояния, в котором вероятность мерой не является.  Чтобы произошло событие, соответствующее попаданию системы в заданное состояние, нужно чтобы все составные части системы </w:t>
      </w:r>
      <w:r>
        <w:rPr>
          <w:i/>
          <w:iCs/>
        </w:rPr>
        <w:t xml:space="preserve">одновременно </w:t>
      </w:r>
      <w:r>
        <w:rPr/>
        <w:t xml:space="preserve">попали в свои конкретные состояния, что является пересечением соответствующих событий, таким образом, вероятности этих событий перемножаются. Однако, превратить вероятность в нармальную аддитивную меру на фазовом пространстве можно и нужно. Мы совершим это превращение, когда будем говорить об </w:t>
      </w:r>
      <w:r>
        <w:rPr>
          <w:rStyle w:val="Style16"/>
        </w:rPr>
        <w:t>энтропии</w:t>
      </w:r>
      <w:r>
        <w:rPr/>
        <w:t xml:space="preserve"> систем и распределений случайных величин в главе «Термодинамика классового неравенства».</w:t>
      </w:r>
    </w:p>
    <w:p>
      <w:pPr>
        <w:pStyle w:val="2"/>
        <w:rPr/>
      </w:pPr>
      <w:r>
        <w:rPr/>
        <w:t>Счастье — это найти друзей с тем же диагнозом, что и у тебя</w:t>
      </w:r>
    </w:p>
    <w:p>
      <w:pPr>
        <w:pStyle w:val="Textbody"/>
        <w:rPr/>
      </w:pPr>
      <w:r>
        <w:rPr/>
        <w:t>Все мы разные, это понятно, а можно ли вообще ставить вопрос о соответствии какой-то норме, не пытаемся ли мы при этом оценивать и сравнивать? Вы спросите, что же в этом плохого? Мы всё время кого-нибудь с кем-нибудь сравниваем, чаще всего, себя с другими, но иногда позволяем оценить и кого-нибудь ещё. Однако, с точки зрения математики, всё не так просто.</w:t>
      </w:r>
    </w:p>
    <w:p>
      <w:pPr>
        <w:pStyle w:val="Textbody"/>
        <w:rPr/>
      </w:pPr>
      <w:r>
        <w:rPr/>
        <w:t xml:space="preserve">Сравнивать -- значит определять </w:t>
      </w:r>
      <w:r>
        <w:rPr>
          <w:rStyle w:val="Style16"/>
        </w:rPr>
        <w:t>отношение порядка</w:t>
      </w:r>
      <w:r>
        <w:rPr/>
        <w:t>. То есть обозначать, что один элемент некоего множества, в каком-то смысле, предшествует другому. Этому мы научились ещё в школе: 2 меньше чем 20, слон слабее кита, договор дороже денег и т. п. Но вот вам ряд вопросов. Что идёт раньше понедельник или вторник? А воскресенье или понедельник? А какое воскресенье -- то, что перед понедельником, или то, что после субботы? А какое число больше: 2+3i или 3+2i? Мы можем назвать по порядку цвета радуги и даже ассоциировать все промежуточные цвета с вещественным числом -- частотой света, но кроме этих цветов существует множество неспектральных цветов, они образуют хорошо знакомый типографам и дизайнерам цветовой круг, можно ли все видимые глазом цвета выстроить по порядку? Эти примеры показывают, что с отношением порядка бывают трудности. Например, на множестве дней недели не работает транзитивность (из того, что за A следует B, а за B следует C не следует, что C всегда следует за A). Попытка ввести понятие больше/меньше на поле комплексных чисел не согласуется с арифметикой этих чисел, а цвета обладают обоими этими недостатками.</w:t>
      </w:r>
    </w:p>
    <w:p>
      <w:pPr>
        <w:pStyle w:val="Textbody"/>
        <w:rPr/>
      </w:pPr>
      <w:r>
        <w:rPr/>
        <w:t xml:space="preserve">И как же можно сравнивать людей, книги, блюда, языки программирования и прочие объекты, имеющие множество параметров, пусть даже условно формализуемых? В принципе, можно, но только сперва договорившись об определениях и введя определённую </w:t>
      </w:r>
      <w:r>
        <w:rPr>
          <w:rStyle w:val="Style16"/>
        </w:rPr>
        <w:t>метрику</w:t>
      </w:r>
      <w:r>
        <w:rPr/>
        <w:t>. Если мера обобщает размеры (длину, объём и т. д.), то метрика – это обобщение понятия «расстояние», которое было введено в математику Морисом Фреше в 1906 году. На некотором пространстве метрикой называется функция, ставящая любым двум элементам этого пространства неотрицательное вещественное число, такая что 1) равенство нулю расстояния между элементами было эквивалентно равенству этих элементов, 2) независящая от порядка  аргументов и 3) удовлетворяющая правилу треугольников. Понятие метрики позволяет вводить аналог расстояния (или степени близости) в совсем неочевидных случаях, например, на бесконечномерном пространстве функций, или между строками текста, либо изображениями, наконец, между распределениями случайных величин.</w:t>
      </w:r>
    </w:p>
    <w:p>
      <w:pPr>
        <w:pStyle w:val="Textbody"/>
        <w:rPr/>
      </w:pPr>
      <w:r>
        <w:rPr/>
        <w:t>В отстутсвии внятной и корректной метрики легко увязнуть в бесконечном, бурном и бессмысленном споре, который в околокомпьютерной среде известен как «холивар» (от английского «</w:t>
      </w:r>
      <w:r>
        <w:rPr>
          <w:lang w:val="en-US"/>
        </w:rPr>
        <w:t>holy</w:t>
      </w:r>
      <w:r>
        <w:rPr/>
        <w:t xml:space="preserve"> </w:t>
      </w:r>
      <w:r>
        <w:rPr>
          <w:lang w:val="en-US"/>
        </w:rPr>
        <w:t>war</w:t>
      </w:r>
      <w:r>
        <w:rPr/>
        <w:t>»  – священная война). Увы, жаркие споры возникают чаще всего уже на этапе выбора метрик, поскольку они сами образуют некое множество, на котором тоже нужно определять отношение порядка: «лучше» – «хуже». Впрочем, можно предложить вполне осмысленный и однозначный  способ рассуждений о сравнимости многомерных объектов, например, людей.</w:t>
      </w:r>
    </w:p>
    <w:p>
      <w:pPr>
        <w:pStyle w:val="Textbody"/>
        <w:rPr/>
      </w:pPr>
      <w:r>
        <w:rPr/>
        <w:t xml:space="preserve">В многомерном пространстве параметров каждый объект может быть представлен вектором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какие-то из них окажутся сонаправлены, или, по крайней мере, близки по направлениям, вот их-то уже вполне можно сравнивать по длине. В тоже время, какие-то векторы будут ортогональны (в геометрическом смысле — перпендикулярны, в более широком — независимы), и соответствующие им люди будут попросту друг другу непонятны: они по ряду параметров окажутся в </w:t>
      </w:r>
      <w:r>
        <w:rPr>
          <w:rStyle w:val="Style16"/>
        </w:rPr>
        <w:t>сопряжённых пространствах</w:t>
      </w:r>
      <w:r>
        <w:rPr/>
        <w:t>, как пресловутые физики и лирики. Нет смысла рассуждать о том, что хороший поэт в чём-либо лучше или хуже талантливого инженера или одарённого природой спортсмена. Единственное, о чём можно судить, это о длине вектора -- о степени одарённости, о расстоянии от среднего.</w:t>
      </w:r>
    </w:p>
    <w:p>
      <w:pPr>
        <w:pStyle w:val="Textbody"/>
        <w:rPr/>
      </w:pPr>
      <w:r>
        <w:rPr/>
        <w:t xml:space="preserve">В этой связи может возникнуть любопытный вопрос: а какая доля случайных векторов в пространстве заданной размерности будет сонаправленной, а какая -- ортогональной? Как много удастся найти единомышленников или, хотя бы, тех с кем можно себя сравнить?  </w:t>
      </w:r>
    </w:p>
    <w:p>
      <w:pPr>
        <w:pStyle w:val="Textbody"/>
        <w:rPr/>
      </w:pPr>
      <w:r>
        <w:rPr/>
        <w:t>В двухмерном мире каждому вектору соответствует одномерное пространство коллинеарных (сонаправленных) и одномерное пространство ортогональных векторов. Если мы рассмотрим "почти" сонаправленные и "почти" ортогональные вектора, то они образуют секторы одинаковой меры (неважно, площади или угла) при одинаковом выборе допустимого отклонения. То есть похожих и непохожих объектов, при рассмотрении двух критериев, будет одинаковое количество.</w:t>
      </w:r>
    </w:p>
    <w:p>
      <w:pPr>
        <w:pStyle w:val="TableofFigures"/>
        <w:rPr/>
      </w:pPr>
      <w:r>
        <w:rPr/>
        <w:drawing>
          <wp:inline distT="0" distB="0" distL="0" distR="0">
            <wp:extent cx="5610860" cy="2465070"/>
            <wp:effectExtent l="0" t="0" r="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tmp\podlost\ToH\work\figures\normal\b9pnlbv9mg0yddvahazor8qo0tu.png"/>
                    <pic:cNvPicPr>
                      <a:picLocks noChangeAspect="1" noChangeArrowheads="1"/>
                    </pic:cNvPicPr>
                  </pic:nvPicPr>
                  <pic:blipFill>
                    <a:blip r:embed="rId6"/>
                    <a:stretch>
                      <a:fillRect/>
                    </a:stretch>
                  </pic:blipFill>
                  <pic:spPr bwMode="auto">
                    <a:xfrm>
                      <a:off x="0" y="0"/>
                      <a:ext cx="5610860" cy="2465070"/>
                    </a:xfrm>
                    <a:prstGeom prst="rect">
                      <a:avLst/>
                    </a:prstGeom>
                  </pic:spPr>
                </pic:pic>
              </a:graphicData>
            </a:graphic>
          </wp:inline>
        </w:drawing>
      </w:r>
    </w:p>
    <w:p>
      <w:pPr>
        <w:pStyle w:val="Style26"/>
        <w:rPr/>
      </w:pPr>
      <w:r>
        <w:rPr/>
        <w:t>Почти коллинеарные и почти ортогональные векторы в двухмерном и трёхмерном пространстве.</w:t>
      </w:r>
    </w:p>
    <w:p>
      <w:pPr>
        <w:pStyle w:val="Textbody"/>
        <w:rPr/>
      </w:pPr>
      <w:r>
        <w:rPr/>
        <w:t>В трёхмерном мире картина поменяется. Сонаправленные векторы всё также образуют одномерное пространство, а вот ортогональные уже заполняют плоскость -- двухмерное пространство. С точки зрения ортогональных векторов, мера сонаправленных уже равна нулю, но давайте всё же позволим векторам немного оклоноиться от курса. Фиксируя длину векторов R и допуская  небольшое отклонение от идеальных направлений на угол \Delta\varphi, можно число почти сонаправленных векторов сопоставить с площадью круговых областей вокруг полюсов 2\pi(R \Delta\varphi)^2, а число почти ортогональных векторов -- с площадью полосы вокруг экватора: 4\pi R^2\Delta\varphi. Их отношение 2/\Delta\varphi при уменьшении отклонения \Delta\varphi растёт неограниченно.</w:t>
      </w:r>
    </w:p>
    <w:p>
      <w:pPr>
        <w:pStyle w:val="Textbody"/>
        <w:rPr/>
      </w:pPr>
      <w:r>
        <w:rPr/>
        <w:t>В четырёхмерном мире ортогональные векторы образуют уже трёхмерное пространство, тогда как сонаправленные векторы всё ещё лежат в одномерном, и разница в их количестве растёт уже пропорционально квадрату отклонения от идеала. Но на этом этапе лучше обратиться к теории вероятностей и выяснить каковы шансы получить ортогональные или сонаправленные векторы, взяв наугад два вектора из пространства, размерности m? Об этом нам расскажет распределение углов между случайными векторами. К счастью, рассуждая о площадях многомерных сфер, как это сделано в работе … распределение можно вычислить аналитически и представить в конечной форме:</w:t>
      </w:r>
    </w:p>
    <w:p>
      <w:pPr>
        <w:pStyle w:val="Textbody"/>
        <w:rPr>
          <w:rFonts w:ascii="Cambria Math" w:hAnsi="Cambria Math"/>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φ</m:t>
            </m:r>
          </m:e>
        </m:d>
        <m:r>
          <w:rPr>
            <w:rFonts w:ascii="Cambria Math" w:hAnsi="Cambria Math"/>
          </w:rPr>
          <m:t xml:space="preserve">=</m:t>
        </m:r>
        <m:f>
          <m:num>
            <m:r>
              <w:rPr>
                <w:rFonts w:ascii="Cambria Math" w:hAnsi="Cambria Math"/>
              </w:rPr>
              <m:t xml:space="preserve">Γ</m:t>
            </m:r>
            <m:d>
              <m:dPr>
                <m:begChr m:val="("/>
                <m:endChr m:val=")"/>
              </m:dPr>
              <m:e>
                <m:f>
                  <m:num>
                    <m:r>
                      <w:rPr>
                        <w:rFonts w:ascii="Cambria Math" w:hAnsi="Cambria Math"/>
                      </w:rPr>
                      <m:t xml:space="preserve">m</m:t>
                    </m:r>
                  </m:num>
                  <m:den>
                    <m:r>
                      <w:rPr>
                        <w:rFonts w:ascii="Cambria Math" w:hAnsi="Cambria Math"/>
                      </w:rPr>
                      <m:t xml:space="preserve">2</m:t>
                    </m:r>
                  </m:den>
                </m:f>
              </m:e>
            </m:d>
          </m:num>
          <m:den>
            <m:rad>
              <m:radPr>
                <m:degHide m:val="1"/>
              </m:radPr>
              <m:deg/>
              <m:e>
                <m:r>
                  <w:rPr>
                    <w:rFonts w:ascii="Cambria Math" w:hAnsi="Cambria Math"/>
                  </w:rPr>
                  <m:t xml:space="preserve">π</m:t>
                </m:r>
              </m:e>
            </m:rad>
            <m:r>
              <w:rPr>
                <w:rFonts w:ascii="Cambria Math" w:hAnsi="Cambria Math"/>
              </w:rPr>
              <m:t xml:space="preserve">Γ</m:t>
            </m:r>
            <m:d>
              <m:dPr>
                <m:begChr m:val="("/>
                <m:endChr m:val=")"/>
              </m:dPr>
              <m:e>
                <m:f>
                  <m:num>
                    <m:r>
                      <w:rPr>
                        <w:rFonts w:ascii="Cambria Math" w:hAnsi="Cambria Math"/>
                      </w:rPr>
                      <m:t xml:space="preserve">m</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den>
        </m:f>
        <m:sSup>
          <m:e>
            <m:r>
              <w:rPr>
                <w:rFonts w:ascii="Cambria Math" w:hAnsi="Cambria Math"/>
              </w:rPr>
              <m:t xml:space="preserve">sin</m:t>
            </m:r>
          </m:e>
          <m:sup>
            <m:r>
              <w:rPr>
                <w:rFonts w:ascii="Cambria Math" w:hAnsi="Cambria Math"/>
              </w:rPr>
              <m:t xml:space="preserve">m</m:t>
            </m:r>
            <m:r>
              <w:rPr>
                <w:rFonts w:ascii="Cambria Math" w:hAnsi="Cambria Math"/>
              </w:rPr>
              <m:t xml:space="preserve">−</m:t>
            </m:r>
            <m:r>
              <w:rPr>
                <w:rFonts w:ascii="Cambria Math" w:hAnsi="Cambria Math"/>
              </w:rPr>
              <m:t xml:space="preserve">2</m:t>
            </m:r>
          </m:sup>
        </m:sSup>
        <m:r>
          <w:rPr>
            <w:rFonts w:ascii="Cambria Math" w:hAnsi="Cambria Math"/>
          </w:rPr>
          <m:t xml:space="preserve">φ</m:t>
        </m:r>
        <m:r>
          <w:rPr>
            <w:rFonts w:ascii="Cambria Math" w:hAnsi="Cambria Math"/>
          </w:rPr>
          <m:t xml:space="preserve">,</m:t>
        </m:r>
      </m:oMath>
    </w:p>
    <w:p>
      <w:pPr>
        <w:pStyle w:val="Textbody"/>
        <w:rPr/>
      </w:pPr>
      <w:r>
        <w:rPr/>
        <w:t xml:space="preserve">Здесь </w:t>
      </w:r>
      <w:r>
        <w:rPr/>
      </w:r>
      <m:oMath xmlns:m="http://schemas.openxmlformats.org/officeDocument/2006/math">
        <m:r>
          <w:rPr>
            <w:rFonts w:ascii="Cambria Math" w:hAnsi="Cambria Math"/>
          </w:rPr>
          <m:t xml:space="preserve">Γ</m:t>
        </m:r>
        <m:d>
          <m:dPr>
            <m:begChr m:val="("/>
            <m:endChr m:val=")"/>
          </m:dPr>
          <m:e>
            <m:r>
              <w:rPr>
                <w:rFonts w:ascii="Cambria Math" w:hAnsi="Cambria Math"/>
              </w:rPr>
              <m:t xml:space="preserve">x</m:t>
            </m:r>
          </m:e>
        </m:d>
      </m:oMath>
      <w:r>
        <w:rPr/>
        <w:t xml:space="preserve"> -- это гамма-функция, обобщение факториала на вещественные (и даже комплексные) числа.</w:t>
      </w:r>
    </w:p>
    <w:p>
      <w:pPr>
        <w:pStyle w:val="TableofFigures"/>
        <w:rPr/>
      </w:pPr>
      <w:r>
        <w:rPr/>
        <w:drawing>
          <wp:inline distT="0" distB="0" distL="0" distR="0">
            <wp:extent cx="4440555" cy="3405505"/>
            <wp:effectExtent l="0" t="0" r="0" b="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C:\tmp\podlost\ToH\work\figures\normal\vc4nng-copgsdiyjikvlqqrzbce.jpeg"/>
                    <pic:cNvPicPr>
                      <a:picLocks noChangeAspect="1" noChangeArrowheads="1"/>
                    </pic:cNvPicPr>
                  </pic:nvPicPr>
                  <pic:blipFill>
                    <a:blip r:embed="rId7"/>
                    <a:stretch>
                      <a:fillRect/>
                    </a:stretch>
                  </pic:blipFill>
                  <pic:spPr bwMode="auto">
                    <a:xfrm>
                      <a:off x="0" y="0"/>
                      <a:ext cx="4440555" cy="3405505"/>
                    </a:xfrm>
                    <a:prstGeom prst="rect">
                      <a:avLst/>
                    </a:prstGeom>
                  </pic:spPr>
                </pic:pic>
              </a:graphicData>
            </a:graphic>
          </wp:inline>
        </w:drawing>
      </w:r>
    </w:p>
    <w:p>
      <w:pPr>
        <w:pStyle w:val="Style26"/>
        <w:jc w:val="center"/>
        <w:rPr/>
      </w:pPr>
      <w:r>
        <w:rPr/>
        <w:t xml:space="preserve">Распределения углов случайных векторов в пространствах </w:t>
        <w:br/>
        <w:t>различных размерностей.</w:t>
      </w:r>
    </w:p>
    <w:p>
      <w:pPr>
        <w:pStyle w:val="Textbody"/>
        <w:rPr/>
      </w:pPr>
      <w:r>
        <w:rPr/>
        <w:t xml:space="preserve">Для двумерного пространства углы распределяются равномерно, для трёхмерного пропорционально синусоидальной функции. Свойства синуса приводят к тому, что плотность вероятности в нуле для m &gt; 2 в точности равна нулю. Это согласуется с нашими рассуждениями о том, что сонаправленные вектора образуют множества нулевой меры.  Для всех размерностей выше двух, мода распределения приходится на 90 градусов и доля взаимно ортогональных векторов увеличивается, по мере увеличения числа параметров. Самое же главное наблюдение -- сонаправленных векторов (имеющих угол около 0 или 180 градусов практически не остаётся при достаточно высокой размерности пространства. </w:t>
      </w:r>
      <w:r>
        <w:rPr>
          <w:b w:val="false"/>
          <w:bCs w:val="false"/>
        </w:rPr>
        <w:t xml:space="preserve">Если считать более или менее похожими (сонаправленными, сравнимыми) векторы, имеющие угол мене 30 градусов, а это вполне малый угол: </w:t>
      </w:r>
      <w:r>
        <w:rPr>
          <w:b w:val="false"/>
          <w:bCs w:val="false"/>
        </w:rPr>
      </w:r>
      <m:oMath xmlns:m="http://schemas.openxmlformats.org/officeDocument/2006/math">
        <m:r>
          <w:rPr>
            <w:rFonts w:ascii="Cambria Math" w:hAnsi="Cambria Math"/>
          </w:rPr>
          <m:t xml:space="preserve">30</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6</m:t>
            </m:r>
          </m:den>
        </m:f>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sin</m:t>
        </m:r>
        <m:r>
          <w:rPr>
            <w:rFonts w:ascii="Cambria Math" w:hAnsi="Cambria Math"/>
          </w:rPr>
          <m:t xml:space="preserve">30</m:t>
        </m:r>
        <m:r>
          <w:rPr>
            <w:rFonts w:ascii="Cambria Math" w:hAnsi="Cambria Math"/>
          </w:rPr>
          <m:t xml:space="preserve">°</m:t>
        </m:r>
      </m:oMath>
      <w:r>
        <w:rPr>
          <w:b w:val="false"/>
          <w:bCs w:val="false"/>
        </w:rPr>
        <w:t>, то при увеличении размерности пространства на единицу, доля сравнимых векторов будет уменьшаться практически вдвое. При этом, при сравнении по двум критериям, похожей на какой-то выделенный вектор, окажется только треть всех случайных векторов. Таким образом, мы приходим к векторной формулировке закона арбузной корки:</w:t>
      </w:r>
    </w:p>
    <w:p>
      <w:pPr>
        <w:pStyle w:val="Style25"/>
        <w:rPr/>
      </w:pPr>
      <w:r>
        <w:rPr/>
        <w:t>В пространствах высокой размерности почти все вектора ортогональны друг другу.</w:t>
      </w:r>
    </w:p>
    <w:p>
      <w:pPr>
        <w:pStyle w:val="Textbody"/>
        <w:ind w:hanging="0"/>
        <w:rPr/>
      </w:pPr>
      <w:r>
        <w:rPr/>
        <w:t>или эквивалентно: на вкус и цвет товарищей нет.</w:t>
      </w:r>
    </w:p>
    <w:p>
      <w:pPr>
        <w:pStyle w:val="Textbody"/>
        <w:ind w:hanging="0"/>
        <w:rPr/>
      </w:pPr>
      <w:r>
        <w:rPr/>
        <w:tab/>
        <w:t xml:space="preserve">По мере повышении размерности распределение углов становится похожим на нормальное. Но это не оно, несмотря на характерную колоколообразную форму. Нормальное распределение определено для всей вещественной числовой оси, в нашем же случае значение угла зациклено в переделах от 0 до 180. Работая с такими величинами приходится быть аккуратными даже выполняя простые рассчёты. Скажем, чему равно среднее значение для двух углов: 30 и 350? Простое сложение даст ответ 190, тогда как  чертёж покажет, что правильным ответом будет 10. Распределения вероятностей на </w:t>
      </w:r>
      <w:r>
        <w:rPr>
          <w:b w:val="false"/>
          <w:bCs w:val="false"/>
        </w:rPr>
        <w:t>окружности</w:t>
      </w:r>
      <w:r>
        <w:rPr/>
        <w:t xml:space="preserve"> зацикливаются и становятся своеобразными.  </w:t>
      </w:r>
    </w:p>
    <w:p>
      <w:pPr>
        <w:pStyle w:val="Textbody"/>
        <w:ind w:hanging="0"/>
        <w:jc w:val="center"/>
        <w:rPr/>
      </w:pPr>
      <w:r>
        <w:rPr/>
        <w:drawing>
          <wp:inline distT="0" distB="0" distL="0" distR="0">
            <wp:extent cx="2693670" cy="2501900"/>
            <wp:effectExtent l="0" t="0" r="0" b="0"/>
            <wp:docPr id="1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descr=""/>
                    <pic:cNvPicPr>
                      <a:picLocks noChangeAspect="1" noChangeArrowheads="1"/>
                    </pic:cNvPicPr>
                  </pic:nvPicPr>
                  <pic:blipFill>
                    <a:blip r:embed="rId8"/>
                    <a:stretch>
                      <a:fillRect/>
                    </a:stretch>
                  </pic:blipFill>
                  <pic:spPr bwMode="auto">
                    <a:xfrm>
                      <a:off x="0" y="0"/>
                      <a:ext cx="2693670" cy="2501900"/>
                    </a:xfrm>
                    <a:prstGeom prst="rect">
                      <a:avLst/>
                    </a:prstGeom>
                  </pic:spPr>
                </pic:pic>
              </a:graphicData>
            </a:graphic>
          </wp:inline>
        </w:drawing>
      </w:r>
      <w:r>
        <w:rPr/>
        <w:t xml:space="preserve">   </w:t>
      </w:r>
      <w:r>
        <w:rPr/>
        <w:drawing>
          <wp:inline distT="0" distB="0" distL="0" distR="0">
            <wp:extent cx="2712085" cy="2518410"/>
            <wp:effectExtent l="0" t="0" r="0" b="0"/>
            <wp:docPr id="1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descr=""/>
                    <pic:cNvPicPr>
                      <a:picLocks noChangeAspect="1" noChangeArrowheads="1"/>
                    </pic:cNvPicPr>
                  </pic:nvPicPr>
                  <pic:blipFill>
                    <a:blip r:embed="rId9"/>
                    <a:stretch>
                      <a:fillRect/>
                    </a:stretch>
                  </pic:blipFill>
                  <pic:spPr bwMode="auto">
                    <a:xfrm>
                      <a:off x="0" y="0"/>
                      <a:ext cx="2712085" cy="2518410"/>
                    </a:xfrm>
                    <a:prstGeom prst="rect">
                      <a:avLst/>
                    </a:prstGeom>
                  </pic:spPr>
                </pic:pic>
              </a:graphicData>
            </a:graphic>
          </wp:inline>
        </w:drawing>
      </w:r>
    </w:p>
    <w:p>
      <w:pPr>
        <w:pStyle w:val="Textbody"/>
        <w:ind w:hanging="0"/>
        <w:jc w:val="center"/>
        <w:rPr/>
      </w:pPr>
      <w:r>
        <w:rPr/>
        <w:drawing>
          <wp:inline distT="0" distB="0" distL="0" distR="0">
            <wp:extent cx="2647950" cy="2459355"/>
            <wp:effectExtent l="0" t="0" r="0" b="0"/>
            <wp:docPr id="1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descr=""/>
                    <pic:cNvPicPr>
                      <a:picLocks noChangeAspect="1" noChangeArrowheads="1"/>
                    </pic:cNvPicPr>
                  </pic:nvPicPr>
                  <pic:blipFill>
                    <a:blip r:embed="rId10"/>
                    <a:stretch>
                      <a:fillRect/>
                    </a:stretch>
                  </pic:blipFill>
                  <pic:spPr bwMode="auto">
                    <a:xfrm>
                      <a:off x="0" y="0"/>
                      <a:ext cx="2647950" cy="2459355"/>
                    </a:xfrm>
                    <a:prstGeom prst="rect">
                      <a:avLst/>
                    </a:prstGeom>
                  </pic:spPr>
                </pic:pic>
              </a:graphicData>
            </a:graphic>
          </wp:inline>
        </w:drawing>
      </w:r>
    </w:p>
    <w:p>
      <w:pPr>
        <w:pStyle w:val="Textbody"/>
        <w:ind w:hanging="0"/>
        <w:jc w:val="center"/>
        <w:rPr/>
      </w:pPr>
      <w:r>
        <w:rPr/>
        <w:t>Построение циклических распределений экспоненциального, нормального и Коши. Функции плотности для обыкновенных (линейных) распределений показаны синим.</w:t>
      </w:r>
    </w:p>
    <w:p>
      <w:pPr>
        <w:pStyle w:val="Textbody"/>
        <w:ind w:hanging="0"/>
        <w:rPr/>
      </w:pPr>
      <w:r>
        <w:rPr/>
      </w:r>
    </w:p>
    <w:p>
      <w:pPr>
        <w:pStyle w:val="Textbody"/>
        <w:ind w:hanging="0"/>
        <w:rPr/>
      </w:pPr>
      <w:r>
        <w:rPr/>
        <w:t xml:space="preserve">На рисунке показано как можно построить аналоги некоторых распределении на </w:t>
      </w:r>
      <w:r>
        <w:rPr>
          <w:b w:val="false"/>
          <w:bCs w:val="false"/>
        </w:rPr>
        <w:t>окружности</w:t>
      </w:r>
      <w:r>
        <w:rPr/>
        <w:t xml:space="preserve">. Числовая ось как бы наматывается на окружность, при этом каждый слой получающейся спирали суммируется и в результате мы получаем циклический аналог распределения, который имеет единичную площадь. Например, циклическое экспоненциальное распределение описывает </w:t>
      </w:r>
      <w:r>
        <w:rPr>
          <w:i/>
          <w:iCs/>
        </w:rPr>
        <w:t>случайное положительное отклонение от заданного угла с заданным средним значением</w:t>
      </w:r>
      <w:r>
        <w:rPr/>
        <w:t xml:space="preserve">. С его помощью можно описать </w:t>
      </w:r>
      <w:r>
        <w:rPr>
          <w:i/>
          <w:iCs/>
        </w:rPr>
        <w:t>время суток</w:t>
      </w:r>
      <w:r>
        <w:rPr/>
        <w:t xml:space="preserve">, в которое ожидается появление пуассоновского события. Циклическое нормальное распределение можно использовать для описания погрешностей в измерении углов, хотя если быть точным, они будут подчиняться другому распределению, но об этом чуть позже. </w:t>
      </w:r>
      <w:r>
        <w:rPr>
          <w:b w:val="false"/>
          <w:bCs w:val="false"/>
        </w:rPr>
        <w:t xml:space="preserve">Циклические распределения, </w:t>
      </w:r>
      <w:r>
        <w:rPr>
          <w:b w:val="false"/>
          <w:bCs w:val="false"/>
        </w:rPr>
        <w:t xml:space="preserve">хоть и выглядят несколько однообразно, </w:t>
      </w:r>
      <w:r>
        <w:rPr>
          <w:b w:val="false"/>
          <w:bCs w:val="false"/>
        </w:rPr>
        <w:t>становятся важны при анализе данных на земном шаре, если их дисперсии сравнимы с длинной экватора, а это широкий класс задач геофизики, климатологии и других наук о Земле.</w:t>
      </w:r>
    </w:p>
    <w:p>
      <w:pPr>
        <w:pStyle w:val="Textbody"/>
        <w:ind w:hanging="0"/>
        <w:rPr/>
      </w:pPr>
      <w:r>
        <w:rPr/>
        <w:t xml:space="preserve">  </w:t>
      </w:r>
      <w:r>
        <w:rPr/>
        <w:t>Любопытно, что при зацикливании свойства распределения могут поменяться радикально. Например, относительная погрешность при измерении нулевой величины описывается распределением Коши. Оно примечательно тем, что её функция плотности вероятности имеет бесконечную площадь под кривой, так что невозможно посчитать значение среднего и дисперсии для этого распределения, они, в отличие от моды и медианы, для распределения Коши попросту неопределены. Однако круговой аналог этого распределения ведёт себя хорошо, интегрируется и имеет вычислимые значения среднего и дисперсии. Это распределение встречается, например, в физике, при анализе дифракци</w:t>
      </w:r>
      <w:r>
        <w:rPr/>
        <w:t>и</w:t>
      </w:r>
      <w:r>
        <w:rPr/>
        <w:t>.</w:t>
      </w:r>
    </w:p>
    <w:p>
      <w:pPr>
        <w:pStyle w:val="Textbody"/>
        <w:rPr/>
      </w:pPr>
      <w:r>
        <w:rPr/>
        <w:t xml:space="preserve">Меняет свои свойства при зацикливании и нормальное (гауссово) распределение. Его циклический аналог уже не будет устойчивым и не к нему будут стремиться суммы случайных величин, как следует из Центральной предельной теоремы. На </w:t>
      </w:r>
      <w:r>
        <w:rPr>
          <w:b w:val="false"/>
          <w:bCs w:val="false"/>
        </w:rPr>
        <w:t>окружности</w:t>
      </w:r>
      <w:r>
        <w:rPr/>
        <w:t xml:space="preserve"> эту роль играет распределение фон Мизеса </w:t>
      </w:r>
      <w:r>
        <w:rPr/>
        <w:t>с такой</w:t>
      </w:r>
      <w:r>
        <w:rPr>
          <w:b w:val="false"/>
          <w:bCs w:val="false"/>
        </w:rPr>
        <w:t xml:space="preserve"> функци</w:t>
      </w:r>
      <w:r>
        <w:rPr>
          <w:b w:val="false"/>
          <w:bCs w:val="false"/>
        </w:rPr>
        <w:t>ей</w:t>
      </w:r>
      <w:r>
        <w:rPr>
          <w:b w:val="false"/>
          <w:bCs w:val="false"/>
        </w:rPr>
        <w:t xml:space="preserve"> плотности вероятности:</w:t>
      </w:r>
    </w:p>
    <w:p>
      <w:pPr>
        <w:pStyle w:val="Textbody"/>
        <w:rPr/>
      </w:pPr>
      <w:r>
        <w:rPr>
          <w:b w:val="false"/>
          <w:bCs w:val="false"/>
        </w:rPr>
        <w:t xml:space="preserve">p(x) = e^( \kappa cos(x - \mu))/(2\pi\I_0(1/\kappa)), </w:t>
      </w:r>
    </w:p>
    <w:p>
      <w:pPr>
        <w:pStyle w:val="Textbody"/>
        <w:ind w:hanging="0"/>
        <w:rPr/>
      </w:pPr>
      <w:r>
        <w:rPr>
          <w:b w:val="false"/>
          <w:bCs w:val="false"/>
        </w:rPr>
        <w:t>здесь I_0 – модифицированная функция Бесселя, одна из целого семейства специальных функций. Функции Бесселя появляются, если в задаче есть осевая симметрия. Например, с их помощью описывается профиль кругов</w:t>
      </w:r>
      <w:r>
        <w:rPr>
          <w:b w:val="false"/>
          <w:bCs w:val="false"/>
        </w:rPr>
        <w:t>ых волн</w:t>
      </w:r>
      <w:r>
        <w:rPr>
          <w:b w:val="false"/>
          <w:bCs w:val="false"/>
        </w:rPr>
        <w:t>, разбегающихся по воде от упавшей капли.</w:t>
      </w:r>
    </w:p>
    <w:p>
      <w:pPr>
        <w:pStyle w:val="Textbody"/>
        <w:rPr/>
      </w:pPr>
      <w:r>
        <w:rPr>
          <w:b w:val="false"/>
          <w:bCs w:val="false"/>
        </w:rPr>
        <w:t xml:space="preserve">Тут </w:t>
      </w:r>
      <w:r>
        <w:rPr>
          <w:b w:val="false"/>
          <w:bCs w:val="false"/>
        </w:rPr>
        <w:t xml:space="preserve">мы встречаемся с Центральной предельной теоремой, но в обобщённом виде: оно является наиболее ожидаемым распределением для случайной величины, определённой на </w:t>
      </w:r>
      <w:bookmarkStart w:id="1" w:name="__DdeLink__16471_517067186"/>
      <w:r>
        <w:rPr>
          <w:b w:val="false"/>
          <w:bCs w:val="false"/>
        </w:rPr>
        <w:t>окружности</w:t>
      </w:r>
      <w:bookmarkEnd w:id="1"/>
      <w:r>
        <w:rPr>
          <w:b w:val="false"/>
          <w:bCs w:val="false"/>
        </w:rPr>
        <w:t>, если известны её среднее значение и стандартное отклонение. Впрочем, когда дисперсия данных мала и x незначительно отклоняется от среднего значения \mu, косинус можно разложить в степенной ряд, в котором лидирующую роль играет квадратичный член. Таким образом, когда влияние цикличности становится незначительным, то и распределение фон Мизеса становится похожим на «нормальное» гауссово распределение. Никуда от него не денешься!</w:t>
      </w:r>
    </w:p>
    <w:p>
      <w:pPr>
        <w:pStyle w:val="Textbody"/>
        <w:rPr/>
      </w:pPr>
      <w:r>
        <w:rPr>
          <w:b w:val="false"/>
          <w:bCs w:val="false"/>
        </w:rPr>
        <w:t xml:space="preserve">Я сказал «похожим на нормальное», имея в виду, что распределения случайных величин тоже образуют метрическое пространство. Их можно сравнивать между собой, выбирать </w:t>
      </w:r>
      <w:r>
        <w:rPr>
          <w:b w:val="false"/>
          <w:bCs w:val="false"/>
        </w:rPr>
        <w:t>похожие и</w:t>
      </w:r>
      <w:r>
        <w:rPr>
          <w:b w:val="false"/>
          <w:bCs w:val="false"/>
        </w:rPr>
        <w:t xml:space="preserve"> «наилучш</w:t>
      </w:r>
      <w:r>
        <w:rPr>
          <w:b w:val="false"/>
          <w:bCs w:val="false"/>
        </w:rPr>
        <w:t>и</w:t>
      </w:r>
      <w:r>
        <w:rPr>
          <w:b w:val="false"/>
          <w:bCs w:val="false"/>
        </w:rPr>
        <w:t>е», причём, в различных смыслах. И любопытное совпадение; среди них тоже есть некое «нормальное» распределение, и его, если вспомнить Центральную предельную теорему, можно рассматривать как результат усреднения множества случайных величин. Однако, в отличие от мифического «среднего пилота» или усреднённой «идеальной женщины», случайные величины, подчиняющиеся нормальному распределению, встречаются повсеместно.</w:t>
      </w:r>
    </w:p>
    <w:p>
      <w:pPr>
        <w:pStyle w:val="Textbody"/>
        <w:rPr/>
      </w:pPr>
      <w:r>
        <w:rPr/>
      </w:r>
    </w:p>
    <w:p>
      <w:pPr>
        <w:pStyle w:val="Textbody"/>
        <w:rPr/>
      </w:pPr>
      <w:r>
        <w:rPr/>
        <w:t>* * *</w:t>
      </w:r>
    </w:p>
    <w:p>
      <w:pPr>
        <w:pStyle w:val="Textbody"/>
        <w:rPr/>
      </w:pPr>
      <w:r>
        <w:rPr/>
      </w:r>
    </w:p>
    <w:p>
      <w:pPr>
        <w:pStyle w:val="Textbody"/>
        <w:rPr/>
      </w:pPr>
      <w:r>
        <w:rP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поисках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восприятие мира.</w:t>
      </w:r>
    </w:p>
    <w:p>
      <w:pPr>
        <w:pStyle w:val="Textbody"/>
        <w:rPr/>
      </w:pPr>
      <w:r>
        <w:rPr/>
        <w:t>Мудрецы правы: все мы уникальны и в своей уникальности абсолютно одинаковы.</w:t>
      </w:r>
    </w:p>
    <w:sectPr>
      <w:type w:val="nextPage"/>
      <w:pgSz w:w="11906" w:h="16838"/>
      <w:pgMar w:left="1701" w:right="850"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Cambria">
    <w:charset w:val="01"/>
    <w:family w:val="roman"/>
    <w:pitch w:val="variable"/>
  </w:font>
  <w:font w:name="Calibri">
    <w:charset w:val="01"/>
    <w:family w:val="swiss"/>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mbria Math">
    <w:charset w:val="01"/>
    <w:family w:val="roman"/>
    <w:pitch w:val="variable"/>
  </w:font>
</w:fonts>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iPriority="0"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textAlignment w:val="baseline"/>
    </w:pPr>
    <w:rPr>
      <w:rFonts w:ascii="Calibri" w:hAnsi="Calibri" w:eastAsia="Calibri" w:cs="DejaVu Sans"/>
      <w:color w:val="00000A"/>
      <w:sz w:val="24"/>
      <w:szCs w:val="22"/>
      <w:lang w:val="ru-RU" w:eastAsia="en-US" w:bidi="ar-SA"/>
    </w:rPr>
  </w:style>
  <w:style w:type="paragraph" w:styleId="1">
    <w:name w:val="Heading 1"/>
    <w:basedOn w:val="Style19"/>
    <w:qFormat/>
    <w:pPr>
      <w:keepNext/>
      <w:keepLines/>
      <w:widowControl w:val="false"/>
      <w:bidi w:val="0"/>
      <w:spacing w:before="600" w:after="480"/>
      <w:ind w:hanging="0"/>
      <w:jc w:val="center"/>
      <w:outlineLvl w:val="0"/>
    </w:pPr>
    <w:rPr>
      <w:rFonts w:ascii="Cambria" w:hAnsi="Cambria" w:eastAsia="Calibri" w:cs="DejaVu Sans"/>
      <w:b/>
      <w:bCs/>
      <w:color w:val="00000A"/>
      <w:sz w:val="40"/>
      <w:szCs w:val="28"/>
      <w:lang w:val="ru-RU" w:eastAsia="en-US" w:bidi="ar-SA"/>
    </w:rPr>
  </w:style>
  <w:style w:type="paragraph" w:styleId="2">
    <w:name w:val="Heading 2"/>
    <w:basedOn w:val="Normal"/>
    <w:link w:val="20"/>
    <w:uiPriority w:val="9"/>
    <w:unhideWhenUsed/>
    <w:qFormat/>
    <w:rsid w:val="006a781b"/>
    <w:pPr>
      <w:keepNext/>
      <w:keepLines/>
      <w:widowControl/>
      <w:suppressAutoHyphens w:val="false"/>
      <w:spacing w:lineRule="auto" w:line="276" w:before="200" w:after="0"/>
      <w:ind w:firstLine="397"/>
      <w:jc w:val="both"/>
      <w:textAlignment w:val="auto"/>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Style19"/>
    <w:qFormat/>
    <w:pPr>
      <w:widowControl w:val="false"/>
      <w:bidi w:val="0"/>
      <w:spacing w:lineRule="auto" w:line="240" w:before="280" w:after="280"/>
      <w:jc w:val="left"/>
      <w:outlineLvl w:val="2"/>
    </w:pPr>
    <w:rPr>
      <w:rFonts w:ascii="Calibri" w:hAnsi="Calibri" w:eastAsia="Times New Roman" w:cs="Times New Roman"/>
      <w:b/>
      <w:bCs/>
      <w:color w:val="00000A"/>
      <w:sz w:val="27"/>
      <w:szCs w:val="27"/>
      <w:lang w:val="ru-RU" w:eastAsia="ru-RU" w:bidi="ar-SA"/>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qFormat/>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Pr/>
  </w:style>
  <w:style w:type="character" w:styleId="Internetlink" w:customStyle="1">
    <w:name w:val="Internet link"/>
    <w:basedOn w:val="DefaultParagraphFont"/>
    <w:qFormat/>
    <w:rPr>
      <w:color w:val="0000FF"/>
      <w:u w:val="single"/>
    </w:rPr>
  </w:style>
  <w:style w:type="character" w:styleId="Style11" w:customStyle="1">
    <w:name w:val="Текст выноски Знак"/>
    <w:basedOn w:val="DefaultParagraphFont"/>
    <w:qFormat/>
    <w:rPr>
      <w:rFonts w:ascii="Tahoma" w:hAnsi="Tahoma" w:cs="Tahoma"/>
      <w:sz w:val="16"/>
      <w:szCs w:val="16"/>
    </w:rPr>
  </w:style>
  <w:style w:type="character" w:styleId="Style12" w:customStyle="1">
    <w:name w:val="Подзаголовок Знак"/>
    <w:basedOn w:val="DefaultParagraphFont"/>
    <w:qFormat/>
    <w:rPr>
      <w:rFonts w:ascii="Cambria" w:hAnsi="Cambria" w:eastAsia="Calibri" w:cs="DejaVu Sans"/>
      <w:i/>
      <w:iCs/>
      <w:color w:val="4F81BD"/>
      <w:spacing w:val="15"/>
      <w:sz w:val="24"/>
      <w:szCs w:val="24"/>
    </w:rPr>
  </w:style>
  <w:style w:type="character" w:styleId="21" w:customStyle="1">
    <w:name w:val="Заголовок 2 Знак"/>
    <w:basedOn w:val="DefaultParagraphFont"/>
    <w:link w:val="2"/>
    <w:uiPriority w:val="9"/>
    <w:qFormat/>
    <w:rsid w:val="006a781b"/>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qFormat/>
    <w:rPr>
      <w:rFonts w:ascii="Cambria" w:hAnsi="Cambria" w:eastAsia="Calibri" w:cs="DejaVu Sans"/>
      <w:b/>
      <w:bCs/>
      <w:sz w:val="40"/>
      <w:szCs w:val="28"/>
    </w:rPr>
  </w:style>
  <w:style w:type="character" w:styleId="PlaceholderText">
    <w:name w:val="Placeholder Text"/>
    <w:basedOn w:val="DefaultParagraphFont"/>
    <w:qFormat/>
    <w:rPr>
      <w:color w:val="808080"/>
    </w:rPr>
  </w:style>
  <w:style w:type="character" w:styleId="Style13" w:customStyle="1">
    <w:name w:val="Текст концевой сноски Знак"/>
    <w:basedOn w:val="DefaultParagraphFont"/>
    <w:qFormat/>
    <w:rPr>
      <w:rFonts w:ascii="Times New Roman" w:hAnsi="Times New Roman"/>
      <w:szCs w:val="20"/>
    </w:rPr>
  </w:style>
  <w:style w:type="character" w:styleId="Endnotereference">
    <w:name w:val="endnote reference"/>
    <w:basedOn w:val="DefaultParagraphFont"/>
    <w:qFormat/>
    <w:rPr>
      <w:vertAlign w:val="superscript"/>
    </w:rPr>
  </w:style>
  <w:style w:type="character" w:styleId="Style14" w:customStyle="1">
    <w:name w:val="Текст сноски Знак"/>
    <w:basedOn w:val="DefaultParagraphFont"/>
    <w:qFormat/>
    <w:rPr>
      <w:rFonts w:ascii="Times New Roman" w:hAnsi="Times New Roman"/>
      <w:szCs w:val="20"/>
    </w:rPr>
  </w:style>
  <w:style w:type="character" w:styleId="Footnotereference">
    <w:name w:val="footnote reference"/>
    <w:basedOn w:val="DefaultParagraphFont"/>
    <w:qFormat/>
    <w:rPr>
      <w:vertAlign w:val="superscript"/>
    </w:rPr>
  </w:style>
  <w:style w:type="character" w:styleId="Style15">
    <w:name w:val="Выделение"/>
    <w:basedOn w:val="DefaultParagraphFont"/>
    <w:qFormat/>
    <w:rPr>
      <w:i/>
      <w:iCs/>
    </w:rPr>
  </w:style>
  <w:style w:type="character" w:styleId="IntenseEmphasis">
    <w:name w:val="Intense Emphasis"/>
    <w:basedOn w:val="DefaultParagraphFont"/>
    <w:qFormat/>
    <w:rPr>
      <w:b/>
      <w:bCs/>
      <w:i w:val="false"/>
      <w:iCs/>
      <w:color w:val="0F243E"/>
    </w:rPr>
  </w:style>
  <w:style w:type="character" w:styleId="Style16" w:customStyle="1">
    <w:name w:val="термин"/>
    <w:basedOn w:val="DefaultParagraphFont"/>
    <w:uiPriority w:val="1"/>
    <w:qFormat/>
    <w:rsid w:val="006a781b"/>
    <w:rPr>
      <w:i/>
      <w:iCs/>
      <w:color w:val="215868" w:themeColor="accent5" w:themeShade="80"/>
      <w:shd w:fill="FFFFFF" w:val="clear"/>
      <w:lang w:eastAsia="ru-RU"/>
    </w:rPr>
  </w:style>
  <w:style w:type="character" w:styleId="Posttitletext" w:customStyle="1">
    <w:name w:val="post__title-text"/>
    <w:basedOn w:val="DefaultParagraphFont"/>
    <w:qFormat/>
    <w:rPr/>
  </w:style>
  <w:style w:type="character" w:styleId="Style17" w:customStyle="1">
    <w:name w:val="Символ сноски"/>
    <w:qFormat/>
    <w:rPr/>
  </w:style>
  <w:style w:type="character" w:styleId="Footnoteanchor" w:customStyle="1">
    <w:name w:val="Footnote anchor"/>
    <w:qFormat/>
    <w:rPr>
      <w:vertAlign w:val="superscript"/>
    </w:rPr>
  </w:style>
  <w:style w:type="character" w:styleId="Style18" w:customStyle="1">
    <w:name w:val="Основной текст Знак"/>
    <w:basedOn w:val="DefaultParagraphFont"/>
    <w:link w:val="af9"/>
    <w:qFormat/>
    <w:rsid w:val="006a781b"/>
    <w:rPr>
      <w:rFonts w:ascii="Times New Roman" w:hAnsi="Times New Roman" w:eastAsia="Calibri" w:cs="" w:cstheme="minorBidi" w:eastAsiaTheme="minorHAnsi"/>
    </w:rPr>
  </w:style>
  <w:style w:type="paragraph" w:styleId="Style19" w:customStyle="1">
    <w:name w:val="Заголовок"/>
    <w:basedOn w:val="Normal"/>
    <w:next w:val="Style20"/>
    <w:qFormat/>
    <w:rsid w:val="006a781b"/>
    <w:pPr>
      <w:keepNext/>
      <w:widowControl/>
      <w:suppressAutoHyphens w:val="false"/>
      <w:spacing w:lineRule="auto" w:line="276" w:before="240" w:after="120"/>
      <w:ind w:firstLine="397"/>
      <w:jc w:val="both"/>
      <w:textAlignment w:val="auto"/>
    </w:pPr>
    <w:rPr>
      <w:rFonts w:ascii="Liberation Sans" w:hAnsi="Liberation Sans" w:eastAsia="Unifont" w:cs="FreeSans"/>
      <w:sz w:val="28"/>
      <w:szCs w:val="28"/>
    </w:rPr>
  </w:style>
  <w:style w:type="paragraph" w:styleId="Style20">
    <w:name w:val="Body Text"/>
    <w:basedOn w:val="Normal"/>
    <w:link w:val="afa"/>
    <w:rsid w:val="006a781b"/>
    <w:pPr>
      <w:widowControl/>
      <w:suppressAutoHyphens w:val="false"/>
      <w:spacing w:lineRule="auto" w:line="288"/>
      <w:ind w:firstLine="397"/>
      <w:jc w:val="both"/>
      <w:textAlignment w:val="auto"/>
    </w:pPr>
    <w:rPr>
      <w:rFonts w:ascii="Times New Roman" w:hAnsi="Times New Roman" w:eastAsia="Calibri" w:cs="" w:cstheme="minorBidi" w:eastAsiaTheme="minorHAnsi"/>
    </w:rPr>
  </w:style>
  <w:style w:type="paragraph" w:styleId="Style21">
    <w:name w:val="List"/>
    <w:pPr>
      <w:widowControl w:val="false"/>
    </w:pPr>
    <w:rPr>
      <w:rFonts w:cs="FreeSans" w:ascii="Calibri" w:hAnsi="Calibri" w:eastAsia="Calibri"/>
      <w:color w:val="auto"/>
      <w:sz w:val="24"/>
      <w:szCs w:val="22"/>
      <w:lang w:val="ru-RU" w:eastAsia="en-US" w:bidi="ar-SA"/>
    </w:rPr>
  </w:style>
  <w:style w:type="paragraph" w:styleId="Style22">
    <w:name w:val="Caption"/>
    <w:basedOn w:val="Normal"/>
    <w:qFormat/>
    <w:pPr>
      <w:suppressLineNumbers/>
      <w:spacing w:before="120" w:after="120"/>
    </w:pPr>
    <w:rPr>
      <w:rFonts w:cs="FreeSans"/>
      <w:i/>
      <w:iCs/>
      <w:sz w:val="24"/>
      <w:szCs w:val="24"/>
    </w:rPr>
  </w:style>
  <w:style w:type="paragraph" w:styleId="Style23" w:customStyle="1">
    <w:name w:val="Указатель"/>
    <w:qFormat/>
    <w:pPr>
      <w:widowControl w:val="false"/>
      <w:suppressLineNumbers/>
    </w:pPr>
    <w:rPr>
      <w:rFonts w:cs="FreeSans" w:ascii="Calibri" w:hAnsi="Calibri" w:eastAsia="Calibri"/>
      <w:color w:val="auto"/>
      <w:sz w:val="24"/>
      <w:szCs w:val="22"/>
      <w:lang w:val="ru-RU" w:eastAsia="en-US" w:bidi="ar-SA"/>
    </w:rPr>
  </w:style>
  <w:style w:type="paragraph" w:styleId="Standard" w:customStyle="1">
    <w:name w:val="Standard"/>
    <w:qFormat/>
    <w:pPr>
      <w:widowControl/>
      <w:suppressAutoHyphens w:val="false"/>
      <w:bidi w:val="0"/>
      <w:spacing w:lineRule="auto" w:line="276"/>
      <w:ind w:firstLine="397"/>
      <w:jc w:val="both"/>
    </w:pPr>
    <w:rPr>
      <w:rFonts w:ascii="Times New Roman" w:hAnsi="Times New Roman" w:eastAsia="Calibri" w:cs="DejaVu Sans"/>
      <w:color w:val="00000A"/>
      <w:sz w:val="24"/>
      <w:szCs w:val="22"/>
      <w:lang w:val="ru-RU" w:eastAsia="en-US" w:bidi="ar-SA"/>
    </w:rPr>
  </w:style>
  <w:style w:type="paragraph" w:styleId="Textbody" w:customStyle="1">
    <w:name w:val="Text body"/>
    <w:basedOn w:val="Standard"/>
    <w:qFormat/>
    <w:pPr>
      <w:spacing w:lineRule="auto" w:line="288"/>
    </w:pPr>
    <w:rPr/>
  </w:style>
  <w:style w:type="paragraph" w:styleId="Caption">
    <w:name w:val="caption"/>
    <w:basedOn w:val="Standard"/>
    <w:qFormat/>
    <w:pPr>
      <w:suppressLineNumbers/>
      <w:spacing w:before="120" w:after="120"/>
    </w:pPr>
    <w:rPr>
      <w:rFonts w:cs="FreeSans"/>
      <w:i/>
      <w:iCs/>
      <w:szCs w:val="24"/>
    </w:rPr>
  </w:style>
  <w:style w:type="paragraph" w:styleId="Indexheading">
    <w:name w:val="index heading"/>
    <w:basedOn w:val="Standard"/>
    <w:qFormat/>
    <w:pPr>
      <w:suppressLineNumbers/>
    </w:pPr>
    <w:rPr>
      <w:rFonts w:cs="FreeSans"/>
    </w:rPr>
  </w:style>
  <w:style w:type="paragraph" w:styleId="BalloonText">
    <w:name w:val="Balloon Text"/>
    <w:basedOn w:val="Standard"/>
    <w:qFormat/>
    <w:pPr>
      <w:spacing w:lineRule="auto" w:line="240"/>
    </w:pPr>
    <w:rPr>
      <w:rFonts w:ascii="Tahoma" w:hAnsi="Tahoma" w:cs="Tahoma"/>
      <w:sz w:val="16"/>
      <w:szCs w:val="16"/>
    </w:rPr>
  </w:style>
  <w:style w:type="paragraph" w:styleId="Style24">
    <w:name w:val="Subtitle"/>
    <w:basedOn w:val="Standard"/>
    <w:qFormat/>
    <w:pPr>
      <w:spacing w:before="0" w:after="240"/>
    </w:pPr>
    <w:rPr>
      <w:i/>
      <w:iCs/>
      <w:color w:val="0F243E"/>
      <w:spacing w:val="15"/>
      <w:sz w:val="22"/>
      <w:szCs w:val="24"/>
    </w:rPr>
  </w:style>
  <w:style w:type="paragraph" w:styleId="Style25" w:customStyle="1">
    <w:name w:val="Закон"/>
    <w:basedOn w:val="Normal"/>
    <w:qFormat/>
    <w:rsid w:val="006a781b"/>
    <w:pPr>
      <w:widowControl/>
      <w:pBdr>
        <w:top w:val="single" w:sz="2" w:space="12" w:color="E36C0A"/>
        <w:left w:val="single" w:sz="2" w:space="12" w:color="E36C0A"/>
        <w:bottom w:val="single" w:sz="2" w:space="12" w:color="E36C0A"/>
        <w:right w:val="single" w:sz="2" w:space="12" w:color="E36C0A"/>
      </w:pBdr>
      <w:suppressAutoHyphens w:val="false"/>
      <w:spacing w:lineRule="auto" w:line="276" w:before="240" w:after="240"/>
      <w:ind w:left="1134" w:right="1134" w:hanging="0"/>
      <w:mirrorIndents/>
      <w:jc w:val="center"/>
      <w:textAlignment w:val="auto"/>
    </w:pPr>
    <w:rPr>
      <w:rFonts w:ascii="Times New Roman" w:hAnsi="Times New Roman" w:eastAsia="Calibri" w:cs="" w:cstheme="minorBidi" w:eastAsiaTheme="minorHAnsi"/>
      <w:b/>
      <w:color w:val="943634" w:themeColor="accent2" w:themeShade="bf"/>
    </w:rPr>
  </w:style>
  <w:style w:type="paragraph" w:styleId="Style26" w:customStyle="1">
    <w:name w:val="Подпись к рисунку"/>
    <w:basedOn w:val="Standard"/>
    <w:qFormat/>
    <w:pPr>
      <w:keepLines/>
      <w:spacing w:before="120" w:after="240"/>
      <w:ind w:left="567" w:right="567" w:hanging="0"/>
    </w:pPr>
    <w:rPr>
      <w:i/>
    </w:rPr>
  </w:style>
  <w:style w:type="paragraph" w:styleId="Style27" w:customStyle="1">
    <w:name w:val="Определения"/>
    <w:basedOn w:val="Normal"/>
    <w:qFormat/>
    <w:rsid w:val="006a781b"/>
    <w:pPr>
      <w:widowControl/>
      <w:suppressAutoHyphens w:val="false"/>
      <w:spacing w:lineRule="auto" w:line="300" w:before="240" w:after="240"/>
      <w:ind w:left="397" w:right="397" w:hanging="0"/>
      <w:contextualSpacing/>
      <w:mirrorIndents/>
      <w:textAlignment w:val="auto"/>
    </w:pPr>
    <w:rPr>
      <w:rFonts w:ascii="Times New Roman" w:hAnsi="Times New Roman" w:eastAsia="Calibri" w:cs="" w:cstheme="minorBidi" w:eastAsiaTheme="minorHAnsi"/>
      <w:color w:val="1F497D" w:themeColor="text2"/>
    </w:rPr>
  </w:style>
  <w:style w:type="paragraph" w:styleId="Endnotetext">
    <w:name w:val="endnote text"/>
    <w:basedOn w:val="Standard"/>
    <w:qFormat/>
    <w:pPr>
      <w:spacing w:lineRule="auto" w:line="240"/>
    </w:pPr>
    <w:rPr>
      <w:sz w:val="20"/>
      <w:szCs w:val="20"/>
    </w:rPr>
  </w:style>
  <w:style w:type="paragraph" w:styleId="Footnotetext">
    <w:name w:val="footnote text"/>
    <w:basedOn w:val="Standard"/>
    <w:qFormat/>
    <w:pPr>
      <w:spacing w:lineRule="auto" w:line="240"/>
    </w:pPr>
    <w:rPr>
      <w:sz w:val="20"/>
      <w:szCs w:val="20"/>
    </w:rPr>
  </w:style>
  <w:style w:type="paragraph" w:styleId="TableofFigures" w:customStyle="1">
    <w:name w:val="Table of Figures"/>
    <w:basedOn w:val="Normal"/>
    <w:qFormat/>
    <w:rsid w:val="006a781b"/>
    <w:pPr>
      <w:keepNext/>
      <w:widowControl/>
      <w:suppressAutoHyphens w:val="false"/>
      <w:spacing w:lineRule="auto" w:line="276" w:before="240" w:after="120"/>
      <w:mirrorIndents/>
      <w:jc w:val="center"/>
      <w:textAlignment w:val="auto"/>
    </w:pPr>
    <w:rPr>
      <w:rFonts w:ascii="Times New Roman" w:hAnsi="Times New Roman" w:eastAsia="Calibri" w:cs="" w:cstheme="minorBidi" w:eastAsiaTheme="minorHAnsi"/>
      <w:i/>
      <w:iCs/>
      <w:lang w:eastAsia="ru-RU"/>
    </w:rPr>
  </w:style>
  <w:style w:type="paragraph" w:styleId="Style28" w:customStyle="1">
    <w:name w:val="Формула"/>
    <w:basedOn w:val="TableofFigures"/>
    <w:qFormat/>
    <w:rsid w:val="006a781b"/>
    <w:pPr>
      <w:spacing w:before="120" w:after="120"/>
      <w:ind w:left="227" w:right="227" w:hanging="0"/>
    </w:pPr>
    <w:rPr/>
  </w:style>
  <w:style w:type="paragraph" w:styleId="Footnote" w:customStyle="1">
    <w:name w:val="Footnote"/>
    <w:basedOn w:val="Standard"/>
    <w:qFormat/>
    <w:pPr/>
    <w:rPr>
      <w:sz w:val="20"/>
    </w:rPr>
  </w:style>
  <w:style w:type="paragraph" w:styleId="Style29">
    <w:name w:val="Содержимое врезки"/>
    <w:basedOn w:val="Normal"/>
    <w:qFormat/>
    <w:pPr/>
    <w:rPr/>
  </w:style>
  <w:style w:type="numbering" w:styleId="NoList" w:default="1">
    <w:name w:val="No List"/>
    <w:uiPriority w:val="99"/>
    <w:semiHidden/>
    <w:unhideWhenUsed/>
    <w:qFormat/>
  </w:style>
  <w:style w:type="numbering" w:styleId="12" w:customStyle="1">
    <w:name w:val="Нет списка1"/>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889</TotalTime>
  <Application>LibreOfficeDev/5.2.6.2$Linux_X86_64 LibreOffice_project/20m0$Build-2</Application>
  <Pages>12</Pages>
  <Words>3358</Words>
  <Characters>21389</Characters>
  <CharactersWithSpaces>24727</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2019-01-11T19:46:00Z</dcterms:created>
  <dc:creator>SB</dc:creator>
  <dc:description/>
  <dc:language>ru-RU</dc:language>
  <cp:lastModifiedBy/>
  <dcterms:modified xsi:type="dcterms:W3CDTF">2019-02-03T10:25:23Z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