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1A" w:rsidRDefault="00382A1A" w:rsidP="00382A1A">
      <w:pPr>
        <w:pStyle w:val="2"/>
      </w:pPr>
      <w:r>
        <w:t xml:space="preserve">Лучшее враг </w:t>
      </w:r>
      <w:proofErr w:type="gramStart"/>
      <w:r>
        <w:t>хорошего</w:t>
      </w:r>
      <w:proofErr w:type="gramEnd"/>
    </w:p>
    <w:p w:rsidR="00382A1A" w:rsidRDefault="00382A1A" w:rsidP="00382A1A">
      <w:pPr>
        <w:pStyle w:val="a5"/>
      </w:pPr>
      <w:r>
        <w:t xml:space="preserve">Наконец, говоря об очередях, нельзя не упомянуть о совершенно возмутительном парадоксе </w:t>
      </w:r>
      <w:proofErr w:type="spellStart"/>
      <w:r>
        <w:t>Браесса</w:t>
      </w:r>
      <w:proofErr w:type="spellEnd"/>
      <w:r>
        <w:t>. Этот эффект приводит к тому, что в коммуникационной сети, содерж</w:t>
      </w:r>
      <w:r>
        <w:t>а</w:t>
      </w:r>
      <w:r>
        <w:t xml:space="preserve">щей очереди, добавление новых простых связей (не стохастических) может привести к уменьшению пропускной способности всей сети. </w:t>
      </w:r>
    </w:p>
    <w:p w:rsidR="00382A1A" w:rsidRDefault="00382A1A" w:rsidP="00382A1A">
      <w:pPr>
        <w:pStyle w:val="a5"/>
      </w:pPr>
      <w:r>
        <w:t xml:space="preserve">Простейшей моделью, в которой можно наблюдать этот эффект, может быть дорожная сеть, в которой два населённых </w:t>
      </w:r>
      <w:proofErr w:type="gramStart"/>
      <w:r>
        <w:t>пункта</w:t>
      </w:r>
      <w:proofErr w:type="gram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соединены двумя дорогами так, как показано на рисунке. При этом выделяются четыре участка дорог, два из которых </w:t>
      </w:r>
      <m:oMath>
        <m:r>
          <w:rPr>
            <w:rFonts w:ascii="Cambria Math" w:hAnsi="Cambria Math"/>
          </w:rPr>
          <m:t>AC</m:t>
        </m:r>
      </m:oMath>
      <w:r>
        <w:t xml:space="preserve"> и </w:t>
      </w:r>
      <m:oMath>
        <m:r>
          <w:rPr>
            <w:rFonts w:ascii="Cambria Math" w:hAnsi="Cambria Math"/>
          </w:rPr>
          <m:t>DB</m:t>
        </m:r>
      </m:oMath>
      <w:r>
        <w:t xml:space="preserve"> – дост</w:t>
      </w:r>
      <w:proofErr w:type="spellStart"/>
      <w:r>
        <w:t>а</w:t>
      </w:r>
      <w:r>
        <w:t>точно</w:t>
      </w:r>
      <w:proofErr w:type="spellEnd"/>
      <w:r>
        <w:t xml:space="preserve"> широки и свободны, так что среднее время пути по ним занимает известное пост</w:t>
      </w:r>
      <w:r>
        <w:t>о</w:t>
      </w:r>
      <w:r>
        <w:t xml:space="preserve">янное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Два других плеча – </w:t>
      </w:r>
      <m:oMath>
        <m:r>
          <w:rPr>
            <w:rFonts w:ascii="Cambria Math" w:hAnsi="Cambria Math"/>
          </w:rPr>
          <m:t>AD</m:t>
        </m:r>
      </m:oMath>
      <w:r>
        <w:t xml:space="preserve"> и </w:t>
      </w:r>
      <m:oMath>
        <m:r>
          <w:rPr>
            <w:rFonts w:ascii="Cambria Math" w:hAnsi="Cambria Math"/>
          </w:rPr>
          <m:t>CB</m:t>
        </m:r>
      </m:oMath>
      <w:r>
        <w:t xml:space="preserve"> короче, но имеют склонность к образованию заторов. Дорожный поток и дорожная пробка во многом похожи на очередь и для них т</w:t>
      </w:r>
      <w:r>
        <w:t>о</w:t>
      </w:r>
      <w:r>
        <w:t xml:space="preserve">же работает теорема </w:t>
      </w:r>
      <w:proofErr w:type="spellStart"/>
      <w:r>
        <w:t>Литтла</w:t>
      </w:r>
      <w:proofErr w:type="spellEnd"/>
      <w:r>
        <w:t>, позволяющая связать время пути по загруженному (или у</w:t>
      </w:r>
      <w:r>
        <w:t>з</w:t>
      </w:r>
      <w:r>
        <w:t>кому) участку дороги с числом машин на дороге. Таким образом, для загруженных учас</w:t>
      </w:r>
      <w:r>
        <w:t>т</w:t>
      </w:r>
      <w:r>
        <w:t>ков время пути можно считать пропорциональным числу участников дорожного движ</w:t>
      </w:r>
      <w:r>
        <w:t>е</w:t>
      </w:r>
      <w:r>
        <w:t xml:space="preserve">ния: </w:t>
      </w:r>
      <m:oMath>
        <m:r>
          <w:rPr>
            <w:rFonts w:ascii="Cambria Math" w:hAnsi="Cambria Math"/>
          </w:rPr>
          <m:t>t=λ N</m:t>
        </m:r>
      </m:oMath>
      <w:r>
        <w:t xml:space="preserve">. И последнее важное условие, пассажиропоток между городами таков, что: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&gt;λ N/2</m:t>
        </m:r>
      </m:oMath>
      <w:r>
        <w:rPr>
          <w:rFonts w:eastAsiaTheme="minorEastAsia"/>
        </w:rPr>
        <w:t xml:space="preserve">, то есть, затруднённые участки дорог, всё же, </w:t>
      </w:r>
    </w:p>
    <w:p w:rsidR="00382A1A" w:rsidRDefault="00382A1A" w:rsidP="00382A1A">
      <w:pPr>
        <w:pStyle w:val="a5"/>
      </w:pPr>
      <w:r>
        <w:t xml:space="preserve">Тут мы вынуждены сделать одно предположение, которое выходит за рамки темы книжки. Оно касается того, как люди принимают решения. Это тоже можно описывать математически с помощью методов </w:t>
      </w:r>
      <w:r w:rsidRPr="004B789F">
        <w:rPr>
          <w:rStyle w:val="a4"/>
        </w:rPr>
        <w:t>теории игр</w:t>
      </w:r>
      <w:r>
        <w:t>, области знания, которое получило шир</w:t>
      </w:r>
      <w:r>
        <w:t>о</w:t>
      </w:r>
      <w:r>
        <w:t>кое развитие в последние десятилетия. Здесь я не хочу вдаваться в подробности этой те</w:t>
      </w:r>
      <w:r>
        <w:t>о</w:t>
      </w:r>
      <w:r>
        <w:t xml:space="preserve">рии, а сразу воспользуюсь одним из её результатов – понятием </w:t>
      </w:r>
      <w:r w:rsidRPr="004B789F">
        <w:rPr>
          <w:rStyle w:val="a4"/>
        </w:rPr>
        <w:t xml:space="preserve">равновесия </w:t>
      </w:r>
      <w:proofErr w:type="spellStart"/>
      <w:r w:rsidRPr="004B789F">
        <w:rPr>
          <w:rStyle w:val="a4"/>
        </w:rPr>
        <w:t>Нэша</w:t>
      </w:r>
      <w:proofErr w:type="spellEnd"/>
      <w:r>
        <w:t>. Повед</w:t>
      </w:r>
      <w:r>
        <w:t>е</w:t>
      </w:r>
      <w:r>
        <w:t>ние людей во многих случаях можно считать оптимизирующим, они пытаются уменьшить потери и увеличить свои преимущества, но во взаимодействии с такими же оптимизир</w:t>
      </w:r>
      <w:r>
        <w:t>у</w:t>
      </w:r>
      <w:r>
        <w:t>ющими игроками, группа игроков может нащупать некое равновесное состояние, не самое лучшее, но хотя бы удовлетворительное. Применительно к нашим дорогам, приход к ра</w:t>
      </w:r>
      <w:r>
        <w:t>в</w:t>
      </w:r>
      <w:r>
        <w:t xml:space="preserve">новесию </w:t>
      </w:r>
      <w:proofErr w:type="spellStart"/>
      <w:r>
        <w:t>Нэша</w:t>
      </w:r>
      <w:proofErr w:type="spellEnd"/>
      <w:r>
        <w:t xml:space="preserve"> выразится в том, что водители будут стремиться к тому, чтобы распред</w:t>
      </w:r>
      <w:r>
        <w:t>е</w:t>
      </w:r>
      <w:r>
        <w:t xml:space="preserve">литься по обоим плечам дорог </w:t>
      </w:r>
      <m:oMath>
        <m:r>
          <w:rPr>
            <w:rFonts w:ascii="Cambria Math" w:hAnsi="Cambria Math"/>
          </w:rPr>
          <m:t>ACB</m:t>
        </m:r>
      </m:oMath>
      <w:r>
        <w:t xml:space="preserve"> и </w:t>
      </w:r>
      <m:oMath>
        <m:r>
          <w:rPr>
            <w:rFonts w:ascii="Cambria Math" w:hAnsi="Cambria Math"/>
          </w:rPr>
          <m:t>ADB</m:t>
        </m:r>
      </m:oMath>
      <w:r>
        <w:t xml:space="preserve"> поровну. Так что, если обычно из города </w:t>
      </w:r>
      <m:oMath>
        <m:r>
          <w:rPr>
            <w:rFonts w:ascii="Cambria Math" w:hAnsi="Cambria Math"/>
          </w:rPr>
          <m:t>A</m:t>
        </m:r>
      </m:oMath>
      <w:r>
        <w:t xml:space="preserve"> в город </w:t>
      </w:r>
      <m:oMath>
        <m:r>
          <w:rPr>
            <w:rFonts w:ascii="Cambria Math" w:hAnsi="Cambria Math"/>
          </w:rPr>
          <m:t>B</m:t>
        </m:r>
      </m:oMath>
      <w:r>
        <w:t xml:space="preserve"> езд</w:t>
      </w:r>
      <w:proofErr w:type="spellStart"/>
      <w:r>
        <w:t>ит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автомобилистов, то время в пути можно выразить как </w:t>
      </w:r>
      <m:oMath>
        <m:r>
          <w:rPr>
            <w:rFonts w:ascii="Cambria Math" w:hAnsi="Cambria Math"/>
          </w:rPr>
          <m:t>λ N/2+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382A1A" w:rsidRPr="009954C0" w:rsidRDefault="00382A1A" w:rsidP="00382A1A">
      <w:pPr>
        <w:pStyle w:val="a5"/>
      </w:pPr>
      <w:r>
        <w:t xml:space="preserve">Пусть теперь, стремясь оптимизировать движение в этой сети, мы построим связку </w:t>
      </w:r>
      <m:oMath>
        <m:r>
          <w:rPr>
            <w:rFonts w:ascii="Cambria Math" w:hAnsi="Cambria Math"/>
          </w:rPr>
          <m:t>CD</m:t>
        </m:r>
      </m:oMath>
      <w:r>
        <w:t>, причем постараемся сделать её как можно шире и лучше, чтобы время на её преод</w:t>
      </w:r>
      <w:proofErr w:type="spellStart"/>
      <w:r>
        <w:t>о</w:t>
      </w:r>
      <w:r>
        <w:t>ление</w:t>
      </w:r>
      <w:proofErr w:type="spellEnd"/>
      <w:r>
        <w:t xml:space="preserve"> было существенно меньше,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>λ N/2</m:t>
        </m:r>
      </m:oMath>
      <w:r>
        <w:t xml:space="preserve">. Воспользовавшись ею, автомобилист сможет попасть из пункта </w:t>
      </w:r>
      <m:oMath>
        <m:r>
          <w:rPr>
            <w:rFonts w:ascii="Cambria Math" w:hAnsi="Cambria Math"/>
          </w:rPr>
          <m:t>A</m:t>
        </m:r>
      </m:oMath>
      <w:r>
        <w:t xml:space="preserve"> в пункт </w:t>
      </w:r>
      <m:oMath>
        <m:r>
          <w:rPr>
            <w:rFonts w:ascii="Cambria Math" w:hAnsi="Cambria Math"/>
          </w:rPr>
          <m:t>B</m:t>
        </m:r>
      </m:oMath>
      <w:r>
        <w:t xml:space="preserve"> за время порядка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(двигаясь по пути </w:t>
      </w:r>
      <m:oMath>
        <m:r>
          <w:rPr>
            <w:rFonts w:ascii="Cambria Math" w:hAnsi="Cambria Math"/>
          </w:rPr>
          <m:t>ACDB</m:t>
        </m:r>
      </m:oMath>
      <w:r>
        <w:t>), л</w:t>
      </w:r>
      <w:r>
        <w:t>и</w:t>
      </w:r>
      <w:r>
        <w:t xml:space="preserve">бо </w:t>
      </w:r>
      <m:oMath>
        <m:r>
          <w:rPr>
            <w:rFonts w:ascii="Cambria Math" w:hAnsi="Cambria Math"/>
          </w:rPr>
          <m:t>2⋅λ N/2=</m:t>
        </m:r>
        <m:r>
          <w:rPr>
            <w:rFonts w:ascii="Cambria Math" w:hAnsi="Cambria Math"/>
            <w:lang w:val="en-US"/>
          </w:rPr>
          <m:t>λN</m:t>
        </m:r>
      </m:oMath>
      <w:r>
        <w:t xml:space="preserve"> (в случае пути </w:t>
      </w:r>
      <m:oMath>
        <m:r>
          <w:rPr>
            <w:rFonts w:ascii="Cambria Math" w:hAnsi="Cambria Math"/>
          </w:rPr>
          <m:t>ADCB</m:t>
        </m:r>
      </m:oMath>
      <w:r>
        <w:t>). Но, правда, только при условии, что он будет на дороге один</w:t>
      </w:r>
      <w:r w:rsidRPr="007A77AB">
        <w:t>.</w:t>
      </w:r>
      <w:r>
        <w:t xml:space="preserve"> Проблема в том, что только все </w:t>
      </w:r>
      <w:proofErr w:type="gramStart"/>
      <w:r>
        <w:t>прознают</w:t>
      </w:r>
      <w:proofErr w:type="gramEnd"/>
      <w:r>
        <w:t xml:space="preserve"> о новой дороге, то, естественно, постараются пользоваться только ею. И вот к чему это приведёт: в равновесии </w:t>
      </w:r>
      <w:proofErr w:type="spellStart"/>
      <w:r>
        <w:t>Нэша</w:t>
      </w:r>
      <w:proofErr w:type="spellEnd"/>
      <w:r>
        <w:t xml:space="preserve"> к</w:t>
      </w:r>
      <w:r>
        <w:t>а</w:t>
      </w:r>
      <w:r>
        <w:t xml:space="preserve">кая-то часть публики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N</m:t>
        </m:r>
      </m:oMath>
      <w:r w:rsidRPr="009954C0">
        <w:t xml:space="preserve"> </w:t>
      </w:r>
      <w:r>
        <w:t xml:space="preserve">предпочтёт путь </w:t>
      </w:r>
      <m:oMath>
        <m:r>
          <w:rPr>
            <w:rFonts w:ascii="Cambria Math" w:hAnsi="Cambria Math"/>
          </w:rPr>
          <m:t>ADCB</m:t>
        </m:r>
      </m:oMath>
      <w:r>
        <w:t>, как более короткий, так что мы должны получить следующие характерные времена:</w:t>
      </w:r>
    </w:p>
    <w:tbl>
      <w:tblPr>
        <w:tblStyle w:val="a9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60"/>
      </w:tblGrid>
      <w:tr w:rsidR="00382A1A" w:rsidTr="00BA3AD4">
        <w:tc>
          <w:tcPr>
            <w:tcW w:w="1558" w:type="dxa"/>
          </w:tcPr>
          <w:p w:rsidR="00382A1A" w:rsidRPr="00331F8B" w:rsidRDefault="00382A1A" w:rsidP="00BA3AD4">
            <w:pPr>
              <w:pStyle w:val="a5"/>
              <w:ind w:firstLine="34"/>
            </w:pPr>
            <m:oMathPara>
              <m:oMath>
                <m:r>
                  <w:rPr>
                    <w:rFonts w:ascii="Cambria Math" w:hAnsi="Cambria Math"/>
                  </w:rPr>
                  <m:t>ACB, ADB</m:t>
                </m:r>
              </m:oMath>
            </m:oMathPara>
          </w:p>
        </w:tc>
        <w:tc>
          <w:tcPr>
            <w:tcW w:w="1560" w:type="dxa"/>
          </w:tcPr>
          <w:p w:rsidR="00382A1A" w:rsidRPr="00331F8B" w:rsidRDefault="00382A1A" w:rsidP="00BA3AD4">
            <w:pPr>
              <w:pStyle w:val="a5"/>
              <w:ind w:firstLine="34"/>
            </w:pPr>
            <m:oMathPara>
              <m:oMath>
                <m:r>
                  <w:rPr>
                    <w:rFonts w:ascii="Cambria Math" w:hAnsi="Cambria Math"/>
                  </w:rPr>
                  <m:t>λαN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382A1A" w:rsidTr="00BA3AD4">
        <w:tc>
          <w:tcPr>
            <w:tcW w:w="1558" w:type="dxa"/>
          </w:tcPr>
          <w:p w:rsidR="00382A1A" w:rsidRPr="00331F8B" w:rsidRDefault="00382A1A" w:rsidP="00BA3AD4">
            <w:pPr>
              <w:pStyle w:val="a5"/>
              <w:ind w:firstLine="34"/>
            </w:pPr>
            <m:oMathPara>
              <m:oMath>
                <m:r>
                  <w:rPr>
                    <w:rFonts w:ascii="Cambria Math" w:hAnsi="Cambria Math"/>
                  </w:rPr>
                  <m:t>ADCB</m:t>
                </m:r>
              </m:oMath>
            </m:oMathPara>
          </w:p>
        </w:tc>
        <w:tc>
          <w:tcPr>
            <w:tcW w:w="1560" w:type="dxa"/>
          </w:tcPr>
          <w:p w:rsidR="00382A1A" w:rsidRPr="00331F8B" w:rsidRDefault="00382A1A" w:rsidP="00BA3AD4">
            <w:pPr>
              <w:pStyle w:val="a5"/>
              <w:ind w:firstLine="34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λαN</m:t>
                </m:r>
              </m:oMath>
            </m:oMathPara>
          </w:p>
        </w:tc>
      </w:tr>
      <w:tr w:rsidR="00382A1A" w:rsidRPr="00331F8B" w:rsidTr="00BA3AD4">
        <w:tc>
          <w:tcPr>
            <w:tcW w:w="1558" w:type="dxa"/>
          </w:tcPr>
          <w:p w:rsidR="00382A1A" w:rsidRPr="00331F8B" w:rsidRDefault="00382A1A" w:rsidP="00BA3AD4">
            <w:pPr>
              <w:pStyle w:val="a5"/>
              <w:ind w:firstLine="34"/>
            </w:pPr>
            <m:oMathPara>
              <m:oMath>
                <m:r>
                  <w:rPr>
                    <w:rFonts w:ascii="Cambria Math" w:hAnsi="Cambria Math"/>
                  </w:rPr>
                  <m:t>ACDB</m:t>
                </m:r>
              </m:oMath>
            </m:oMathPara>
          </w:p>
        </w:tc>
        <w:tc>
          <w:tcPr>
            <w:tcW w:w="1560" w:type="dxa"/>
          </w:tcPr>
          <w:p w:rsidR="00382A1A" w:rsidRPr="00331F8B" w:rsidRDefault="00382A1A" w:rsidP="00BA3AD4">
            <w:pPr>
              <w:pStyle w:val="a5"/>
              <w:ind w:firstLine="3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382A1A" w:rsidRDefault="00382A1A" w:rsidP="00382A1A">
      <w:pPr>
        <w:pStyle w:val="a5"/>
        <w:ind w:firstLine="0"/>
        <w:rPr>
          <w:rFonts w:eastAsiaTheme="minorEastAsia"/>
        </w:rPr>
      </w:pPr>
      <w:r>
        <w:t xml:space="preserve">Подвох состоит в том, что все эти времена превысят прежний средний результат </w:t>
      </w:r>
      <m:oMath>
        <m:r>
          <w:rPr>
            <w:rFonts w:ascii="Cambria Math" w:hAnsi="Cambria Math"/>
          </w:rPr>
          <m:t>λ N/2+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для любого </w:t>
      </w:r>
      <m:oMath>
        <m:r>
          <w:rPr>
            <w:rFonts w:ascii="Cambria Math" w:hAnsi="Cambria Math"/>
          </w:rPr>
          <m:t>α&gt;1/2</m:t>
        </m:r>
      </m:oMath>
      <w:r w:rsidRPr="009954C0">
        <w:t xml:space="preserve">. </w:t>
      </w:r>
      <w:r>
        <w:t>Т</w:t>
      </w:r>
      <w:r>
        <w:rPr>
          <w:rFonts w:eastAsiaTheme="minorEastAsia"/>
        </w:rPr>
        <w:t xml:space="preserve">о есть, ни по одному из этих путей не удастся добраться из </w:t>
      </w:r>
      <w:r>
        <w:rPr>
          <w:rFonts w:eastAsiaTheme="minorEastAsia"/>
        </w:rPr>
        <w:lastRenderedPageBreak/>
        <w:t>г</w:t>
      </w:r>
      <w:r>
        <w:rPr>
          <w:rFonts w:eastAsiaTheme="minorEastAsia"/>
        </w:rPr>
        <w:t>о</w:t>
      </w:r>
      <w:r>
        <w:rPr>
          <w:rFonts w:eastAsiaTheme="minorEastAsia"/>
        </w:rPr>
        <w:t xml:space="preserve">рода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в город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>, быстрее, чем до строите</w:t>
      </w:r>
      <w:proofErr w:type="spellStart"/>
      <w:r>
        <w:rPr>
          <w:rFonts w:eastAsiaTheme="minorEastAsia"/>
        </w:rPr>
        <w:t>льства</w:t>
      </w:r>
      <w:proofErr w:type="spellEnd"/>
      <w:r>
        <w:rPr>
          <w:rFonts w:eastAsiaTheme="minorEastAsia"/>
        </w:rPr>
        <w:t xml:space="preserve"> новой скоростной дороги. Если водители каким-то усилием воли распределятся по обеим дорогам поровну, то всё вернётся к пе</w:t>
      </w:r>
      <w:r>
        <w:rPr>
          <w:rFonts w:eastAsiaTheme="minorEastAsia"/>
        </w:rPr>
        <w:t>р</w:t>
      </w:r>
      <w:r>
        <w:rPr>
          <w:rFonts w:eastAsiaTheme="minorEastAsia"/>
        </w:rPr>
        <w:t>воначальному состоянию, но тогда, выходит, не было смысла строить новую связку.</w:t>
      </w:r>
    </w:p>
    <w:p w:rsidR="00382A1A" w:rsidRPr="00C82619" w:rsidRDefault="00382A1A" w:rsidP="00382A1A">
      <w:pPr>
        <w:pStyle w:val="a5"/>
      </w:pPr>
      <w:r>
        <w:t>У этого парадокса есть изящная физическая модель, которая позволяет убедиться в его реальности  экспериментально, она</w:t>
      </w:r>
      <w:r w:rsidRPr="00396428">
        <w:t xml:space="preserve"> </w:t>
      </w:r>
      <w:r>
        <w:t>была</w:t>
      </w:r>
      <w:r w:rsidRPr="00396428">
        <w:t xml:space="preserve"> </w:t>
      </w:r>
      <w:r>
        <w:t xml:space="preserve">описана в журнале </w:t>
      </w:r>
      <w:r>
        <w:rPr>
          <w:lang w:val="en-US"/>
        </w:rPr>
        <w:t>Nature</w:t>
      </w:r>
      <w:r>
        <w:t xml:space="preserve"> в 1991 году</w:t>
      </w:r>
      <w:r>
        <w:rPr>
          <w:rStyle w:val="a3"/>
        </w:rPr>
        <w:footnoteReference w:id="1"/>
      </w:r>
      <w:r>
        <w:t xml:space="preserve">. Закон </w:t>
      </w:r>
      <w:proofErr w:type="spellStart"/>
      <w:r>
        <w:t>Литтла</w:t>
      </w:r>
      <w:proofErr w:type="spellEnd"/>
      <w:r>
        <w:t xml:space="preserve"> – говорит о прямой пропорциональности между длиной очереди и временем ож</w:t>
      </w:r>
      <w:r>
        <w:t>и</w:t>
      </w:r>
      <w:r>
        <w:t>дания. В природе много явлений, параметры которых связаны подобным законом и среди них, знакомый со школы закон Гука. Он гласит, что растяжение пружины пропорци</w:t>
      </w:r>
      <w:r>
        <w:t>о</w:t>
      </w:r>
      <w:r>
        <w:t>нально прилагаемой к ней силе:</w:t>
      </w:r>
      <w:r w:rsidRPr="00C82619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∝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. </m:t>
        </m:r>
      </m:oMath>
    </w:p>
    <w:p w:rsidR="00213191" w:rsidRDefault="00213191">
      <w:bookmarkStart w:id="0" w:name="_GoBack"/>
      <w:bookmarkEnd w:id="0"/>
    </w:p>
    <w:sectPr w:rsidR="00213191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FA8" w:rsidRDefault="004C6FA8" w:rsidP="00382A1A">
      <w:pPr>
        <w:spacing w:line="240" w:lineRule="auto"/>
      </w:pPr>
      <w:r>
        <w:separator/>
      </w:r>
    </w:p>
  </w:endnote>
  <w:endnote w:type="continuationSeparator" w:id="0">
    <w:p w:rsidR="004C6FA8" w:rsidRDefault="004C6FA8" w:rsidP="00382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FA8" w:rsidRDefault="004C6FA8" w:rsidP="00382A1A">
      <w:pPr>
        <w:spacing w:line="240" w:lineRule="auto"/>
      </w:pPr>
      <w:r>
        <w:separator/>
      </w:r>
    </w:p>
  </w:footnote>
  <w:footnote w:type="continuationSeparator" w:id="0">
    <w:p w:rsidR="004C6FA8" w:rsidRDefault="004C6FA8" w:rsidP="00382A1A">
      <w:pPr>
        <w:spacing w:line="240" w:lineRule="auto"/>
      </w:pPr>
      <w:r>
        <w:continuationSeparator/>
      </w:r>
    </w:p>
  </w:footnote>
  <w:footnote w:id="1">
    <w:p w:rsidR="00382A1A" w:rsidRDefault="00382A1A" w:rsidP="00382A1A">
      <w:pPr>
        <w:pStyle w:val="a7"/>
      </w:pPr>
      <w:r>
        <w:rPr>
          <w:rStyle w:val="a3"/>
        </w:rPr>
        <w:footnoteRef/>
      </w:r>
      <w:r w:rsidRPr="00396428">
        <w:rPr>
          <w:lang w:val="en-US"/>
        </w:rPr>
        <w:t xml:space="preserve"> </w:t>
      </w:r>
      <w:proofErr w:type="gramStart"/>
      <w:r w:rsidRPr="00396428">
        <w:rPr>
          <w:lang w:val="en-US"/>
        </w:rPr>
        <w:t>J. E. Cohen and P. Horowitz.</w:t>
      </w:r>
      <w:proofErr w:type="gramEnd"/>
      <w:r w:rsidRPr="00396428">
        <w:rPr>
          <w:lang w:val="en-US"/>
        </w:rPr>
        <w:t xml:space="preserve"> </w:t>
      </w:r>
      <w:proofErr w:type="gramStart"/>
      <w:r w:rsidRPr="00396428">
        <w:rPr>
          <w:lang w:val="en-US"/>
        </w:rPr>
        <w:t>Paradoxical behavior of mechanical and electrical networks.</w:t>
      </w:r>
      <w:proofErr w:type="gramEnd"/>
      <w:r w:rsidRPr="00396428">
        <w:rPr>
          <w:lang w:val="en-US"/>
        </w:rPr>
        <w:t xml:space="preserve"> </w:t>
      </w:r>
      <w:proofErr w:type="spellStart"/>
      <w:r>
        <w:t>Nature</w:t>
      </w:r>
      <w:proofErr w:type="spellEnd"/>
      <w:r>
        <w:t>, 352:699–701, 1991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1A"/>
    <w:rsid w:val="00213191"/>
    <w:rsid w:val="00382A1A"/>
    <w:rsid w:val="004C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1A"/>
    <w:pPr>
      <w:spacing w:after="0"/>
      <w:ind w:firstLine="397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unhideWhenUsed/>
    <w:qFormat/>
    <w:rsid w:val="00382A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382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footnote reference"/>
    <w:basedOn w:val="a0"/>
    <w:uiPriority w:val="99"/>
    <w:semiHidden/>
    <w:unhideWhenUsed/>
    <w:qFormat/>
    <w:rsid w:val="00382A1A"/>
    <w:rPr>
      <w:vertAlign w:val="superscript"/>
    </w:rPr>
  </w:style>
  <w:style w:type="character" w:customStyle="1" w:styleId="a4">
    <w:name w:val="термин"/>
    <w:basedOn w:val="a0"/>
    <w:uiPriority w:val="1"/>
    <w:qFormat/>
    <w:rsid w:val="00382A1A"/>
    <w:rPr>
      <w:i/>
      <w:iCs/>
      <w:color w:val="215868" w:themeColor="accent5" w:themeShade="80"/>
      <w:shd w:val="clear" w:color="auto" w:fill="FFFFFF"/>
      <w:lang w:eastAsia="ru-RU"/>
    </w:rPr>
  </w:style>
  <w:style w:type="paragraph" w:styleId="a5">
    <w:name w:val="Body Text"/>
    <w:basedOn w:val="a"/>
    <w:link w:val="a6"/>
    <w:rsid w:val="00382A1A"/>
    <w:pPr>
      <w:spacing w:line="288" w:lineRule="auto"/>
    </w:pPr>
  </w:style>
  <w:style w:type="character" w:customStyle="1" w:styleId="a6">
    <w:name w:val="Основной текст Знак"/>
    <w:basedOn w:val="a0"/>
    <w:link w:val="a5"/>
    <w:rsid w:val="00382A1A"/>
    <w:rPr>
      <w:rFonts w:ascii="Times New Roman" w:hAnsi="Times New Roman"/>
      <w:sz w:val="24"/>
    </w:rPr>
  </w:style>
  <w:style w:type="paragraph" w:styleId="a7">
    <w:name w:val="footnote text"/>
    <w:basedOn w:val="a"/>
    <w:link w:val="a8"/>
    <w:uiPriority w:val="99"/>
    <w:unhideWhenUsed/>
    <w:qFormat/>
    <w:rsid w:val="00382A1A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382A1A"/>
    <w:rPr>
      <w:rFonts w:ascii="Times New Roman" w:hAnsi="Times New Roman"/>
      <w:sz w:val="20"/>
      <w:szCs w:val="20"/>
    </w:rPr>
  </w:style>
  <w:style w:type="table" w:styleId="a9">
    <w:name w:val="Table Grid"/>
    <w:basedOn w:val="a1"/>
    <w:uiPriority w:val="59"/>
    <w:rsid w:val="00382A1A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82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2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1A"/>
    <w:pPr>
      <w:spacing w:after="0"/>
      <w:ind w:firstLine="397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unhideWhenUsed/>
    <w:qFormat/>
    <w:rsid w:val="00382A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382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footnote reference"/>
    <w:basedOn w:val="a0"/>
    <w:uiPriority w:val="99"/>
    <w:semiHidden/>
    <w:unhideWhenUsed/>
    <w:qFormat/>
    <w:rsid w:val="00382A1A"/>
    <w:rPr>
      <w:vertAlign w:val="superscript"/>
    </w:rPr>
  </w:style>
  <w:style w:type="character" w:customStyle="1" w:styleId="a4">
    <w:name w:val="термин"/>
    <w:basedOn w:val="a0"/>
    <w:uiPriority w:val="1"/>
    <w:qFormat/>
    <w:rsid w:val="00382A1A"/>
    <w:rPr>
      <w:i/>
      <w:iCs/>
      <w:color w:val="215868" w:themeColor="accent5" w:themeShade="80"/>
      <w:shd w:val="clear" w:color="auto" w:fill="FFFFFF"/>
      <w:lang w:eastAsia="ru-RU"/>
    </w:rPr>
  </w:style>
  <w:style w:type="paragraph" w:styleId="a5">
    <w:name w:val="Body Text"/>
    <w:basedOn w:val="a"/>
    <w:link w:val="a6"/>
    <w:rsid w:val="00382A1A"/>
    <w:pPr>
      <w:spacing w:line="288" w:lineRule="auto"/>
    </w:pPr>
  </w:style>
  <w:style w:type="character" w:customStyle="1" w:styleId="a6">
    <w:name w:val="Основной текст Знак"/>
    <w:basedOn w:val="a0"/>
    <w:link w:val="a5"/>
    <w:rsid w:val="00382A1A"/>
    <w:rPr>
      <w:rFonts w:ascii="Times New Roman" w:hAnsi="Times New Roman"/>
      <w:sz w:val="24"/>
    </w:rPr>
  </w:style>
  <w:style w:type="paragraph" w:styleId="a7">
    <w:name w:val="footnote text"/>
    <w:basedOn w:val="a"/>
    <w:link w:val="a8"/>
    <w:uiPriority w:val="99"/>
    <w:unhideWhenUsed/>
    <w:qFormat/>
    <w:rsid w:val="00382A1A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382A1A"/>
    <w:rPr>
      <w:rFonts w:ascii="Times New Roman" w:hAnsi="Times New Roman"/>
      <w:sz w:val="20"/>
      <w:szCs w:val="20"/>
    </w:rPr>
  </w:style>
  <w:style w:type="table" w:styleId="a9">
    <w:name w:val="Table Grid"/>
    <w:basedOn w:val="a1"/>
    <w:uiPriority w:val="59"/>
    <w:rsid w:val="00382A1A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82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2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1</cp:revision>
  <dcterms:created xsi:type="dcterms:W3CDTF">2019-02-22T21:13:00Z</dcterms:created>
  <dcterms:modified xsi:type="dcterms:W3CDTF">2019-02-22T21:14:00Z</dcterms:modified>
</cp:coreProperties>
</file>