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Based on the current security posture of the Botium Toys, the following are the recommendations for controls, and compliance needs to reduce risks to assets: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least privilege and separation of duties access control to educe risk and overall impact of malicious insider or compromised accounts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Prepare a disaster recovery plan to ensure business continuity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IDS/IPS to detect and prevent anomalous traffic that matches a signature or rule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backups for data to recover them in case of an incident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consistent schedule for monitoring, maintenance, and intervention of legacy systems to identify and manage threats, risks, or vulnerabilities to out-of-date systems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Start implementing data encryption to make sure the confidentiality of data and to comply to privacy laws.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jc w:val="both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password management system to reduce password fatigue and improve employee productivity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Make sure that only authorized persons are allowed to sensitive data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