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5E2D91"/>
          <w:sz w:val="48"/>
        </w:rPr>
        <w:t>Workforce Intelligence &amp; Tenure Analytics Dashboard</w:t>
      </w:r>
    </w:p>
    <w:p>
      <w:pPr>
        <w:spacing w:after="400"/>
      </w:pPr>
      <w:r>
        <w:rPr>
          <w:rFonts w:ascii="Calibri" w:hAnsi="Calibri"/>
          <w:i/>
          <w:color w:val="646464"/>
          <w:sz w:val="28"/>
        </w:rPr>
        <w:t>Complete Technical &amp; Business Documentation (Plain Text Version)</w:t>
      </w:r>
    </w:p>
    <w:p>
      <w:pPr>
        <w:pStyle w:val="Heading1"/>
      </w:pPr>
      <w:r>
        <w:rPr>
          <w:rFonts w:ascii="Calibri" w:hAnsi="Calibri"/>
          <w:color w:val="5E2D91"/>
        </w:rPr>
        <w:t>1. Executive Overview &amp; Architecture</w:t>
      </w:r>
    </w:p>
    <w:p>
      <w:r>
        <w:t>The Analytics Employee Headcount &amp; Tenure Dashboard is an enterprise workforce intelligence application designed to deliver real-time headcount metrics, historical tenure analytics, retention trends, and multi-dimensional drill-downs across 11 Pan-India cities and 13 team types.</w:t>
        <w:br/>
        <w:br/>
        <w:t>Key System Highlights:</w:t>
      </w:r>
    </w:p>
    <w:p>
      <w:pPr>
        <w:pStyle w:val="ListBullet"/>
      </w:pPr>
      <w:r>
        <w:t>Active Port &amp; Workspace: Running on Port 8590 (app_palette8.py).</w:t>
      </w:r>
    </w:p>
    <w:p>
      <w:pPr>
        <w:pStyle w:val="ListBullet"/>
      </w:pPr>
      <w:r>
        <w:t>Design Palette: Royal Imperial Purple (#5E2D91) with high-contrast text and clean executive metric cards.</w:t>
      </w:r>
    </w:p>
    <w:p>
      <w:pPr>
        <w:pStyle w:val="ListBullet"/>
      </w:pPr>
      <w:r>
        <w:t>Navigation: Multi-tab layout featuring Employee Headcount Summary, Tenure Breakdown &amp; Matrices, and Employee Drill-Down.</w:t>
      </w:r>
    </w:p>
    <w:p>
      <w:pPr>
        <w:pStyle w:val="Heading1"/>
      </w:pPr>
      <w:r>
        <w:rPr>
          <w:rFonts w:ascii="Calibri" w:hAnsi="Calibri"/>
          <w:color w:val="5E2D91"/>
        </w:rPr>
        <w:t>2. Business Metrics &amp; Calculation Formulas</w:t>
      </w:r>
    </w:p>
    <w:p>
      <w:r>
        <w:t>All calculations in the dashboard are computed strictly in plain Python and Pandas dataframes based on the selected observation start date and end date: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5E2D91"/>
          </w:tcPr>
          <w:p>
            <w:r>
              <w:rPr>
                <w:b/>
                <w:color w:val="FFFFFF"/>
              </w:rPr>
              <w:t>Metric Name</w:t>
            </w:r>
          </w:p>
        </w:tc>
        <w:tc>
          <w:tcPr>
            <w:tcW w:type="dxa" w:w="3120"/>
            <w:shd w:val="clear" w:color="auto" w:fill="5E2D91"/>
          </w:tcPr>
          <w:p>
            <w:r>
              <w:rPr>
                <w:b/>
                <w:color w:val="FFFFFF"/>
              </w:rPr>
              <w:t>Business Formula / Definition</w:t>
            </w:r>
          </w:p>
        </w:tc>
        <w:tc>
          <w:tcPr>
            <w:tcW w:type="dxa" w:w="3120"/>
            <w:shd w:val="clear" w:color="auto" w:fill="5E2D9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Active Headcount</w:t>
            </w:r>
          </w:p>
        </w:tc>
        <w:tc>
          <w:tcPr>
            <w:tcW w:type="dxa" w:w="3120"/>
          </w:tcPr>
          <w:p>
            <w:r>
              <w:t>Employees with DOJ &lt;= End Date AND (DOL is Blank OR DOL &gt; End Date)</w:t>
            </w:r>
          </w:p>
        </w:tc>
        <w:tc>
          <w:tcPr>
            <w:tcW w:type="dxa" w:w="3120"/>
          </w:tcPr>
          <w:p>
            <w:r>
              <w:t>Total active employees as of observation date</w:t>
            </w:r>
          </w:p>
        </w:tc>
      </w:tr>
      <w:tr>
        <w:tc>
          <w:tcPr>
            <w:tcW w:type="dxa" w:w="3120"/>
          </w:tcPr>
          <w:p>
            <w:r>
              <w:t>Exited Count in Period</w:t>
            </w:r>
          </w:p>
        </w:tc>
        <w:tc>
          <w:tcPr>
            <w:tcW w:type="dxa" w:w="3120"/>
          </w:tcPr>
          <w:p>
            <w:r>
              <w:t>Employees with DOL between Period Start Date and Period End Date</w:t>
            </w:r>
          </w:p>
        </w:tc>
        <w:tc>
          <w:tcPr>
            <w:tcW w:type="dxa" w:w="3120"/>
          </w:tcPr>
          <w:p>
            <w:r>
              <w:t>Total attrition within selected period</w:t>
            </w:r>
          </w:p>
        </w:tc>
      </w:tr>
      <w:tr>
        <w:tc>
          <w:tcPr>
            <w:tcW w:type="dxa" w:w="3120"/>
          </w:tcPr>
          <w:p>
            <w:r>
              <w:t>New Joiners in Period</w:t>
            </w:r>
          </w:p>
        </w:tc>
        <w:tc>
          <w:tcPr>
            <w:tcW w:type="dxa" w:w="3120"/>
          </w:tcPr>
          <w:p>
            <w:r>
              <w:t>Employees with DOJ between Period Start Date and Period End Date</w:t>
            </w:r>
          </w:p>
        </w:tc>
        <w:tc>
          <w:tcPr>
            <w:tcW w:type="dxa" w:w="3120"/>
          </w:tcPr>
          <w:p>
            <w:r>
              <w:t>Total new hires within selected period</w:t>
            </w:r>
          </w:p>
        </w:tc>
      </w:tr>
      <w:tr>
        <w:tc>
          <w:tcPr>
            <w:tcW w:type="dxa" w:w="3120"/>
          </w:tcPr>
          <w:p>
            <w:r>
              <w:t>Tenure (Days)</w:t>
            </w:r>
          </w:p>
        </w:tc>
        <w:tc>
          <w:tcPr>
            <w:tcW w:type="dxa" w:w="3120"/>
          </w:tcPr>
          <w:p>
            <w:r>
              <w:t>Date of Leaving (or Observation End Date) minus Date of Joining</w:t>
            </w:r>
          </w:p>
        </w:tc>
        <w:tc>
          <w:tcPr>
            <w:tcW w:type="dxa" w:w="3120"/>
          </w:tcPr>
          <w:p>
            <w:r>
              <w:t>Exact calendar days employed</w:t>
            </w:r>
          </w:p>
        </w:tc>
      </w:tr>
      <w:tr>
        <w:tc>
          <w:tcPr>
            <w:tcW w:type="dxa" w:w="3120"/>
          </w:tcPr>
          <w:p>
            <w:r>
              <w:t>Tenure (Months)</w:t>
            </w:r>
          </w:p>
        </w:tc>
        <w:tc>
          <w:tcPr>
            <w:tcW w:type="dxa" w:w="3120"/>
          </w:tcPr>
          <w:p>
            <w:r>
              <w:t>Tenure in Days divided by 30.4375</w:t>
            </w:r>
          </w:p>
        </w:tc>
        <w:tc>
          <w:tcPr>
            <w:tcW w:type="dxa" w:w="3120"/>
          </w:tcPr>
          <w:p>
            <w:r>
              <w:t>Exact tenure duration in months</w:t>
            </w:r>
          </w:p>
        </w:tc>
      </w:tr>
      <w:tr>
        <w:tc>
          <w:tcPr>
            <w:tcW w:type="dxa" w:w="3120"/>
          </w:tcPr>
          <w:p>
            <w:r>
              <w:t>Tenure (Years)</w:t>
            </w:r>
          </w:p>
        </w:tc>
        <w:tc>
          <w:tcPr>
            <w:tcW w:type="dxa" w:w="3120"/>
          </w:tcPr>
          <w:p>
            <w:r>
              <w:t>Tenure in Days divided by 365.25</w:t>
            </w:r>
          </w:p>
        </w:tc>
        <w:tc>
          <w:tcPr>
            <w:tcW w:type="dxa" w:w="3120"/>
          </w:tcPr>
          <w:p>
            <w:r>
              <w:t>Exact tenure duration in years</w:t>
            </w:r>
          </w:p>
        </w:tc>
      </w:tr>
      <w:tr>
        <w:tc>
          <w:tcPr>
            <w:tcW w:type="dxa" w:w="3120"/>
          </w:tcPr>
          <w:p>
            <w:r>
              <w:t>Month-over-Month (MoM) %</w:t>
            </w:r>
          </w:p>
        </w:tc>
        <w:tc>
          <w:tcPr>
            <w:tcW w:type="dxa" w:w="3120"/>
          </w:tcPr>
          <w:p>
            <w:r>
              <w:t>((Current Active - Prior Month Active) / Prior Month Active) * 100</w:t>
            </w:r>
          </w:p>
        </w:tc>
        <w:tc>
          <w:tcPr>
            <w:tcW w:type="dxa" w:w="3120"/>
          </w:tcPr>
          <w:p>
            <w:r>
              <w:t>Percentage growth vs prior month</w:t>
            </w:r>
          </w:p>
        </w:tc>
      </w:tr>
      <w:tr>
        <w:tc>
          <w:tcPr>
            <w:tcW w:type="dxa" w:w="3120"/>
          </w:tcPr>
          <w:p>
            <w:r>
              <w:t>Quarter-over-Quarter (QtQ) %</w:t>
            </w:r>
          </w:p>
        </w:tc>
        <w:tc>
          <w:tcPr>
            <w:tcW w:type="dxa" w:w="3120"/>
          </w:tcPr>
          <w:p>
            <w:r>
              <w:t>((Current Active - Prior Quarter Active) / Prior Quarter Active) * 100</w:t>
            </w:r>
          </w:p>
        </w:tc>
        <w:tc>
          <w:tcPr>
            <w:tcW w:type="dxa" w:w="3120"/>
          </w:tcPr>
          <w:p>
            <w:r>
              <w:t>Percentage growth vs prior quarter</w:t>
            </w:r>
          </w:p>
        </w:tc>
      </w:tr>
      <w:tr>
        <w:tc>
          <w:tcPr>
            <w:tcW w:type="dxa" w:w="3120"/>
          </w:tcPr>
          <w:p>
            <w:r>
              <w:t>Year-over-Year (YoY) %</w:t>
            </w:r>
          </w:p>
        </w:tc>
        <w:tc>
          <w:tcPr>
            <w:tcW w:type="dxa" w:w="3120"/>
          </w:tcPr>
          <w:p>
            <w:r>
              <w:t>((Current Active - Prior Year Active) / Prior Year Active) * 100</w:t>
            </w:r>
          </w:p>
        </w:tc>
        <w:tc>
          <w:tcPr>
            <w:tcW w:type="dxa" w:w="3120"/>
          </w:tcPr>
          <w:p>
            <w:r>
              <w:t>Percentage growth vs prior year</w:t>
            </w:r>
          </w:p>
        </w:tc>
      </w:tr>
    </w:tbl>
    <w:p>
      <w:r>
        <w:br/>
        <w:t>Tenure Buckets Classification:</w:t>
      </w:r>
    </w:p>
    <w:p>
      <w:pPr>
        <w:pStyle w:val="ListBullet"/>
      </w:pPr>
      <w:r>
        <w:t>&lt; 6 Months: Employees with tenure strictly under 6 months</w:t>
      </w:r>
    </w:p>
    <w:p>
      <w:pPr>
        <w:pStyle w:val="ListBullet"/>
      </w:pPr>
      <w:r>
        <w:t>6 - 12 Months: Employees with tenure between 6 and 12 months</w:t>
      </w:r>
    </w:p>
    <w:p>
      <w:pPr>
        <w:pStyle w:val="ListBullet"/>
      </w:pPr>
      <w:r>
        <w:t>1 - 2 Years: Employees with tenure between 12 and 24 months</w:t>
      </w:r>
    </w:p>
    <w:p>
      <w:pPr>
        <w:pStyle w:val="ListBullet"/>
      </w:pPr>
      <w:r>
        <w:t>2 - 3 Years: Employees with tenure between 24 and 36 months</w:t>
      </w:r>
    </w:p>
    <w:p>
      <w:pPr>
        <w:pStyle w:val="ListBullet"/>
      </w:pPr>
      <w:r>
        <w:t>3 - 5 Years: Employees with tenure between 36 and 60 months</w:t>
      </w:r>
    </w:p>
    <w:p>
      <w:pPr>
        <w:pStyle w:val="ListBullet"/>
      </w:pPr>
      <w:r>
        <w:t>5+ Years: Employees with tenure of 60 months or longer</w:t>
      </w:r>
    </w:p>
    <w:p>
      <w:pPr>
        <w:pStyle w:val="Heading1"/>
      </w:pPr>
      <w:r>
        <w:rPr>
          <w:rFonts w:ascii="Calibri" w:hAnsi="Calibri"/>
          <w:color w:val="5E2D91"/>
        </w:rPr>
        <w:t>3. Top Category Filter Popovers &amp; Auto-Close Logic</w:t>
      </w:r>
    </w:p>
    <w:p>
      <w:r>
        <w:t>To allow multi-step selections without premature popover closing during Streamlit script reruns, custom JavaScript event listeners were integrated:</w:t>
      </w:r>
    </w:p>
    <w:p>
      <w:pPr>
        <w:pStyle w:val="ListBullet"/>
      </w:pPr>
      <w:r>
        <w:t>Time Period Popover (Monthly MTD): Auto-closes on the 3rd selection (Select Mode -&gt; Select Year -&gt; Select Month).</w:t>
      </w:r>
    </w:p>
    <w:p>
      <w:pPr>
        <w:pStyle w:val="ListBullet"/>
      </w:pPr>
      <w:r>
        <w:t>Time Period Popover (Quarterly): Auto-closes on the 3rd selection (Select Mode -&gt; Select Year -&gt; Select Quarter).</w:t>
      </w:r>
    </w:p>
    <w:p>
      <w:pPr>
        <w:pStyle w:val="ListBullet"/>
      </w:pPr>
      <w:r>
        <w:t>Time Period Popover (Yearly): Auto-closes on the 2nd selection (Select Mode -&gt; Select Year).</w:t>
      </w:r>
    </w:p>
    <w:p>
      <w:pPr>
        <w:pStyle w:val="ListBullet"/>
      </w:pPr>
      <w:r>
        <w:t>Time Period Popover (Today): Auto-closes on the 1st selection.</w:t>
      </w:r>
    </w:p>
    <w:p>
      <w:pPr>
        <w:pStyle w:val="ListBullet"/>
      </w:pPr>
      <w:r>
        <w:t>Employee, Branch, and Team Popovers: Auto-close immediately on 1-click option selection.</w:t>
      </w:r>
    </w:p>
    <w:p>
      <w:pPr>
        <w:pStyle w:val="ListBullet"/>
      </w:pPr>
      <w:r>
        <w:t>Anti-Flicker Guard Lock: Utilizes a 600ms closing lock (_preventPopoverReopen) to prevent Streamlit rerun loops from reopening popovers.</w:t>
      </w:r>
    </w:p>
    <w:p>
      <w:pPr>
        <w:pStyle w:val="ListBullet"/>
      </w:pPr>
      <w:r>
        <w:t>Page Reload Safety: Uses performance navigation entries to ensure popovers always load completely closed on browser refresh (F5).</w:t>
      </w:r>
    </w:p>
    <w:p>
      <w:pPr>
        <w:pStyle w:val="Heading1"/>
      </w:pPr>
      <w:r>
        <w:rPr>
          <w:rFonts w:ascii="Calibri" w:hAnsi="Calibri"/>
          <w:color w:val="5E2D91"/>
        </w:rPr>
        <w:t>4. Summary of Improvements &amp; Features Implemented</w:t>
      </w:r>
    </w:p>
    <w:p>
      <w:pPr>
        <w:pStyle w:val="ListBullet"/>
      </w:pPr>
      <w:r>
        <w:t>Typography Scaling: Scaled KPI metric values to 2.95rem bold 900, labels to 1.25rem bold 850, and table headers/cells upscaled.</w:t>
      </w:r>
    </w:p>
    <w:p>
      <w:pPr>
        <w:pStyle w:val="ListBullet"/>
      </w:pPr>
      <w:r>
        <w:t>Top Page Scroll Lock: Enforced scrollTop = 0 anchored on load/refresh while preserving manual user scrolling.</w:t>
      </w:r>
    </w:p>
    <w:p>
      <w:pPr>
        <w:pStyle w:val="ListBullet"/>
      </w:pPr>
      <w:r>
        <w:t>Clean Minimalist Title Header: Cleaned top head bar banner, leaving a bold, left-aligned title without clutter.</w:t>
      </w:r>
    </w:p>
    <w:p>
      <w:pPr>
        <w:pStyle w:val="ListBullet"/>
      </w:pPr>
      <w:r>
        <w:t>Table Column Cleanup: Removed exact average months, exact average years, median, min, max, and retention share columns from all tables.</w:t>
      </w:r>
    </w:p>
    <w:p>
      <w:pPr>
        <w:pStyle w:val="ListBullet"/>
      </w:pPr>
      <w:r>
        <w:t>Today Selection Rules: Removed Exited Count KPI card and Exited entries in tables when Today is selected.</w:t>
      </w:r>
    </w:p>
    <w:p>
      <w:pPr>
        <w:pStyle w:val="ListBullet"/>
      </w:pPr>
      <w:r>
        <w:t>Excel Dataset Export: Exported 800-record dataset into Workforce_Intelligence_Sample_Data.xlsx workbook.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