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3FA0"/>
          <w:sz w:val="18"/>
          <w:szCs w:val="18"/>
        </w:rPr>
        <w:t xml:space="preserve">DESIGN REVIEW</w:t>
      </w:r>
    </w:p>
    <w:p>
      <w:pPr>
        <w:pStyle w:val="Heading1"/>
        <w:spacing w:after="120"/>
      </w:pPr>
      <w:r>
        <w:rPr>
          <w:rFonts w:ascii="Arial" w:cs="Arial" w:eastAsia="Arial" w:hAnsi="Arial"/>
          <w:b/>
          <w:bCs/>
          <w:sz w:val="40"/>
          <w:szCs w:val="40"/>
        </w:rPr>
        <w:t xml:space="preserve">PM Simulator — Mock Review vs. PRD &amp; Data Model</w:t>
      </w:r>
    </w:p>
    <w:p>
      <w:pPr>
        <w:spacing w:after="60"/>
      </w:pPr>
      <w:r>
        <w:rPr>
          <w:rFonts w:ascii="Arial" w:cs="Arial" w:eastAsia="Arial" w:hAnsi="Arial"/>
          <w:color w:val="6B7280"/>
          <w:sz w:val="22"/>
          <w:szCs w:val="22"/>
        </w:rPr>
        <w:t xml:space="preserve">February 6, 2026</w:t>
      </w:r>
    </w:p>
    <w:p>
      <w:pPr>
        <w:spacing w:after="60"/>
      </w:pPr>
      <w:r>
        <w:rPr>
          <w:rFonts w:ascii="Arial" w:cs="Arial" w:eastAsia="Arial" w:hAnsi="Arial"/>
          <w:color w:val="6B7280"/>
          <w:sz w:val="22"/>
          <w:szCs w:val="22"/>
        </w:rPr>
        <w:t xml:space="preserve">Screens reviewed: </w:t>
      </w:r>
      <w:r>
        <w:rPr>
          <w:rFonts w:ascii="Arial" w:cs="Arial" w:eastAsia="Arial" w:hAnsi="Arial"/>
          <w:b/>
          <w:bCs/>
          <w:color w:val="6B7280"/>
          <w:sz w:val="22"/>
          <w:szCs w:val="22"/>
        </w:rPr>
        <w:t xml:space="preserve">Home, Sprint Planning, Sprint Retro, Quarterly Review</w:t>
      </w:r>
    </w:p>
    <w:p>
      <w:pPr>
        <w:spacing w:after="240"/>
      </w:pPr>
      <w:r>
        <w:rPr>
          <w:rFonts w:ascii="Arial" w:cs="Arial" w:eastAsia="Arial" w:hAnsi="Arial"/>
          <w:color w:val="6B7280"/>
          <w:sz w:val="22"/>
          <w:szCs w:val="22"/>
        </w:rPr>
        <w:t xml:space="preserve">Prepared for the design team by product management.</w:t>
      </w:r>
    </w:p>
    <w:p>
      <w:pPr>
        <w:pStyle w:val="Heading2"/>
      </w:pPr>
      <w:r>
        <w:rPr>
          <w:rFonts w:ascii="Arial" w:cs="Arial" w:eastAsia="Arial" w:hAnsi="Arial"/>
          <w:b/>
          <w:bCs/>
          <w:color w:val="6B3FA0"/>
          <w:sz w:val="28"/>
          <w:szCs w:val="28"/>
        </w:rPr>
        <w:t xml:space="preserve">Executive Summary</w:t>
      </w:r>
    </w:p>
    <w:p>
      <w:pPr>
        <w:spacing w:after="200"/>
      </w:pPr>
      <w:r>
        <w:rPr>
          <w:rFonts w:ascii="Arial" w:cs="Arial" w:eastAsia="Arial" w:hAnsi="Arial"/>
          <w:sz w:val="22"/>
          <w:szCs w:val="22"/>
        </w:rPr>
        <w:t xml:space="preserve">The mocks establish a strong visual identity with a dark theme and purple accent palette that nails the dry, corporate-game tone we’re going for. The overall layout and flow between screens is logical and the core interaction model (drag tickets into a sprint, review outcomes, read quarterly feedback) is clear.</w:t>
      </w:r>
    </w:p>
    <w:p>
      <w:pPr>
        <w:spacing w:after="200"/>
      </w:pPr>
      <w:r>
        <w:rPr>
          <w:rFonts w:ascii="Arial" w:cs="Arial" w:eastAsia="Arial" w:hAnsi="Arial"/>
          <w:sz w:val="22"/>
          <w:szCs w:val="22"/>
        </w:rPr>
        <w:t xml:space="preserve">However, there are several areas where the mocks diverge from the PRD and data model in ways that would undermine core game mechanics if built as-shown. The most significant issues involve the Quarterly Review screen (which introduces metrics and concepts not in the data model), the home screen tagline (which contradicts the product vision), and the absence of key information the player needs to make informed decisions during Sprint Planning (CEO focus, CTO sentiment, ticket categories).</w:t>
      </w:r>
    </w:p>
    <w:p>
      <w:pPr>
        <w:spacing w:after="200"/>
      </w:pPr>
      <w:r>
        <w:rPr>
          <w:rFonts w:ascii="Arial" w:cs="Arial" w:eastAsia="Arial" w:hAnsi="Arial"/>
          <w:sz w:val="22"/>
          <w:szCs w:val="22"/>
        </w:rPr>
        <w:t xml:space="preserve">I’ve organized the feedback below by severity. </w:t>
      </w:r>
      <w:r>
        <w:rPr>
          <w:rFonts w:ascii="Arial" w:cs="Arial" w:eastAsia="Arial" w:hAnsi="Arial"/>
          <w:b/>
          <w:bCs/>
          <w:color w:val="B91C1C"/>
          <w:sz w:val="22"/>
          <w:szCs w:val="22"/>
        </w:rPr>
        <w:t xml:space="preserve">Critical</w:t>
      </w:r>
      <w:r>
        <w:rPr>
          <w:rFonts w:ascii="Arial" w:cs="Arial" w:eastAsia="Arial" w:hAnsi="Arial"/>
          <w:sz w:val="22"/>
          <w:szCs w:val="22"/>
        </w:rPr>
        <w:t xml:space="preserve"> items would break core game mechanics or contradict the PRD if shipped. </w:t>
      </w:r>
      <w:r>
        <w:rPr>
          <w:rFonts w:ascii="Arial" w:cs="Arial" w:eastAsia="Arial" w:hAnsi="Arial"/>
          <w:b/>
          <w:bCs/>
          <w:color w:val="92400E"/>
          <w:sz w:val="22"/>
          <w:szCs w:val="22"/>
        </w:rPr>
        <w:t xml:space="preserve">Major</w:t>
      </w:r>
      <w:r>
        <w:rPr>
          <w:rFonts w:ascii="Arial" w:cs="Arial" w:eastAsia="Arial" w:hAnsi="Arial"/>
          <w:sz w:val="22"/>
          <w:szCs w:val="22"/>
        </w:rPr>
        <w:t xml:space="preserve"> items represent meaningful gaps that degrade the experience. </w:t>
      </w:r>
      <w:r>
        <w:rPr>
          <w:rFonts w:ascii="Arial" w:cs="Arial" w:eastAsia="Arial" w:hAnsi="Arial"/>
          <w:b/>
          <w:bCs/>
          <w:color w:val="065F46"/>
          <w:sz w:val="22"/>
          <w:szCs w:val="22"/>
        </w:rPr>
        <w:t xml:space="preserve">Minor</w:t>
      </w:r>
      <w:r>
        <w:rPr>
          <w:rFonts w:ascii="Arial" w:cs="Arial" w:eastAsia="Arial" w:hAnsi="Arial"/>
          <w:sz w:val="22"/>
          <w:szCs w:val="22"/>
        </w:rPr>
        <w:t xml:space="preserve"> items are polish and consistency issues. </w:t>
      </w:r>
      <w:r>
        <w:rPr>
          <w:rFonts w:ascii="Arial" w:cs="Arial" w:eastAsia="Arial" w:hAnsi="Arial"/>
          <w:b/>
          <w:bCs/>
          <w:color w:val="1E40AF"/>
          <w:sz w:val="22"/>
          <w:szCs w:val="22"/>
        </w:rPr>
        <w:t xml:space="preserve">Positive</w:t>
      </w:r>
      <w:r>
        <w:rPr>
          <w:rFonts w:ascii="Arial" w:cs="Arial" w:eastAsia="Arial" w:hAnsi="Arial"/>
          <w:sz w:val="22"/>
          <w:szCs w:val="22"/>
        </w:rPr>
        <w:t xml:space="preserve"> items call out things the mocks do well that aren’t in the PRD but should stay.</w:t>
      </w:r>
    </w:p>
    <w:p>
      <w:pPr>
        <w:pStyle w:val="Heading2"/>
        <w:spacing w:before="360"/>
      </w:pPr>
      <w:r>
        <w:rPr>
          <w:rFonts w:ascii="Arial" w:cs="Arial" w:eastAsia="Arial" w:hAnsi="Arial"/>
          <w:b/>
          <w:bCs/>
          <w:color w:val="6B3FA0"/>
          <w:sz w:val="28"/>
          <w:szCs w:val="28"/>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DE8E8" w:val="clear"/>
            <w:tcMar>
              <w:top w:type="dxa" w:w="120"/>
              <w:left w:type="dxa" w:w="160"/>
              <w:bottom w:type="dxa" w:w="120"/>
              <w:right w:type="dxa" w:w="160"/>
            </w:tcMar>
          </w:tcPr>
          <w:p>
            <w:pPr>
              <w:spacing w:after="40"/>
              <w:jc w:val="center"/>
            </w:pPr>
            <w:r>
              <w:rPr>
                <w:rFonts w:ascii="Arial" w:cs="Arial" w:eastAsia="Arial" w:hAnsi="Arial"/>
                <w:b/>
                <w:bCs/>
                <w:color w:val="B91C1C"/>
                <w:sz w:val="26"/>
                <w:szCs w:val="26"/>
              </w:rPr>
              <w:t xml:space="preserve">6 Critical</w:t>
            </w:r>
          </w:p>
          <w:p>
            <w:pPr>
              <w:jc w:val="center"/>
            </w:pPr>
            <w:r>
              <w:rPr>
                <w:rFonts w:ascii="Arial" w:cs="Arial" w:eastAsia="Arial" w:hAnsi="Arial"/>
                <w:color w:val="B91C1C"/>
                <w:sz w:val="18"/>
                <w:szCs w:val="18"/>
              </w:rPr>
              <w:t xml:space="preserve">Breaks core mechanics</w:t>
            </w:r>
          </w:p>
        </w:tc>
        <w:tc>
          <w:tcPr>
            <w:tcW w:type="dxa" w:w="23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40"/>
              <w:jc w:val="center"/>
            </w:pPr>
            <w:r>
              <w:rPr>
                <w:rFonts w:ascii="Arial" w:cs="Arial" w:eastAsia="Arial" w:hAnsi="Arial"/>
                <w:b/>
                <w:bCs/>
                <w:color w:val="92400E"/>
                <w:sz w:val="26"/>
                <w:szCs w:val="26"/>
              </w:rPr>
              <w:t xml:space="preserve">5 Major</w:t>
            </w:r>
          </w:p>
          <w:p>
            <w:pPr>
              <w:jc w:val="center"/>
            </w:pPr>
            <w:r>
              <w:rPr>
                <w:rFonts w:ascii="Arial" w:cs="Arial" w:eastAsia="Arial" w:hAnsi="Arial"/>
                <w:color w:val="92400E"/>
                <w:sz w:val="18"/>
                <w:szCs w:val="18"/>
              </w:rPr>
              <w:t xml:space="preserve">Meaningful gaps</w:t>
            </w:r>
          </w:p>
        </w:tc>
        <w:tc>
          <w:tcPr>
            <w:tcW w:type="dxa" w:w="234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40"/>
              <w:jc w:val="center"/>
            </w:pPr>
            <w:r>
              <w:rPr>
                <w:rFonts w:ascii="Arial" w:cs="Arial" w:eastAsia="Arial" w:hAnsi="Arial"/>
                <w:b/>
                <w:bCs/>
                <w:color w:val="065F46"/>
                <w:sz w:val="26"/>
                <w:szCs w:val="26"/>
              </w:rPr>
              <w:t xml:space="preserve">4 Minor</w:t>
            </w:r>
          </w:p>
          <w:p>
            <w:pPr>
              <w:jc w:val="center"/>
            </w:pPr>
            <w:r>
              <w:rPr>
                <w:rFonts w:ascii="Arial" w:cs="Arial" w:eastAsia="Arial" w:hAnsi="Arial"/>
                <w:color w:val="065F46"/>
                <w:sz w:val="18"/>
                <w:szCs w:val="18"/>
              </w:rPr>
              <w:t xml:space="preserve">Polish items</w:t>
            </w:r>
          </w:p>
        </w:tc>
        <w:tc>
          <w:tcPr>
            <w:tcW w:type="dxa" w:w="234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40"/>
              <w:jc w:val="center"/>
            </w:pPr>
            <w:r>
              <w:rPr>
                <w:rFonts w:ascii="Arial" w:cs="Arial" w:eastAsia="Arial" w:hAnsi="Arial"/>
                <w:b/>
                <w:bCs/>
                <w:color w:val="1E40AF"/>
                <w:sz w:val="26"/>
                <w:szCs w:val="26"/>
              </w:rPr>
              <w:t xml:space="preserve">4 Positive</w:t>
            </w:r>
          </w:p>
          <w:p>
            <w:pPr>
              <w:jc w:val="center"/>
            </w:pPr>
            <w:r>
              <w:rPr>
                <w:rFonts w:ascii="Arial" w:cs="Arial" w:eastAsia="Arial" w:hAnsi="Arial"/>
                <w:color w:val="1E40AF"/>
                <w:sz w:val="18"/>
                <w:szCs w:val="18"/>
              </w:rPr>
              <w:t xml:space="preserve">Keep these</w:t>
            </w:r>
          </w:p>
        </w:tc>
      </w:tr>
    </w:tbl>
    <w:p>
      <w:r>
        <w:br w:type="page"/>
      </w:r>
    </w:p>
    <w:p>
      <w:pPr>
        <w:pStyle w:val="Heading2"/>
        <w:spacing w:before="360" w:after="180"/>
      </w:pPr>
      <w:r>
        <w:rPr>
          <w:rFonts w:ascii="Arial" w:cs="Arial" w:eastAsia="Arial" w:hAnsi="Arial"/>
          <w:b/>
          <w:bCs/>
          <w:color w:val="6B3FA0"/>
          <w:sz w:val="28"/>
          <w:szCs w:val="28"/>
        </w:rPr>
        <w:t xml:space="preserve">Screen 1: Home / Start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Severity</w:t>
            </w:r>
          </w:p>
        </w:tc>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Screen</w:t>
            </w:r>
          </w:p>
        </w:tc>
        <w:tc>
          <w:tcPr>
            <w:tcW w:type="dxa" w:w="3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Finding</w:t>
            </w:r>
          </w:p>
        </w:tc>
        <w:tc>
          <w:tcPr>
            <w:tcW w:type="dxa" w:w="3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Recommendation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Tagline says “the game where you might win by building the best product.” The PRD’s product vision (Section 1) explicitly states this is “a game about being evaluated (not about building the best product!).” This is the single most important framing decision in the product and the mock contradicts it directly.</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Rewrite to center on evaluation, not product quality. Something like: “The game where your performance review has a casual relationship with your performance.” Lean into the cynical tone from the tone samples.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completed games history visible. The data model defines a CompletedGameSummary entity specifically noted as “displayed on start screen.” This is important for replayability (a v1 success criterion).</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a section (perhaps collapsible or below the fold) showing past runs: difficulty, final rating, date. Even 2–3 entries would reinforce the “just one more run” loop.</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Difficulty labels (“Good Manager,” “OK Manager,” “Bad Manager”) are a charming reframe of easy/normal/hard and fit the tone well. The descriptions are solid. Minor note: the data model uses easy/normal/hard internally, so just confirm these labels are cosmetic only.</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Keep the labels. Consider adding the internal difficulty name in small text (e.g., “OK Manager — Normal”) so playtesters can reference settings accurately.</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“Load Game” vs. PRD’s “Saved Game.” The data model only supports one save slot, and the session lifecycle describes this as “Resume.” “Load Game” implies a file picker or multiple slots, which could confuse expectations.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Consider “Continue” or “Resume Game” to better signal the single-slot model. Gray it out or hide it when no active game exists.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POSITIVE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The “get deactivated on Slack” line in the tagline is exactly the right tone. The difficulty card descriptions (“your manager is literally and figuratively out to lunch”) match our tone samples perfectly.</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Keep this voice throughout. It’s the right register.</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POSITIVE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Home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Framing difficulty as “manager competence” rather than abstract difficulty is a smart narrative choice. It grounds the mechanic in the fiction and makes the player feel like they’re choosing a scenario, not a handicap.</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This is a great example of “fun first, simulator second.”</w:t>
            </w:r>
          </w:p>
        </w:tc>
      </w:tr>
    </w:tbl>
    <w:p>
      <w:r>
        <w:br w:type="page"/>
      </w:r>
    </w:p>
    <w:p>
      <w:pPr>
        <w:pStyle w:val="Heading2"/>
        <w:spacing w:before="360" w:after="180"/>
      </w:pPr>
      <w:r>
        <w:rPr>
          <w:rFonts w:ascii="Arial" w:cs="Arial" w:eastAsia="Arial" w:hAnsi="Arial"/>
          <w:b/>
          <w:bCs/>
          <w:color w:val="6B3FA0"/>
          <w:sz w:val="28"/>
          <w:szCs w:val="28"/>
        </w:rPr>
        <w:t xml:space="preserve">Screen 2: Sprint Planning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Severity</w:t>
            </w:r>
          </w:p>
        </w:tc>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Screen</w:t>
            </w:r>
          </w:p>
        </w:tc>
        <w:tc>
          <w:tcPr>
            <w:tcW w:type="dxa" w:w="3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Finding</w:t>
            </w:r>
          </w:p>
        </w:tc>
        <w:tc>
          <w:tcPr>
            <w:tcW w:type="dxa" w:w="3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Recommendation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CTO Sentiment is missing from the metrics bar. The data model defines 7 visible metrics, but only 6 are shown (Team, CEO, Sales, Self-Serve, Enterprise, Tech Debt). CTO sentiment drives the +4 capacity bonus (Office of the CTO) and CTO roadmap hijacks. Players need this signal.</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CTO sentiment to the metrics bar, displayed as a face tier consistent with the other sentiment metrics.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Growth metrics display “0%” as values. The PRD (Section 14) explicitly lists “Exact metric visibility” as out of scope for v1. The data model says metrics are “shown to player as trends, never exact numbers.” Percentages break the core design philosophy of operating under uncertainty.</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Replace percentages with the 5-tier trend arrows from the data model: Strong Decline ↓↓, Declining ↓, Flat →, Growing ↑, Surging ↑↑. These convey direction without precision.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CEO Focus indicator anywhere on screen. CEO alignment is the single largest modifier in the entire game (+12% success bonus). Without knowing the CEO’s current focus, players cannot make the game’s most consequential strategic decision. This is the equivalent of playing poker without being able to see the community cards.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a prominent CEO Focus indicator, ideally near the CEO sentiment metric. Something like “CEO Focus: Enterprise” with a visual treatment that makes it unmissable. Consider also tagging CEO-aligned tickets in the backlog.</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Sentiment metrics show dashes (“—”) rather than the face-based 5-tier display system from the data model (Very Unhappy through Very Happy). The face system is specified to convey qualitative state without numbers.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Replace dashes with the face/emoji tier system. Even simple text labels (e.g., a small face icon + “Neutral”) would work. The faces are an important part of making metrics feel subjective rather than quantitative.</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Tickets don’t show their category. The ticket category determines metric affinities, CEO alignment, and outcome probabilities. Without it, the player is missing essential context about what a ticket actually does. The PRD description format calls for titles, effort cost, and short descriptions including tradeoffs.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a subtle category tag to each ticket card (e.g., “Enterprise Feature,” “Tech Debt,” “Moonshot”). This helps players quickly pattern-match without reading every description.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visual indicator for mandatory/hijack tickets. The data model includes an is_mandatory flag and the hijack system is a core pressure mechanic. If hijack tickets look identical to regular tickets, the player loses the narrative impact of being “forced” to do something.</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Give mandatory tickets a distinct visual treatment: a different border color, a “MANDATORY” badge, or a lock icon. They should feel imposed, not chosen.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PRD calls for “Swim lanes with Todo, In Progress, and Done labels.” The mock shows Backlog and Todo only. Given the gameplay loop (select then commit), In Progress and Done columns would only populate after sprint resolution, which happens on the retro screen.</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This is a gray area. Consider whether the kanban metaphor adds clarity or clutter. The current two-panel layout (Backlog | This Sprint) may actually be cleaner for the gameplay. If keeping it, rename “Todo (This Sprint)” to something like “Committed” to match the data model language.</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overbooking indicator or warning. The data model allows players to commit up to 125% of capacity (stretch goals) with consequences. The capacity bar shows “Used: 0 / Planned: 20” but nothing about the 25% stretch zone.</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a visual “danger zone” to the capacity bar beyond 100%. When the player overbooks, change the bar color (e.g., orange/red) and show a brief warning about the morale and success-rate penalties.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POSITIVE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Planning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The drag-to-commit interaction model is intuitive and game-like. The capacity bar provides immediate feedback. The two-panel layout is clean and focused. The “Reconsider Scope” button is a nice narrative touch not in the PRD.</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The interaction model is solid. Keep the drag-and-drop as the primary interaction.</w:t>
            </w:r>
          </w:p>
        </w:tc>
      </w:tr>
    </w:tbl>
    <w:p>
      <w:r>
        <w:br w:type="page"/>
      </w:r>
    </w:p>
    <w:p>
      <w:pPr>
        <w:pStyle w:val="Heading2"/>
        <w:spacing w:before="360" w:after="180"/>
      </w:pPr>
      <w:r>
        <w:rPr>
          <w:rFonts w:ascii="Arial" w:cs="Arial" w:eastAsia="Arial" w:hAnsi="Arial"/>
          <w:b/>
          <w:bCs/>
          <w:color w:val="6B3FA0"/>
          <w:sz w:val="28"/>
          <w:szCs w:val="28"/>
        </w:rPr>
        <w:t xml:space="preserve">Screen 3: Sprint Retro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Severity</w:t>
            </w:r>
          </w:p>
        </w:tc>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Screen</w:t>
            </w:r>
          </w:p>
        </w:tc>
        <w:tc>
          <w:tcPr>
            <w:tcW w:type="dxa" w:w="3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Finding</w:t>
            </w:r>
          </w:p>
        </w:tc>
        <w:tc>
          <w:tcPr>
            <w:tcW w:type="dxa" w:w="3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Recommendation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Retro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visible metric deltas (how each metric changed this sprint). The data model’s SprintRetro entity includes metric_deltas as a required attribute, and the PRD lists “Directional changes to metrics and sentiment” as a key element of the retro. This is how the player learns cause and effect.</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Add a “Metric Changes” section showing directional shifts (e.g., “Team Sentiment: ↓” or “Enterprise Growth: ↑↑”). Keep it directional, not numeric, consistent with the v1 philosophy.</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Retro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Events section is not clearly visible. The data model includes events_triggered on the SprintRetro, and events are a major narrative element (CEO attends conference, senior engineer quits, etc.). These need prominent placement.</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If any events fired during the sprint, give them a visually distinct callout block, separate from ticket outcomes. Events are dramatic moments and should feel like interruptions, not footnotes.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POSITIVE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Retro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The color-coded outcome labels (green/yellow/orange/red) for individual tickets are excellent. The per-ticket narrative text matches the data model’s TicketOutcome structure. The overall layout gives appropriate weight to each ticket result.</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The outcome presentation is strong. The color system is intuitive.</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POSITIVE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Sprint Retro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“Your Retro Notes (optional)” is a nice touch not in the PRD. It gives the player a moment of reflection and makes the retro feel like an actual team ritual.</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Keep this. Consider whether notes persist and are visible in a game log.</w:t>
            </w:r>
          </w:p>
        </w:tc>
      </w:tr>
    </w:tbl>
    <w:p>
      <w:r>
        <w:br w:type="page"/>
      </w:r>
    </w:p>
    <w:p>
      <w:pPr>
        <w:pStyle w:val="Heading2"/>
        <w:spacing w:before="360" w:after="180"/>
      </w:pPr>
      <w:r>
        <w:rPr>
          <w:rFonts w:ascii="Arial" w:cs="Arial" w:eastAsia="Arial" w:hAnsi="Arial"/>
          <w:b/>
          <w:bCs/>
          <w:color w:val="6B3FA0"/>
          <w:sz w:val="28"/>
          <w:szCs w:val="28"/>
        </w:rPr>
        <w:t xml:space="preserve">Screen 4: Quarterly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Severity</w:t>
            </w:r>
          </w:p>
        </w:tc>
        <w:tc>
          <w:tcPr>
            <w:tcW w:type="dxa" w:w="1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Screen</w:t>
            </w:r>
          </w:p>
        </w:tc>
        <w:tc>
          <w:tcPr>
            <w:tcW w:type="dxa" w:w="3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Finding</w:t>
            </w:r>
          </w:p>
        </w:tc>
        <w:tc>
          <w:tcPr>
            <w:tcW w:type="dxa" w:w="3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Recommendation</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The Product Pulse section shows completely different categories than the data model. Mock shows: Market Fit, User Engagement, Revenue Growth, Customer Satisfaction, Team Productivity. Data model defines exactly three signals: Churn, Support Load, Customer Sentiment, each rated as Positive/Mixed/Concerning. These three were carefully designed to give indirect reads on hidden metrics (NPS, tech debt). The mock’s version breaks this system entirely.</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Replace with the three data model signals: Churn, Support Load, Customer Sentiment. Display each as Positive/Mixed/Concerning with the short narrative text. This is one of the player’s only windows into hidden metrics.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Performance rating shows “Product Leader” which doesn’t exist in the data model. The rating tiers are: Strong, Solid, Mixed, Below Expectations. Using undefined ratings will confuse the scoring system and breaks the dry, corporate-review tone (nobody gets called a “Product Leader” in a real review).</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Use the four defined rating tiers exactly. The corporate blandness of “Solid” or “Mixed” is part of the joke. They should feel like actual performance review language.</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DE8E8"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CRITICAL</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Year-to-Date Performance charts show metrics not in the data model (User Acquisition, Revenue Growth, Retention Rate as line charts with implied exact values). The PRD explicitly prohibits “optimization-friendly dashboards” (Section 14). These charts give players too much quantitative data and turn the review into a dashboard, which is exactly what the PRD says not to do.</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Remove the charts entirely. The quarterly review should be primarily narrative text with references to trends, CEO alignment, and the product pulse. If any visual is needed, keep it to the Key Metric Trends section (which is closer to the right idea).</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MAJOR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“Strategic Recommendations” section with explicit advice (“Prioritize features for enterprise clients...”) undermines the game’s core design. The PRD says the quarterly review should include narrative feedback referencing trends, pulse, CEO alignment, and volatility. It should NOT tell the player what to do. The game is about making decisions under uncertainty, not following instructions.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Replace with a narrative paragraph in the dry corporate tone from the tone samples. Reference what happened, hint at what matters, but never prescribe. The review should feel like a real performance review: full of implications but short on actionable clarity.</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Key Metric Trends section shows “+18%” and “+10%” for growth metrics. Again, exact numbers are out of scope. The labels for sentiments (“Positive,” “Very Satisfied”) are closer to correct but don’t match the data model’s tier names.</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Use the exact tier labels from the data model: face tiers for sentiments (Very Unhappy through Very Happy) and arrow tiers for growth (Strong Decline through Surging). Keep these consistent across all screens.</w:t>
            </w:r>
          </w:p>
        </w:tc>
      </w:tr>
      <w:tr>
        <w:tc>
          <w:tcPr>
            <w:tcW w:type="dxa" w:w="9360"/>
            <w:gridSpan w:val="4"/>
            <w:tcBorders>
              <w:top w:val="none" w:color="FFFFFF" w:sz="0"/>
              <w:left w:val="none" w:color="FFFFFF" w:sz="0"/>
              <w:bottom w:val="none" w:color="FFFFFF" w:sz="0"/>
              <w:right w:val="none" w:color="FFFFFF" w:sz="0"/>
            </w:tcBorders>
            <w:shd w:fill="E5E7EB" w:val="clear"/>
            <w:tcMar>
              <w:top w:type="dxa" w:w="0"/>
              <w:left w:type="dxa" w:w="0"/>
              <w:bottom w:type="dxa" w:w="0"/>
              <w:right w:type="dxa" w:w="0"/>
            </w:tcMar>
          </w:tcPr>
          <w:p>
            <w:pPr>
              <w:spacing w:before="0" w:after="0"/>
            </w:pPr>
            <w:r>
              <w:rPr>
                <w:sz w:val="4"/>
                <w:szCs w:val="4"/>
              </w:rPr>
              <w:t xml:space="preserve"/>
            </w:r>
          </w:p>
        </w:tc>
      </w:tr>
      <w:tr>
        <w:tc>
          <w:tcPr>
            <w:tcW w:type="dxa" w:w="1200"/>
            <w:tcBorders>
              <w:top w:val="none" w:color="FFFFFF" w:sz="0"/>
              <w:left w:val="none" w:color="FFFFFF" w:sz="0"/>
              <w:bottom w:val="none" w:color="FFFFFF" w:sz="0"/>
              <w:right w:val="none" w:color="FFFFFF" w:sz="0"/>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MINOR</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6B7280"/>
                <w:sz w:val="20"/>
                <w:szCs w:val="20"/>
              </w:rPr>
              <w:t xml:space="preserve">Quarterly Review</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0"/>
                <w:szCs w:val="20"/>
              </w:rPr>
              <w:t xml:space="preserve">No mention of CEO focus or CEO alignment score in the review. The scoring formula weights CEO alignment at 40 out of 100 points, making it the single largest factor in the quarterly rating. The review narrative should reference whether the player’s work aligned with what the CEO cared about.</w:t>
            </w:r>
          </w:p>
        </w:tc>
        <w:tc>
          <w:tcPr>
            <w:tcW w:type="dxa" w:w="33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i/>
                <w:iCs/>
                <w:color w:val="6B7280"/>
                <w:sz w:val="20"/>
                <w:szCs w:val="20"/>
              </w:rPr>
              <w:t xml:space="preserve">The narrative should explicitly reference CEO alignment. The tone samples show this: “{ceo_focus_metric} trended in the right direction” or “did not move the way leadership expected.”</w:t>
            </w:r>
          </w:p>
        </w:tc>
      </w:tr>
    </w:tbl>
    <w:p>
      <w:r>
        <w:br w:type="page"/>
      </w:r>
    </w:p>
    <w:p>
      <w:pPr>
        <w:pStyle w:val="Heading2"/>
        <w:spacing w:before="360" w:after="180"/>
      </w:pPr>
      <w:r>
        <w:rPr>
          <w:rFonts w:ascii="Arial" w:cs="Arial" w:eastAsia="Arial" w:hAnsi="Arial"/>
          <w:b/>
          <w:bCs/>
          <w:color w:val="6B3FA0"/>
          <w:sz w:val="28"/>
          <w:szCs w:val="28"/>
        </w:rPr>
        <w:t xml:space="preserve">Cross-Cutting Concerns &amp; Missing Screens</w:t>
      </w:r>
    </w:p>
    <w:p>
      <w:pPr>
        <w:spacing w:after="200"/>
      </w:pPr>
      <w:r>
        <w:rPr>
          <w:rFonts w:ascii="Arial" w:cs="Arial" w:eastAsia="Arial" w:hAnsi="Arial"/>
          <w:sz w:val="22"/>
          <w:szCs w:val="22"/>
        </w:rPr>
        <w:t xml:space="preserve">Beyond the individual screen feedback, there are several cross-cutting issues and gaps worth noting as the design progresses.</w:t>
      </w:r>
    </w:p>
    <w:p>
      <w:pPr>
        <w:pStyle w:val="Heading3"/>
      </w:pPr>
      <w:r>
        <w:rPr>
          <w:rFonts w:ascii="Arial" w:cs="Arial" w:eastAsia="Arial" w:hAnsi="Arial"/>
          <w:b/>
          <w:bCs/>
          <w:sz w:val="24"/>
          <w:szCs w:val="24"/>
        </w:rPr>
        <w:t xml:space="preserve">Missing Screens</w:t>
      </w:r>
    </w:p>
    <w:p>
      <w:pPr>
        <w:spacing w:after="120"/>
      </w:pPr>
      <w:r>
        <w:rPr>
          <w:rFonts w:ascii="Arial" w:cs="Arial" w:eastAsia="Arial" w:hAnsi="Arial"/>
          <w:sz w:val="22"/>
          <w:szCs w:val="22"/>
        </w:rPr>
        <w:t xml:space="preserve">The PRD describes several screens and moments that aren’t yet mocked. These don’t all need to be designed immediately, but they should be on the design roadmap:</w:t>
      </w:r>
    </w:p>
    <w:p>
      <w:pPr>
        <w:pStyle w:val="ListParagraph"/>
        <w:numPr>
          <w:ilvl w:val="0"/>
          <w:numId w:val="2"/>
        </w:numPr>
        <w:spacing w:after="60"/>
      </w:pPr>
      <w:r>
        <w:rPr>
          <w:rFonts w:ascii="Arial" w:cs="Arial" w:eastAsia="Arial" w:hAnsi="Arial"/>
          <w:b/>
          <w:bCs/>
          <w:sz w:val="22"/>
          <w:szCs w:val="22"/>
        </w:rPr>
        <w:t xml:space="preserve">Quarter Opening / Product Pulse screen: </w:t>
      </w:r>
      <w:r>
        <w:rPr>
          <w:rFonts w:ascii="Arial" w:cs="Arial" w:eastAsia="Arial" w:hAnsi="Arial"/>
          <w:sz w:val="22"/>
          <w:szCs w:val="22"/>
        </w:rPr>
        <w:t xml:space="preserve">The tone samples include rich quarter-opening text and the Product Pulse is a distinct quarterly moment. This likely needs its own screen or modal rather than being embedded in the Quarterly Review.</w:t>
      </w:r>
    </w:p>
    <w:p>
      <w:pPr>
        <w:pStyle w:val="ListParagraph"/>
        <w:numPr>
          <w:ilvl w:val="0"/>
          <w:numId w:val="2"/>
        </w:numPr>
        <w:spacing w:after="60"/>
      </w:pPr>
      <w:r>
        <w:rPr>
          <w:rFonts w:ascii="Arial" w:cs="Arial" w:eastAsia="Arial" w:hAnsi="Arial"/>
          <w:b/>
          <w:bCs/>
          <w:sz w:val="22"/>
          <w:szCs w:val="22"/>
        </w:rPr>
        <w:t xml:space="preserve">Event interruptions: </w:t>
      </w:r>
      <w:r>
        <w:rPr>
          <w:rFonts w:ascii="Arial" w:cs="Arial" w:eastAsia="Arial" w:hAnsi="Arial"/>
          <w:sz w:val="22"/>
          <w:szCs w:val="22"/>
        </w:rPr>
        <w:t xml:space="preserve">Events like “CEO attended a conference” or “Senior engineer quits” fire between sprints and should feel like dramatic interruptions. They need a visual treatment (modal? interstitial?) that conveys surprise and consequence.</w:t>
      </w:r>
    </w:p>
    <w:p>
      <w:pPr>
        <w:pStyle w:val="ListParagraph"/>
        <w:numPr>
          <w:ilvl w:val="0"/>
          <w:numId w:val="2"/>
        </w:numPr>
        <w:spacing w:after="60"/>
      </w:pPr>
      <w:r>
        <w:rPr>
          <w:rFonts w:ascii="Arial" w:cs="Arial" w:eastAsia="Arial" w:hAnsi="Arial"/>
          <w:b/>
          <w:bCs/>
          <w:sz w:val="22"/>
          <w:szCs w:val="22"/>
        </w:rPr>
        <w:t xml:space="preserve">Year-End Review screen: </w:t>
      </w:r>
      <w:r>
        <w:rPr>
          <w:rFonts w:ascii="Arial" w:cs="Arial" w:eastAsia="Arial" w:hAnsi="Arial"/>
          <w:sz w:val="22"/>
          <w:szCs w:val="22"/>
        </w:rPr>
        <w:t xml:space="preserve">The final evaluation is the climax of the game. It deserves its own screen with the bell-curve reveal, calibration narrative, and final rating. This is the “big moment.”</w:t>
      </w:r>
    </w:p>
    <w:p>
      <w:pPr>
        <w:pStyle w:val="ListParagraph"/>
        <w:numPr>
          <w:ilvl w:val="0"/>
          <w:numId w:val="2"/>
        </w:numPr>
        <w:spacing w:after="200"/>
      </w:pPr>
      <w:r>
        <w:rPr>
          <w:rFonts w:ascii="Arial" w:cs="Arial" w:eastAsia="Arial" w:hAnsi="Arial"/>
          <w:b/>
          <w:bCs/>
          <w:sz w:val="22"/>
          <w:szCs w:val="22"/>
        </w:rPr>
        <w:t xml:space="preserve">CEO Focus shift notification: </w:t>
      </w:r>
      <w:r>
        <w:rPr>
          <w:rFonts w:ascii="Arial" w:cs="Arial" w:eastAsia="Arial" w:hAnsi="Arial"/>
          <w:sz w:val="22"/>
          <w:szCs w:val="22"/>
        </w:rPr>
        <w:t xml:space="preserve">When the CEO’s focus changes mid-quarter (via events), the player needs a clear notification. The tone samples have excellent flavor text for this (“previous enthusiasm for enterprise dominance has been archived without acknowledgment”).</w:t>
      </w:r>
    </w:p>
    <w:p>
      <w:pPr>
        <w:pStyle w:val="Heading3"/>
      </w:pPr>
      <w:r>
        <w:rPr>
          <w:rFonts w:ascii="Arial" w:cs="Arial" w:eastAsia="Arial" w:hAnsi="Arial"/>
          <w:b/>
          <w:bCs/>
          <w:sz w:val="24"/>
          <w:szCs w:val="24"/>
        </w:rPr>
        <w:t xml:space="preserve">Consistency &amp; System Thinking</w:t>
      </w:r>
    </w:p>
    <w:p>
      <w:pPr>
        <w:pStyle w:val="ListParagraph"/>
        <w:numPr>
          <w:ilvl w:val="0"/>
          <w:numId w:val="2"/>
        </w:numPr>
        <w:spacing w:after="60"/>
      </w:pPr>
      <w:r>
        <w:rPr>
          <w:rFonts w:ascii="Arial" w:cs="Arial" w:eastAsia="Arial" w:hAnsi="Arial"/>
          <w:b/>
          <w:bCs/>
          <w:sz w:val="22"/>
          <w:szCs w:val="22"/>
        </w:rPr>
        <w:t xml:space="preserve">Metric display system needs to be unified: </w:t>
      </w:r>
      <w:r>
        <w:rPr>
          <w:rFonts w:ascii="Arial" w:cs="Arial" w:eastAsia="Arial" w:hAnsi="Arial"/>
          <w:sz w:val="22"/>
          <w:szCs w:val="22"/>
        </w:rPr>
        <w:t xml:space="preserve">Across all screens, sentiments should always use the same face-tier system and growth metrics should always use the same arrow-tier system. Right now each screen uses a different format (dashes, percentages, text labels). Pick one system and apply it everywhere.</w:t>
      </w:r>
    </w:p>
    <w:p>
      <w:pPr>
        <w:pStyle w:val="ListParagraph"/>
        <w:numPr>
          <w:ilvl w:val="0"/>
          <w:numId w:val="2"/>
        </w:numPr>
        <w:spacing w:after="60"/>
      </w:pPr>
      <w:r>
        <w:rPr>
          <w:rFonts w:ascii="Arial" w:cs="Arial" w:eastAsia="Arial" w:hAnsi="Arial"/>
          <w:b/>
          <w:bCs/>
          <w:sz w:val="22"/>
          <w:szCs w:val="22"/>
        </w:rPr>
        <w:t xml:space="preserve">Current quarter and sprint context: </w:t>
      </w:r>
      <w:r>
        <w:rPr>
          <w:rFonts w:ascii="Arial" w:cs="Arial" w:eastAsia="Arial" w:hAnsi="Arial"/>
          <w:sz w:val="22"/>
          <w:szCs w:val="22"/>
        </w:rPr>
        <w:t xml:space="preserve">The player should always know where they are in the game timeline (e.g., “Q2 — Sprint 2 of 3”). The Sprint Retro shows “Sprint 12” which is the absolute count; consider also showing the relative position (Q4, Sprint 3).</w:t>
      </w:r>
    </w:p>
    <w:p>
      <w:pPr>
        <w:pStyle w:val="ListParagraph"/>
        <w:numPr>
          <w:ilvl w:val="0"/>
          <w:numId w:val="2"/>
        </w:numPr>
        <w:spacing w:after="200"/>
      </w:pPr>
      <w:r>
        <w:rPr>
          <w:rFonts w:ascii="Arial" w:cs="Arial" w:eastAsia="Arial" w:hAnsi="Arial"/>
          <w:b/>
          <w:bCs/>
          <w:sz w:val="22"/>
          <w:szCs w:val="22"/>
        </w:rPr>
        <w:t xml:space="preserve">Tone parity with writing samples: </w:t>
      </w:r>
      <w:r>
        <w:rPr>
          <w:rFonts w:ascii="Arial" w:cs="Arial" w:eastAsia="Arial" w:hAnsi="Arial"/>
          <w:sz w:val="22"/>
          <w:szCs w:val="22"/>
        </w:rPr>
        <w:t xml:space="preserve">The tone samples document is excellent and the voice is locked in. The mocks should integrate this voice into all UI copy. For instance, the Sprint Planning screen’s “Available work for prioritization” is functional but could be “Available work. Choose wisely. Or don’t.”</w:t>
      </w:r>
    </w:p>
    <w:p>
      <w:pPr>
        <w:pStyle w:val="Heading2"/>
        <w:spacing w:before="360" w:after="180"/>
      </w:pPr>
      <w:r>
        <w:rPr>
          <w:rFonts w:ascii="Arial" w:cs="Arial" w:eastAsia="Arial" w:hAnsi="Arial"/>
          <w:b/>
          <w:bCs/>
          <w:color w:val="6B3FA0"/>
          <w:sz w:val="28"/>
          <w:szCs w:val="28"/>
        </w:rPr>
        <w:t xml:space="preserve">Recommended Next Steps</w:t>
      </w:r>
    </w:p>
    <w:p>
      <w:pPr>
        <w:pStyle w:val="ListParagraph"/>
        <w:numPr>
          <w:ilvl w:val="0"/>
          <w:numId w:val="3"/>
        </w:numPr>
        <w:spacing w:after="100"/>
      </w:pPr>
      <w:r>
        <w:rPr>
          <w:rFonts w:ascii="Arial" w:cs="Arial" w:eastAsia="Arial" w:hAnsi="Arial"/>
          <w:b/>
          <w:bCs/>
          <w:sz w:val="22"/>
          <w:szCs w:val="22"/>
        </w:rPr>
        <w:t xml:space="preserve">Fix the six Critical items first. </w:t>
      </w:r>
      <w:r>
        <w:rPr>
          <w:rFonts w:ascii="Arial" w:cs="Arial" w:eastAsia="Arial" w:hAnsi="Arial"/>
          <w:sz w:val="22"/>
          <w:szCs w:val="22"/>
        </w:rPr>
        <w:t xml:space="preserve">These are foundational: the home tagline, the metric display system, the CEO Focus indicator, and the Quarterly Review screen structure. These affect whether the game’s core mechanics are legible to the player.</w:t>
      </w:r>
    </w:p>
    <w:p>
      <w:pPr>
        <w:pStyle w:val="ListParagraph"/>
        <w:numPr>
          <w:ilvl w:val="0"/>
          <w:numId w:val="3"/>
        </w:numPr>
        <w:spacing w:after="100"/>
      </w:pPr>
      <w:r>
        <w:rPr>
          <w:rFonts w:ascii="Arial" w:cs="Arial" w:eastAsia="Arial" w:hAnsi="Arial"/>
          <w:b/>
          <w:bCs/>
          <w:sz w:val="22"/>
          <w:szCs w:val="22"/>
        </w:rPr>
        <w:t xml:space="preserve">Establish the metric display component library. </w:t>
      </w:r>
      <w:r>
        <w:rPr>
          <w:rFonts w:ascii="Arial" w:cs="Arial" w:eastAsia="Arial" w:hAnsi="Arial"/>
          <w:sz w:val="22"/>
          <w:szCs w:val="22"/>
        </w:rPr>
        <w:t xml:space="preserve">Design the face tiers, arrow tiers, and tech debt tiers as reusable components. Once these are locked, they propagate to every screen consistently.</w:t>
      </w:r>
    </w:p>
    <w:p>
      <w:pPr>
        <w:pStyle w:val="ListParagraph"/>
        <w:numPr>
          <w:ilvl w:val="0"/>
          <w:numId w:val="3"/>
        </w:numPr>
        <w:spacing w:after="100"/>
      </w:pPr>
      <w:r>
        <w:rPr>
          <w:rFonts w:ascii="Arial" w:cs="Arial" w:eastAsia="Arial" w:hAnsi="Arial"/>
          <w:b/>
          <w:bCs/>
          <w:sz w:val="22"/>
          <w:szCs w:val="22"/>
        </w:rPr>
        <w:t xml:space="preserve">Mock the missing screens. </w:t>
      </w:r>
      <w:r>
        <w:rPr>
          <w:rFonts w:ascii="Arial" w:cs="Arial" w:eastAsia="Arial" w:hAnsi="Arial"/>
          <w:sz w:val="22"/>
          <w:szCs w:val="22"/>
        </w:rPr>
        <w:t xml:space="preserve">Prioritize the Event interruption treatment and Year-End Review. These are high-narrative moments that define the game’s emotional arc.</w:t>
      </w:r>
    </w:p>
    <w:p>
      <w:pPr>
        <w:pStyle w:val="ListParagraph"/>
        <w:numPr>
          <w:ilvl w:val="0"/>
          <w:numId w:val="3"/>
        </w:numPr>
        <w:spacing w:after="100"/>
      </w:pPr>
      <w:r>
        <w:rPr>
          <w:rFonts w:ascii="Arial" w:cs="Arial" w:eastAsia="Arial" w:hAnsi="Arial"/>
          <w:b/>
          <w:bCs/>
          <w:sz w:val="22"/>
          <w:szCs w:val="22"/>
        </w:rPr>
        <w:t xml:space="preserve">Do a copy pass with the tone samples. </w:t>
      </w:r>
      <w:r>
        <w:rPr>
          <w:rFonts w:ascii="Arial" w:cs="Arial" w:eastAsia="Arial" w:hAnsi="Arial"/>
          <w:sz w:val="22"/>
          <w:szCs w:val="22"/>
        </w:rPr>
        <w:t xml:space="preserve">Replace placeholder UI copy with text that matches the dry, corporate-ironic voice. The tone is a feature, not polish.</w:t>
      </w:r>
    </w:p>
    <w:p>
      <w:pPr>
        <w:pStyle w:val="ListParagraph"/>
        <w:numPr>
          <w:ilvl w:val="0"/>
          <w:numId w:val="3"/>
        </w:numPr>
        <w:spacing w:after="200"/>
      </w:pPr>
      <w:r>
        <w:rPr>
          <w:rFonts w:ascii="Arial" w:cs="Arial" w:eastAsia="Arial" w:hAnsi="Arial"/>
          <w:b/>
          <w:bCs/>
          <w:sz w:val="22"/>
          <w:szCs w:val="22"/>
        </w:rPr>
        <w:t xml:space="preserve">Playtest the sprint planning flow on paper. </w:t>
      </w:r>
      <w:r>
        <w:rPr>
          <w:rFonts w:ascii="Arial" w:cs="Arial" w:eastAsia="Arial" w:hAnsi="Arial"/>
          <w:sz w:val="22"/>
          <w:szCs w:val="22"/>
        </w:rPr>
        <w:t xml:space="preserve">Before refining pixels, walk through 2–3 sprints using the data model’s walkthrough (Section 17) to verify the information hierarchy. Can the player make a confident-but-uncertain decision in under 30 seconds?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7280"/>
        <w:sz w:val="16"/>
        <w:szCs w:val="16"/>
      </w:rPr>
      <w:t xml:space="preserve">PM SIMULATOR</w:t>
    </w:r>
    <w:r>
      <w:rPr>
        <w:rFonts w:ascii="Arial" w:cs="Arial" w:eastAsia="Arial" w:hAnsi="Arial"/>
        <w:color w:val="6B7280"/>
        <w:sz w:val="16"/>
        <w:szCs w:val="16"/>
      </w:rPr>
      <w:t xml:space="preserve">  |  Design Review  |  </w:t>
    </w:r>
    <w:r>
      <w:rPr>
        <w:rFonts w:ascii="Arial" w:cs="Arial" w:eastAsia="Arial" w:hAnsi="Arial"/>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2026-02-06T17:10:13.442Z</dcterms:created>
  <dcterms:modified xsi:type="dcterms:W3CDTF">2026-02-06T17:10:13.443Z</dcterms:modified>
</cp:coreProperties>
</file>

<file path=docProps/custom.xml><?xml version="1.0" encoding="utf-8"?>
<Properties xmlns="http://schemas.openxmlformats.org/officeDocument/2006/custom-properties" xmlns:vt="http://schemas.openxmlformats.org/officeDocument/2006/docPropsVTypes"/>
</file>