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7A6F" w14:textId="77777777" w:rsidR="000E48B7" w:rsidRDefault="00000000">
      <w:pPr>
        <w:spacing w:after="200"/>
        <w:jc w:val="both"/>
      </w:pPr>
      <w:r>
        <w:rPr>
          <w:sz w:val="22"/>
          <w:szCs w:val="22"/>
        </w:rPr>
        <w:t xml:space="preserve">Per le correlazioni dinamiche del trimero ad anello ho eseguito il circuito con l'ancilla su tutte le 81 combinazioni </w:t>
      </w:r>
      <w:r>
        <w:rPr>
          <w:i/>
          <w:iCs/>
          <w:sz w:val="22"/>
          <w:szCs w:val="22"/>
        </w:rPr>
        <w:t>C</w:t>
      </w:r>
      <w:r>
        <w:rPr>
          <w:sz w:val="22"/>
          <w:szCs w:val="22"/>
          <w:vertAlign w:val="subscript"/>
        </w:rPr>
        <w:t>ij</w:t>
      </w:r>
      <w:r>
        <w:rPr>
          <w:sz w:val="22"/>
          <w:szCs w:val="22"/>
          <w:vertAlign w:val="superscript"/>
        </w:rPr>
        <w:t>αβ</w:t>
      </w:r>
      <w:r>
        <w:rPr>
          <w:sz w:val="22"/>
          <w:szCs w:val="22"/>
        </w:rPr>
        <w:t>(</w:t>
      </w:r>
      <w:r>
        <w:rPr>
          <w:i/>
          <w:iCs/>
          <w:sz w:val="22"/>
          <w:szCs w:val="22"/>
        </w:rPr>
        <w:t>t</w:t>
      </w:r>
      <w:r>
        <w:rPr>
          <w:sz w:val="22"/>
          <w:szCs w:val="22"/>
        </w:rPr>
        <w:t>) = ⟨</w:t>
      </w:r>
      <w:r>
        <w:rPr>
          <w:i/>
          <w:iCs/>
          <w:sz w:val="22"/>
          <w:szCs w:val="22"/>
        </w:rPr>
        <w:t>σ</w:t>
      </w:r>
      <w:r>
        <w:rPr>
          <w:sz w:val="22"/>
          <w:szCs w:val="22"/>
          <w:vertAlign w:val="subscript"/>
        </w:rPr>
        <w:t>i</w:t>
      </w:r>
      <w:r>
        <w:rPr>
          <w:sz w:val="22"/>
          <w:szCs w:val="22"/>
          <w:vertAlign w:val="superscript"/>
        </w:rPr>
        <w:t>α</w:t>
      </w:r>
      <w:r>
        <w:rPr>
          <w:sz w:val="22"/>
          <w:szCs w:val="22"/>
        </w:rPr>
        <w:t>(</w:t>
      </w:r>
      <w:r>
        <w:rPr>
          <w:i/>
          <w:iCs/>
          <w:sz w:val="22"/>
          <w:szCs w:val="22"/>
        </w:rPr>
        <w:t>t</w:t>
      </w:r>
      <w:r>
        <w:rPr>
          <w:sz w:val="22"/>
          <w:szCs w:val="22"/>
        </w:rPr>
        <w:t xml:space="preserve">) </w:t>
      </w:r>
      <w:r>
        <w:rPr>
          <w:i/>
          <w:iCs/>
          <w:sz w:val="22"/>
          <w:szCs w:val="22"/>
        </w:rPr>
        <w:t>σ</w:t>
      </w:r>
      <w:r>
        <w:rPr>
          <w:sz w:val="22"/>
          <w:szCs w:val="22"/>
          <w:vertAlign w:val="subscript"/>
        </w:rPr>
        <w:t>j</w:t>
      </w:r>
      <w:r>
        <w:rPr>
          <w:sz w:val="22"/>
          <w:szCs w:val="22"/>
          <w:vertAlign w:val="superscript"/>
        </w:rPr>
        <w:t>β</w:t>
      </w:r>
      <w:r>
        <w:rPr>
          <w:sz w:val="22"/>
          <w:szCs w:val="22"/>
        </w:rPr>
        <w:t>(0)⟩ (</w:t>
      </w:r>
      <w:r>
        <w:rPr>
          <w:i/>
          <w:iCs/>
          <w:sz w:val="22"/>
          <w:szCs w:val="22"/>
        </w:rPr>
        <w:t>i</w:t>
      </w:r>
      <w:r>
        <w:rPr>
          <w:sz w:val="22"/>
          <w:szCs w:val="22"/>
        </w:rPr>
        <w:t>,</w:t>
      </w:r>
      <w:r>
        <w:rPr>
          <w:i/>
          <w:iCs/>
          <w:sz w:val="22"/>
          <w:szCs w:val="22"/>
        </w:rPr>
        <w:t>j</w:t>
      </w:r>
      <w:r>
        <w:rPr>
          <w:sz w:val="22"/>
          <w:szCs w:val="22"/>
        </w:rPr>
        <w:t>∈{1,2,3}, α,β∈{</w:t>
      </w:r>
      <w:r>
        <w:rPr>
          <w:i/>
          <w:iCs/>
          <w:sz w:val="22"/>
          <w:szCs w:val="22"/>
        </w:rPr>
        <w:t>x</w:t>
      </w:r>
      <w:r>
        <w:rPr>
          <w:sz w:val="22"/>
          <w:szCs w:val="22"/>
        </w:rPr>
        <w:t>,</w:t>
      </w:r>
      <w:r>
        <w:rPr>
          <w:i/>
          <w:iCs/>
          <w:sz w:val="22"/>
          <w:szCs w:val="22"/>
        </w:rPr>
        <w:t>y</w:t>
      </w:r>
      <w:r>
        <w:rPr>
          <w:sz w:val="22"/>
          <w:szCs w:val="22"/>
        </w:rPr>
        <w:t>,</w:t>
      </w:r>
      <w:r>
        <w:rPr>
          <w:i/>
          <w:iCs/>
          <w:sz w:val="22"/>
          <w:szCs w:val="22"/>
        </w:rPr>
        <w:t>z</w:t>
      </w:r>
      <w:r>
        <w:rPr>
          <w:sz w:val="22"/>
          <w:szCs w:val="22"/>
        </w:rPr>
        <w:t xml:space="preserve">}), al punto di lavoro confermato </w:t>
      </w:r>
      <w:r>
        <w:rPr>
          <w:i/>
          <w:iCs/>
          <w:sz w:val="22"/>
          <w:szCs w:val="22"/>
        </w:rPr>
        <w:t>J</w:t>
      </w:r>
      <w:r>
        <w:rPr>
          <w:sz w:val="22"/>
          <w:szCs w:val="22"/>
        </w:rPr>
        <w:t xml:space="preserve">=1, </w:t>
      </w:r>
      <w:r>
        <w:rPr>
          <w:i/>
          <w:iCs/>
          <w:sz w:val="22"/>
          <w:szCs w:val="22"/>
        </w:rPr>
        <w:t>J</w:t>
      </w:r>
      <w:r>
        <w:rPr>
          <w:sz w:val="22"/>
          <w:szCs w:val="22"/>
        </w:rPr>
        <w:t xml:space="preserve">'=0.4, </w:t>
      </w:r>
      <w:r>
        <w:rPr>
          <w:i/>
          <w:iCs/>
          <w:sz w:val="22"/>
          <w:szCs w:val="22"/>
        </w:rPr>
        <w:t>b</w:t>
      </w:r>
      <w:r>
        <w:rPr>
          <w:sz w:val="22"/>
          <w:szCs w:val="22"/>
        </w:rPr>
        <w:t>=</w:t>
      </w:r>
      <w:r>
        <w:rPr>
          <w:i/>
          <w:iCs/>
          <w:sz w:val="22"/>
          <w:szCs w:val="22"/>
        </w:rPr>
        <w:t>b</w:t>
      </w:r>
      <w:r>
        <w:rPr>
          <w:sz w:val="22"/>
          <w:szCs w:val="22"/>
          <w:vertAlign w:val="subscript"/>
        </w:rPr>
        <w:t>c</w:t>
      </w:r>
      <w:r>
        <w:rPr>
          <w:sz w:val="22"/>
          <w:szCs w:val="22"/>
        </w:rPr>
        <w:t xml:space="preserve">=2.4, </w:t>
      </w:r>
      <w:r>
        <w:rPr>
          <w:i/>
          <w:iCs/>
          <w:sz w:val="22"/>
          <w:szCs w:val="22"/>
        </w:rPr>
        <w:t>D</w:t>
      </w:r>
      <w:r>
        <w:rPr>
          <w:sz w:val="22"/>
          <w:szCs w:val="22"/>
        </w:rPr>
        <w:t xml:space="preserve">=0.15, partendo dal ground state VQE già trovato. </w:t>
      </w:r>
      <w:r>
        <w:rPr>
          <w:i/>
          <w:iCs/>
          <w:sz w:val="22"/>
          <w:szCs w:val="22"/>
        </w:rPr>
        <w:t>b</w:t>
      </w:r>
      <w:r>
        <w:rPr>
          <w:sz w:val="22"/>
          <w:szCs w:val="22"/>
          <w:vertAlign w:val="subscript"/>
        </w:rPr>
        <w:t>c</w:t>
      </w:r>
      <w:r>
        <w:rPr>
          <w:sz w:val="22"/>
          <w:szCs w:val="22"/>
        </w:rPr>
        <w:t xml:space="preserve"> è il campo critico: il valore di </w:t>
      </w:r>
      <w:r>
        <w:rPr>
          <w:i/>
          <w:iCs/>
          <w:sz w:val="22"/>
          <w:szCs w:val="22"/>
        </w:rPr>
        <w:t>b</w:t>
      </w:r>
      <w:r>
        <w:rPr>
          <w:sz w:val="22"/>
          <w:szCs w:val="22"/>
        </w:rPr>
        <w:t xml:space="preserve"> a cui, in assenza del termine DM, due livelli energetici del sistema si incrociano — è il punto dove la dinamica risulta più ricca, per lo stesso motivo per cui nel dimero cercavo un regime non monocromatico. Il DM entra qui nella cosiddetta “Opzione B”: fra le disposizioni di segno possibili per il termine DM sui tre legami del triangolo, è l'unica che apre davvero il gap a </w:t>
      </w:r>
      <w:r>
        <w:rPr>
          <w:i/>
          <w:iCs/>
          <w:sz w:val="22"/>
          <w:szCs w:val="22"/>
        </w:rPr>
        <w:t>b</w:t>
      </w:r>
      <w:r>
        <w:rPr>
          <w:sz w:val="22"/>
          <w:szCs w:val="22"/>
          <w:vertAlign w:val="subscript"/>
        </w:rPr>
        <w:t>c</w:t>
      </w:r>
      <w:r>
        <w:rPr>
          <w:sz w:val="22"/>
          <w:szCs w:val="22"/>
        </w:rPr>
        <w:t xml:space="preserve"> invece di lasciare l'incrocio di livello inalterato — l'ho scelta per questo motivo in una fase precedente del lavoro, e la mantengo qui. Le due opzioni restate sul tavolo a quel tempo erano queste: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50"/>
        <w:gridCol w:w="3650"/>
      </w:tblGrid>
      <w:tr w:rsidR="000E48B7" w14:paraId="7A97606E" w14:textId="77777777">
        <w:tblPrEx>
          <w:tblCellMar>
            <w:top w:w="0" w:type="dxa"/>
            <w:bottom w:w="0" w:type="dxa"/>
          </w:tblCellMar>
        </w:tblPrEx>
        <w:tc>
          <w:tcPr>
            <w:tcW w:w="2200" w:type="dxa"/>
            <w:shd w:val="clear" w:color="auto" w:fill="E8E8E8"/>
          </w:tcPr>
          <w:p w14:paraId="05FD98E5" w14:textId="77777777" w:rsidR="000E48B7" w:rsidRDefault="000E48B7">
            <w:pPr>
              <w:jc w:val="center"/>
            </w:pPr>
          </w:p>
        </w:tc>
        <w:tc>
          <w:tcPr>
            <w:tcW w:w="3650" w:type="dxa"/>
            <w:shd w:val="clear" w:color="auto" w:fill="E8E8E8"/>
          </w:tcPr>
          <w:p w14:paraId="6CDF2EE1" w14:textId="77777777" w:rsidR="000E48B7" w:rsidRDefault="00000000">
            <w:pPr>
              <w:jc w:val="center"/>
            </w:pPr>
            <w:r>
              <w:rPr>
                <w:b/>
                <w:bCs/>
                <w:sz w:val="19"/>
                <w:szCs w:val="19"/>
              </w:rPr>
              <w:t>Opzione A (simmetrica)</w:t>
            </w:r>
          </w:p>
        </w:tc>
        <w:tc>
          <w:tcPr>
            <w:tcW w:w="3650" w:type="dxa"/>
            <w:shd w:val="clear" w:color="auto" w:fill="E8E8E8"/>
          </w:tcPr>
          <w:p w14:paraId="49166116" w14:textId="77777777" w:rsidR="000E48B7" w:rsidRDefault="00000000">
            <w:pPr>
              <w:jc w:val="center"/>
            </w:pPr>
            <w:r>
              <w:rPr>
                <w:b/>
                <w:bCs/>
                <w:sz w:val="19"/>
                <w:szCs w:val="19"/>
              </w:rPr>
              <w:t>Opzione B (usata qui)</w:t>
            </w:r>
          </w:p>
        </w:tc>
      </w:tr>
      <w:tr w:rsidR="000E48B7" w14:paraId="644199B7" w14:textId="77777777">
        <w:tblPrEx>
          <w:tblCellMar>
            <w:top w:w="0" w:type="dxa"/>
            <w:bottom w:w="0" w:type="dxa"/>
          </w:tblCellMar>
        </w:tblPrEx>
        <w:tc>
          <w:tcPr>
            <w:tcW w:w="2200" w:type="dxa"/>
          </w:tcPr>
          <w:p w14:paraId="1C5B5B31" w14:textId="77777777" w:rsidR="000E48B7" w:rsidRDefault="00000000">
            <w:pPr>
              <w:jc w:val="center"/>
            </w:pPr>
            <w:r>
              <w:rPr>
                <w:sz w:val="19"/>
                <w:szCs w:val="19"/>
              </w:rPr>
              <w:t>forma</w:t>
            </w:r>
          </w:p>
        </w:tc>
        <w:tc>
          <w:tcPr>
            <w:tcW w:w="3650" w:type="dxa"/>
          </w:tcPr>
          <w:p w14:paraId="77C62AC2" w14:textId="77777777" w:rsidR="000E48B7" w:rsidRDefault="00000000">
            <w:pPr>
              <w:jc w:val="center"/>
            </w:pPr>
            <w:r>
              <w:rPr>
                <w:i/>
                <w:iCs/>
                <w:sz w:val="19"/>
                <w:szCs w:val="19"/>
              </w:rPr>
              <w:t>D</w:t>
            </w:r>
            <w:r>
              <w:rPr>
                <w:sz w:val="19"/>
                <w:szCs w:val="19"/>
              </w:rPr>
              <w:t>'[(</w:t>
            </w:r>
            <w:r>
              <w:rPr>
                <w:i/>
                <w:iCs/>
                <w:sz w:val="19"/>
                <w:szCs w:val="19"/>
              </w:rPr>
              <w:t>X</w:t>
            </w:r>
            <w:r>
              <w:rPr>
                <w:sz w:val="19"/>
                <w:szCs w:val="19"/>
                <w:vertAlign w:val="subscript"/>
              </w:rPr>
              <w:t>2</w:t>
            </w:r>
            <w:r>
              <w:rPr>
                <w:i/>
                <w:iCs/>
                <w:sz w:val="19"/>
                <w:szCs w:val="19"/>
              </w:rPr>
              <w:t>Z</w:t>
            </w:r>
            <w:r>
              <w:rPr>
                <w:sz w:val="19"/>
                <w:szCs w:val="19"/>
                <w:vertAlign w:val="subscript"/>
              </w:rPr>
              <w:t>3</w:t>
            </w:r>
            <w:r>
              <w:rPr>
                <w:sz w:val="19"/>
                <w:szCs w:val="19"/>
              </w:rPr>
              <w:t>-</w:t>
            </w:r>
            <w:r>
              <w:rPr>
                <w:i/>
                <w:iCs/>
                <w:sz w:val="19"/>
                <w:szCs w:val="19"/>
              </w:rPr>
              <w:t>Z</w:t>
            </w:r>
            <w:r>
              <w:rPr>
                <w:sz w:val="19"/>
                <w:szCs w:val="19"/>
                <w:vertAlign w:val="subscript"/>
              </w:rPr>
              <w:t>2</w:t>
            </w:r>
            <w:r>
              <w:rPr>
                <w:i/>
                <w:iCs/>
                <w:sz w:val="19"/>
                <w:szCs w:val="19"/>
              </w:rPr>
              <w:t>X</w:t>
            </w:r>
            <w:r>
              <w:rPr>
                <w:sz w:val="19"/>
                <w:szCs w:val="19"/>
                <w:vertAlign w:val="subscript"/>
              </w:rPr>
              <w:t>3</w:t>
            </w:r>
            <w:r>
              <w:rPr>
                <w:sz w:val="19"/>
                <w:szCs w:val="19"/>
              </w:rPr>
              <w:t>)-(</w:t>
            </w:r>
            <w:r>
              <w:rPr>
                <w:i/>
                <w:iCs/>
                <w:sz w:val="19"/>
                <w:szCs w:val="19"/>
              </w:rPr>
              <w:t>X</w:t>
            </w:r>
            <w:r>
              <w:rPr>
                <w:sz w:val="19"/>
                <w:szCs w:val="19"/>
                <w:vertAlign w:val="subscript"/>
              </w:rPr>
              <w:t>3</w:t>
            </w:r>
            <w:r>
              <w:rPr>
                <w:i/>
                <w:iCs/>
                <w:sz w:val="19"/>
                <w:szCs w:val="19"/>
              </w:rPr>
              <w:t>Z</w:t>
            </w:r>
            <w:r>
              <w:rPr>
                <w:sz w:val="19"/>
                <w:szCs w:val="19"/>
                <w:vertAlign w:val="subscript"/>
              </w:rPr>
              <w:t>1</w:t>
            </w:r>
            <w:r>
              <w:rPr>
                <w:sz w:val="19"/>
                <w:szCs w:val="19"/>
              </w:rPr>
              <w:t>-</w:t>
            </w:r>
            <w:r>
              <w:rPr>
                <w:i/>
                <w:iCs/>
                <w:sz w:val="19"/>
                <w:szCs w:val="19"/>
              </w:rPr>
              <w:t>Z</w:t>
            </w:r>
            <w:r>
              <w:rPr>
                <w:sz w:val="19"/>
                <w:szCs w:val="19"/>
                <w:vertAlign w:val="subscript"/>
              </w:rPr>
              <w:t>3</w:t>
            </w:r>
            <w:r>
              <w:rPr>
                <w:i/>
                <w:iCs/>
                <w:sz w:val="19"/>
                <w:szCs w:val="19"/>
              </w:rPr>
              <w:t>X</w:t>
            </w:r>
            <w:r>
              <w:rPr>
                <w:sz w:val="19"/>
                <w:szCs w:val="19"/>
                <w:vertAlign w:val="subscript"/>
              </w:rPr>
              <w:t>1</w:t>
            </w:r>
            <w:r>
              <w:rPr>
                <w:sz w:val="19"/>
                <w:szCs w:val="19"/>
              </w:rPr>
              <w:t>)]</w:t>
            </w:r>
          </w:p>
        </w:tc>
        <w:tc>
          <w:tcPr>
            <w:tcW w:w="3650" w:type="dxa"/>
          </w:tcPr>
          <w:p w14:paraId="08634B04" w14:textId="77777777" w:rsidR="000E48B7" w:rsidRDefault="00000000">
            <w:pPr>
              <w:jc w:val="center"/>
            </w:pPr>
            <w:r>
              <w:rPr>
                <w:i/>
                <w:iCs/>
                <w:sz w:val="19"/>
                <w:szCs w:val="19"/>
              </w:rPr>
              <w:t>r</w:t>
            </w:r>
            <w:r>
              <w:rPr>
                <w:sz w:val="19"/>
                <w:szCs w:val="19"/>
              </w:rPr>
              <w:t>[</w:t>
            </w:r>
            <w:r>
              <w:rPr>
                <w:i/>
                <w:iCs/>
                <w:sz w:val="19"/>
                <w:szCs w:val="19"/>
              </w:rPr>
              <w:t>J</w:t>
            </w:r>
            <w:r>
              <w:rPr>
                <w:sz w:val="19"/>
                <w:szCs w:val="19"/>
              </w:rPr>
              <w:t>(</w:t>
            </w:r>
            <w:r>
              <w:rPr>
                <w:i/>
                <w:iCs/>
                <w:sz w:val="19"/>
                <w:szCs w:val="19"/>
              </w:rPr>
              <w:t>X</w:t>
            </w:r>
            <w:r>
              <w:rPr>
                <w:sz w:val="19"/>
                <w:szCs w:val="19"/>
                <w:vertAlign w:val="subscript"/>
              </w:rPr>
              <w:t>1</w:t>
            </w:r>
            <w:r>
              <w:rPr>
                <w:i/>
                <w:iCs/>
                <w:sz w:val="19"/>
                <w:szCs w:val="19"/>
              </w:rPr>
              <w:t>Z</w:t>
            </w:r>
            <w:r>
              <w:rPr>
                <w:sz w:val="19"/>
                <w:szCs w:val="19"/>
                <w:vertAlign w:val="subscript"/>
              </w:rPr>
              <w:t>2</w:t>
            </w:r>
            <w:r>
              <w:rPr>
                <w:sz w:val="19"/>
                <w:szCs w:val="19"/>
              </w:rPr>
              <w:t>-</w:t>
            </w:r>
            <w:r>
              <w:rPr>
                <w:i/>
                <w:iCs/>
                <w:sz w:val="19"/>
                <w:szCs w:val="19"/>
              </w:rPr>
              <w:t>Z</w:t>
            </w:r>
            <w:r>
              <w:rPr>
                <w:sz w:val="19"/>
                <w:szCs w:val="19"/>
                <w:vertAlign w:val="subscript"/>
              </w:rPr>
              <w:t>1</w:t>
            </w:r>
            <w:r>
              <w:rPr>
                <w:i/>
                <w:iCs/>
                <w:sz w:val="19"/>
                <w:szCs w:val="19"/>
              </w:rPr>
              <w:t>X</w:t>
            </w:r>
            <w:r>
              <w:rPr>
                <w:sz w:val="19"/>
                <w:szCs w:val="19"/>
                <w:vertAlign w:val="subscript"/>
              </w:rPr>
              <w:t>2</w:t>
            </w:r>
            <w:r>
              <w:rPr>
                <w:sz w:val="19"/>
                <w:szCs w:val="19"/>
              </w:rPr>
              <w:t>)+</w:t>
            </w:r>
            <w:r>
              <w:rPr>
                <w:i/>
                <w:iCs/>
                <w:sz w:val="19"/>
                <w:szCs w:val="19"/>
              </w:rPr>
              <w:t>J</w:t>
            </w:r>
            <w:r>
              <w:rPr>
                <w:sz w:val="19"/>
                <w:szCs w:val="19"/>
              </w:rPr>
              <w:t>'(</w:t>
            </w:r>
            <w:r>
              <w:rPr>
                <w:i/>
                <w:iCs/>
                <w:sz w:val="19"/>
                <w:szCs w:val="19"/>
              </w:rPr>
              <w:t>X</w:t>
            </w:r>
            <w:r>
              <w:rPr>
                <w:sz w:val="19"/>
                <w:szCs w:val="19"/>
                <w:vertAlign w:val="subscript"/>
              </w:rPr>
              <w:t>2</w:t>
            </w:r>
            <w:r>
              <w:rPr>
                <w:i/>
                <w:iCs/>
                <w:sz w:val="19"/>
                <w:szCs w:val="19"/>
              </w:rPr>
              <w:t>Z</w:t>
            </w:r>
            <w:r>
              <w:rPr>
                <w:sz w:val="19"/>
                <w:szCs w:val="19"/>
                <w:vertAlign w:val="subscript"/>
              </w:rPr>
              <w:t>3</w:t>
            </w:r>
            <w:r>
              <w:rPr>
                <w:sz w:val="19"/>
                <w:szCs w:val="19"/>
              </w:rPr>
              <w:t>-</w:t>
            </w:r>
            <w:r>
              <w:rPr>
                <w:i/>
                <w:iCs/>
                <w:sz w:val="19"/>
                <w:szCs w:val="19"/>
              </w:rPr>
              <w:t>Z</w:t>
            </w:r>
            <w:r>
              <w:rPr>
                <w:sz w:val="19"/>
                <w:szCs w:val="19"/>
                <w:vertAlign w:val="subscript"/>
              </w:rPr>
              <w:t>2</w:t>
            </w:r>
            <w:r>
              <w:rPr>
                <w:i/>
                <w:iCs/>
                <w:sz w:val="19"/>
                <w:szCs w:val="19"/>
              </w:rPr>
              <w:t>X</w:t>
            </w:r>
            <w:r>
              <w:rPr>
                <w:sz w:val="19"/>
                <w:szCs w:val="19"/>
                <w:vertAlign w:val="subscript"/>
              </w:rPr>
              <w:t>3</w:t>
            </w:r>
            <w:r>
              <w:rPr>
                <w:sz w:val="19"/>
                <w:szCs w:val="19"/>
              </w:rPr>
              <w:t>)+</w:t>
            </w:r>
            <w:r>
              <w:rPr>
                <w:i/>
                <w:iCs/>
                <w:sz w:val="19"/>
                <w:szCs w:val="19"/>
              </w:rPr>
              <w:t>J</w:t>
            </w:r>
            <w:r>
              <w:rPr>
                <w:sz w:val="19"/>
                <w:szCs w:val="19"/>
              </w:rPr>
              <w:t>'(</w:t>
            </w:r>
            <w:r>
              <w:rPr>
                <w:i/>
                <w:iCs/>
                <w:sz w:val="19"/>
                <w:szCs w:val="19"/>
              </w:rPr>
              <w:t>X</w:t>
            </w:r>
            <w:r>
              <w:rPr>
                <w:sz w:val="19"/>
                <w:szCs w:val="19"/>
                <w:vertAlign w:val="subscript"/>
              </w:rPr>
              <w:t>3</w:t>
            </w:r>
            <w:r>
              <w:rPr>
                <w:i/>
                <w:iCs/>
                <w:sz w:val="19"/>
                <w:szCs w:val="19"/>
              </w:rPr>
              <w:t>Z</w:t>
            </w:r>
            <w:r>
              <w:rPr>
                <w:sz w:val="19"/>
                <w:szCs w:val="19"/>
                <w:vertAlign w:val="subscript"/>
              </w:rPr>
              <w:t>1</w:t>
            </w:r>
            <w:r>
              <w:rPr>
                <w:sz w:val="19"/>
                <w:szCs w:val="19"/>
              </w:rPr>
              <w:t>-</w:t>
            </w:r>
            <w:r>
              <w:rPr>
                <w:i/>
                <w:iCs/>
                <w:sz w:val="19"/>
                <w:szCs w:val="19"/>
              </w:rPr>
              <w:t>Z</w:t>
            </w:r>
            <w:r>
              <w:rPr>
                <w:sz w:val="19"/>
                <w:szCs w:val="19"/>
                <w:vertAlign w:val="subscript"/>
              </w:rPr>
              <w:t>3</w:t>
            </w:r>
            <w:r>
              <w:rPr>
                <w:i/>
                <w:iCs/>
                <w:sz w:val="19"/>
                <w:szCs w:val="19"/>
              </w:rPr>
              <w:t>X</w:t>
            </w:r>
            <w:r>
              <w:rPr>
                <w:sz w:val="19"/>
                <w:szCs w:val="19"/>
                <w:vertAlign w:val="subscript"/>
              </w:rPr>
              <w:t>1</w:t>
            </w:r>
            <w:r>
              <w:rPr>
                <w:sz w:val="19"/>
                <w:szCs w:val="19"/>
              </w:rPr>
              <w:t>)]</w:t>
            </w:r>
          </w:p>
        </w:tc>
      </w:tr>
      <w:tr w:rsidR="000E48B7" w14:paraId="617F19E5" w14:textId="77777777">
        <w:tblPrEx>
          <w:tblCellMar>
            <w:top w:w="0" w:type="dxa"/>
            <w:bottom w:w="0" w:type="dxa"/>
          </w:tblCellMar>
        </w:tblPrEx>
        <w:tc>
          <w:tcPr>
            <w:tcW w:w="2200" w:type="dxa"/>
          </w:tcPr>
          <w:p w14:paraId="43B2E356" w14:textId="77777777" w:rsidR="000E48B7" w:rsidRDefault="00000000">
            <w:pPr>
              <w:jc w:val="center"/>
            </w:pPr>
            <w:r>
              <w:rPr>
                <w:sz w:val="19"/>
                <w:szCs w:val="19"/>
              </w:rPr>
              <w:t>simmetria di scambio 1↔2</w:t>
            </w:r>
          </w:p>
        </w:tc>
        <w:tc>
          <w:tcPr>
            <w:tcW w:w="3650" w:type="dxa"/>
          </w:tcPr>
          <w:p w14:paraId="40C83CA0" w14:textId="77777777" w:rsidR="000E48B7" w:rsidRDefault="00000000">
            <w:pPr>
              <w:jc w:val="center"/>
            </w:pPr>
            <w:r>
              <w:rPr>
                <w:sz w:val="19"/>
                <w:szCs w:val="19"/>
              </w:rPr>
              <w:t>rispettata esattamente</w:t>
            </w:r>
          </w:p>
        </w:tc>
        <w:tc>
          <w:tcPr>
            <w:tcW w:w="3650" w:type="dxa"/>
          </w:tcPr>
          <w:p w14:paraId="5CCA8C8E" w14:textId="77777777" w:rsidR="000E48B7" w:rsidRDefault="00000000">
            <w:pPr>
              <w:jc w:val="center"/>
            </w:pPr>
            <w:r>
              <w:rPr>
                <w:sz w:val="19"/>
                <w:szCs w:val="19"/>
              </w:rPr>
              <w:t>rotta</w:t>
            </w:r>
          </w:p>
        </w:tc>
      </w:tr>
      <w:tr w:rsidR="000E48B7" w14:paraId="43D7BFE8" w14:textId="77777777">
        <w:tblPrEx>
          <w:tblCellMar>
            <w:top w:w="0" w:type="dxa"/>
            <w:bottom w:w="0" w:type="dxa"/>
          </w:tblCellMar>
        </w:tblPrEx>
        <w:tc>
          <w:tcPr>
            <w:tcW w:w="2200" w:type="dxa"/>
          </w:tcPr>
          <w:p w14:paraId="64115F20" w14:textId="77777777" w:rsidR="000E48B7" w:rsidRDefault="00000000">
            <w:pPr>
              <w:jc w:val="center"/>
            </w:pPr>
            <w:r>
              <w:rPr>
                <w:sz w:val="19"/>
                <w:szCs w:val="19"/>
              </w:rPr>
              <w:t>[</w:t>
            </w:r>
            <w:r>
              <w:rPr>
                <w:i/>
                <w:iCs/>
                <w:sz w:val="19"/>
                <w:szCs w:val="19"/>
              </w:rPr>
              <w:t>H</w:t>
            </w:r>
            <w:r>
              <w:rPr>
                <w:sz w:val="19"/>
                <w:szCs w:val="19"/>
              </w:rPr>
              <w:t>,</w:t>
            </w:r>
            <w:r>
              <w:rPr>
                <w:i/>
                <w:iCs/>
                <w:sz w:val="19"/>
                <w:szCs w:val="19"/>
              </w:rPr>
              <w:t>S</w:t>
            </w:r>
            <w:r>
              <w:rPr>
                <w:sz w:val="19"/>
                <w:szCs w:val="19"/>
                <w:vertAlign w:val="subscript"/>
              </w:rPr>
              <w:t>12</w:t>
            </w:r>
            <w:r>
              <w:rPr>
                <w:sz w:val="19"/>
                <w:szCs w:val="19"/>
              </w:rPr>
              <w:t>²]</w:t>
            </w:r>
          </w:p>
        </w:tc>
        <w:tc>
          <w:tcPr>
            <w:tcW w:w="3650" w:type="dxa"/>
          </w:tcPr>
          <w:p w14:paraId="097B2EE9" w14:textId="77777777" w:rsidR="000E48B7" w:rsidRDefault="00000000">
            <w:pPr>
              <w:jc w:val="center"/>
            </w:pPr>
            <w:r>
              <w:rPr>
                <w:sz w:val="19"/>
                <w:szCs w:val="19"/>
              </w:rPr>
              <w:t>=0 (esatto)</w:t>
            </w:r>
          </w:p>
        </w:tc>
        <w:tc>
          <w:tcPr>
            <w:tcW w:w="3650" w:type="dxa"/>
          </w:tcPr>
          <w:p w14:paraId="55C363C7" w14:textId="77777777" w:rsidR="000E48B7" w:rsidRDefault="00000000">
            <w:pPr>
              <w:jc w:val="center"/>
            </w:pPr>
            <w:r>
              <w:rPr>
                <w:sz w:val="19"/>
                <w:szCs w:val="19"/>
              </w:rPr>
              <w:t>≠0</w:t>
            </w:r>
          </w:p>
        </w:tc>
      </w:tr>
      <w:tr w:rsidR="000E48B7" w14:paraId="5C863926" w14:textId="77777777">
        <w:tblPrEx>
          <w:tblCellMar>
            <w:top w:w="0" w:type="dxa"/>
            <w:bottom w:w="0" w:type="dxa"/>
          </w:tblCellMar>
        </w:tblPrEx>
        <w:tc>
          <w:tcPr>
            <w:tcW w:w="2200" w:type="dxa"/>
          </w:tcPr>
          <w:p w14:paraId="46E9EF5D" w14:textId="77777777" w:rsidR="000E48B7" w:rsidRDefault="00000000">
            <w:pPr>
              <w:jc w:val="center"/>
            </w:pPr>
            <w:r>
              <w:rPr>
                <w:sz w:val="19"/>
                <w:szCs w:val="19"/>
              </w:rPr>
              <w:t xml:space="preserve">apre il gap a </w:t>
            </w:r>
            <w:r>
              <w:rPr>
                <w:i/>
                <w:iCs/>
                <w:sz w:val="19"/>
                <w:szCs w:val="19"/>
              </w:rPr>
              <w:t>b</w:t>
            </w:r>
            <w:r>
              <w:rPr>
                <w:sz w:val="19"/>
                <w:szCs w:val="19"/>
                <w:vertAlign w:val="subscript"/>
              </w:rPr>
              <w:t>c</w:t>
            </w:r>
            <w:r>
              <w:rPr>
                <w:sz w:val="19"/>
                <w:szCs w:val="19"/>
              </w:rPr>
              <w:t>?</w:t>
            </w:r>
          </w:p>
        </w:tc>
        <w:tc>
          <w:tcPr>
            <w:tcW w:w="3650" w:type="dxa"/>
          </w:tcPr>
          <w:p w14:paraId="17909296" w14:textId="77777777" w:rsidR="000E48B7" w:rsidRDefault="00000000">
            <w:pPr>
              <w:jc w:val="center"/>
            </w:pPr>
            <w:r>
              <w:rPr>
                <w:sz w:val="19"/>
                <w:szCs w:val="19"/>
              </w:rPr>
              <w:t>no — resta un incrocio vero per ogni intensità del DM</w:t>
            </w:r>
          </w:p>
        </w:tc>
        <w:tc>
          <w:tcPr>
            <w:tcW w:w="3650" w:type="dxa"/>
          </w:tcPr>
          <w:p w14:paraId="20544921" w14:textId="77777777" w:rsidR="000E48B7" w:rsidRDefault="00000000">
            <w:pPr>
              <w:jc w:val="center"/>
            </w:pPr>
            <w:r>
              <w:rPr>
                <w:sz w:val="19"/>
                <w:szCs w:val="19"/>
              </w:rPr>
              <w:t>sì — per questo l'ho scelta</w:t>
            </w:r>
          </w:p>
        </w:tc>
      </w:tr>
    </w:tbl>
    <w:p w14:paraId="244B4F8E" w14:textId="77777777" w:rsidR="000E48B7" w:rsidRDefault="000E48B7">
      <w:pPr>
        <w:spacing w:after="200"/>
      </w:pPr>
    </w:p>
    <w:p w14:paraId="7837D1E0" w14:textId="77777777" w:rsidR="000E48B7" w:rsidRDefault="00000000">
      <w:pPr>
        <w:spacing w:after="200"/>
        <w:jc w:val="both"/>
      </w:pPr>
      <w:r>
        <w:rPr>
          <w:sz w:val="22"/>
          <w:szCs w:val="22"/>
        </w:rPr>
        <w:t xml:space="preserve">Rispetto al dimero c'è una differenza di metodo che vale la pena spiegare, perché guida tutto il resto di questa relazione. Prima ancora di scrivere il circuito, ho cercato una simmetria dell'Hamiltoniana: se esiste un'operazione </w:t>
      </w:r>
      <w:r>
        <w:rPr>
          <w:i/>
          <w:iCs/>
          <w:sz w:val="22"/>
          <w:szCs w:val="22"/>
        </w:rPr>
        <w:t>U</w:t>
      </w:r>
      <w:r>
        <w:rPr>
          <w:sz w:val="22"/>
          <w:szCs w:val="22"/>
        </w:rPr>
        <w:t xml:space="preserve"> che commuta con </w:t>
      </w:r>
      <w:r>
        <w:rPr>
          <w:i/>
          <w:iCs/>
          <w:sz w:val="22"/>
          <w:szCs w:val="22"/>
        </w:rPr>
        <w:t>H</w:t>
      </w:r>
      <w:r>
        <w:rPr>
          <w:sz w:val="22"/>
          <w:szCs w:val="22"/>
        </w:rPr>
        <w:t xml:space="preserve"> e sotto cui lo stato fondamentale si trasforma in se stesso a meno di una fase, allora certi correlatori sono costretti a essere uguali al proprio opposto — e quindi nulli — senza bisogno di calcolarli. È un controllo utile due volte: dice in anticipo quali combinazioni non vale nemmeno la pena misurare, e soprattutto è un test durissimo per il circuito, perché se il codice ha un bug lo zero previsto spesso smette di venire zero (è successo davvero nel circuito del dimero, dove due bug erano rimasti nascosti proprio perché la simmetria non era stata controllata esplicitamente in anticipo).</w:t>
      </w:r>
    </w:p>
    <w:p w14:paraId="107B6FAB" w14:textId="77777777" w:rsidR="000E48B7" w:rsidRDefault="00000000">
      <w:pPr>
        <w:spacing w:after="200"/>
        <w:jc w:val="both"/>
      </w:pPr>
      <w:r>
        <w:rPr>
          <w:sz w:val="22"/>
          <w:szCs w:val="22"/>
        </w:rPr>
        <w:t xml:space="preserve">Per il dimero bastava lo scambio dei due siti, accompagnato da una rotazione di π attorno a </w:t>
      </w:r>
      <w:r>
        <w:rPr>
          <w:i/>
          <w:iCs/>
          <w:sz w:val="22"/>
          <w:szCs w:val="22"/>
        </w:rPr>
        <w:t>z</w:t>
      </w:r>
      <w:r>
        <w:rPr>
          <w:sz w:val="22"/>
          <w:szCs w:val="22"/>
        </w:rPr>
        <w:t xml:space="preserve"> su entrambi i qubit (il solo scambio non basta, perché il termine DM cambia segno quando si scambiano i due siti):</w:t>
      </w:r>
    </w:p>
    <w:p w14:paraId="6A77BF2C" w14:textId="77777777" w:rsidR="000E48B7" w:rsidRDefault="00000000">
      <w:pPr>
        <w:spacing w:after="60"/>
        <w:jc w:val="center"/>
      </w:pPr>
      <w:r>
        <w:rPr>
          <w:noProof/>
        </w:rPr>
        <w:drawing>
          <wp:inline distT="0" distB="0" distL="0" distR="0" wp14:anchorId="132BED3E" wp14:editId="17392324">
            <wp:extent cx="2924175"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24175" cy="1857375"/>
                    </a:xfrm>
                    <a:prstGeom prst="rect">
                      <a:avLst/>
                    </a:prstGeom>
                  </pic:spPr>
                </pic:pic>
              </a:graphicData>
            </a:graphic>
          </wp:inline>
        </w:drawing>
      </w:r>
    </w:p>
    <w:p w14:paraId="0EEDE2D7" w14:textId="77777777" w:rsidR="000E48B7" w:rsidRDefault="00000000">
      <w:pPr>
        <w:spacing w:after="240"/>
        <w:jc w:val="center"/>
      </w:pPr>
      <w:r>
        <w:rPr>
          <w:i/>
          <w:iCs/>
          <w:sz w:val="19"/>
          <w:szCs w:val="19"/>
        </w:rPr>
        <w:t>La simmetria residua del dimero: scambio dei due qubit (SWAP) seguito da una rotazione R</w:t>
      </w:r>
      <w:r>
        <w:rPr>
          <w:i/>
          <w:iCs/>
          <w:sz w:val="19"/>
          <w:szCs w:val="19"/>
          <w:vertAlign w:val="subscript"/>
        </w:rPr>
        <w:t>z</w:t>
      </w:r>
      <w:r>
        <w:rPr>
          <w:i/>
          <w:iCs/>
          <w:sz w:val="19"/>
          <w:szCs w:val="19"/>
        </w:rPr>
        <w:t>(π) su entrambi. Lo scambio da solo non basta — cambia segno al termine DM — ed è proprio la coppia di rotazioni a ripararlo.</w:t>
      </w:r>
    </w:p>
    <w:p w14:paraId="5723FC24" w14:textId="77777777" w:rsidR="000E48B7" w:rsidRDefault="00000000">
      <w:pPr>
        <w:spacing w:after="200"/>
        <w:jc w:val="both"/>
      </w:pPr>
      <w:r>
        <w:rPr>
          <w:sz w:val="22"/>
          <w:szCs w:val="22"/>
        </w:rPr>
        <w:t>Per l'anello mi aspettavo un'estensione diretta: scambiare i siti 1 e 2 e applicare la stessa rotazione ai due qubit scambiati, lasciando il terzo qubit — quello non coinvolto nello scambio — inalterato:</w:t>
      </w:r>
    </w:p>
    <w:p w14:paraId="1A8CC719" w14:textId="77777777" w:rsidR="000E48B7" w:rsidRDefault="00000000">
      <w:pPr>
        <w:spacing w:after="60"/>
        <w:jc w:val="center"/>
      </w:pPr>
      <w:r>
        <w:rPr>
          <w:noProof/>
        </w:rPr>
        <w:lastRenderedPageBreak/>
        <w:drawing>
          <wp:inline distT="0" distB="0" distL="0" distR="0" wp14:anchorId="0605D7BA" wp14:editId="29319E2A">
            <wp:extent cx="2743200" cy="2390775"/>
            <wp:effectExtent l="0" t="0" r="0" b="0"/>
            <wp:docPr id="879531513" name="Picture 87953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43200" cy="2390775"/>
                    </a:xfrm>
                    <a:prstGeom prst="rect">
                      <a:avLst/>
                    </a:prstGeom>
                  </pic:spPr>
                </pic:pic>
              </a:graphicData>
            </a:graphic>
          </wp:inline>
        </w:drawing>
      </w:r>
    </w:p>
    <w:p w14:paraId="25BED1A4" w14:textId="77777777" w:rsidR="000E48B7" w:rsidRDefault="00000000">
      <w:pPr>
        <w:spacing w:after="240"/>
        <w:jc w:val="center"/>
      </w:pPr>
      <w:r>
        <w:rPr>
          <w:i/>
          <w:iCs/>
          <w:sz w:val="19"/>
          <w:szCs w:val="19"/>
        </w:rPr>
        <w:t>Il tentativo che sembra naturale: SWAP fra i siti 1 e 2, R</w:t>
      </w:r>
      <w:r>
        <w:rPr>
          <w:i/>
          <w:iCs/>
          <w:sz w:val="19"/>
          <w:szCs w:val="19"/>
          <w:vertAlign w:val="subscript"/>
        </w:rPr>
        <w:t>z</w:t>
      </w:r>
      <w:r>
        <w:rPr>
          <w:i/>
          <w:iCs/>
          <w:sz w:val="19"/>
          <w:szCs w:val="19"/>
        </w:rPr>
        <w:t>(π) sugli stessi due, nessuna rotazione sul sito 3, che resta spettatore. Sembra la generalizzazione ovvia del caso del dimero, ma non è una simmetria di H.</w:t>
      </w:r>
    </w:p>
    <w:p w14:paraId="247D45F7" w14:textId="77777777" w:rsidR="000E48B7" w:rsidRDefault="00000000">
      <w:pPr>
        <w:spacing w:after="200"/>
        <w:jc w:val="both"/>
      </w:pPr>
      <w:r>
        <w:rPr>
          <w:sz w:val="22"/>
          <w:szCs w:val="22"/>
        </w:rPr>
        <w:t xml:space="preserve">Non funziona: controllando esplicitamente come si trasforma sotto questa operazione il termine DM del legame fra i siti 2 e 3, il risultato non è un altro termine già presente nell'Hamiltoniana, ma una combinazione che nell'Hamiltoniana non compare da nessuna parte — quindi l'operazione non può essere una simmetria (confermato anche numericamente: il commutatore con </w:t>
      </w:r>
      <w:r>
        <w:rPr>
          <w:i/>
          <w:iCs/>
          <w:sz w:val="22"/>
          <w:szCs w:val="22"/>
        </w:rPr>
        <w:t>H</w:t>
      </w:r>
      <w:r>
        <w:rPr>
          <w:sz w:val="22"/>
          <w:szCs w:val="22"/>
        </w:rPr>
        <w:t xml:space="preserve"> è tutt'altro che nullo, non un piccolo residuo). La costruzione che funziona applica la rotazione di π attorno a </w:t>
      </w:r>
      <w:r>
        <w:rPr>
          <w:i/>
          <w:iCs/>
          <w:sz w:val="22"/>
          <w:szCs w:val="22"/>
        </w:rPr>
        <w:t>z</w:t>
      </w:r>
      <w:r>
        <w:rPr>
          <w:sz w:val="22"/>
          <w:szCs w:val="22"/>
        </w:rPr>
        <w:t xml:space="preserve"> anche al terzo qubit, quello apparentemente estraneo allo scambio: nonostante non venga scambiato, deve comunque ruotare.</w:t>
      </w:r>
    </w:p>
    <w:p w14:paraId="74F1CFD9" w14:textId="77777777" w:rsidR="000E48B7" w:rsidRDefault="00000000">
      <w:pPr>
        <w:spacing w:after="60"/>
        <w:jc w:val="center"/>
      </w:pPr>
      <w:r>
        <w:rPr>
          <w:noProof/>
        </w:rPr>
        <w:drawing>
          <wp:inline distT="0" distB="0" distL="0" distR="0" wp14:anchorId="6F8D6F72" wp14:editId="1FF95F7A">
            <wp:extent cx="2743200" cy="2390775"/>
            <wp:effectExtent l="0" t="0" r="0" b="0"/>
            <wp:docPr id="1754500619" name="Picture 175450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2390775"/>
                    </a:xfrm>
                    <a:prstGeom prst="rect">
                      <a:avLst/>
                    </a:prstGeom>
                  </pic:spPr>
                </pic:pic>
              </a:graphicData>
            </a:graphic>
          </wp:inline>
        </w:drawing>
      </w:r>
    </w:p>
    <w:p w14:paraId="7BBF9DBB" w14:textId="77777777" w:rsidR="000E48B7" w:rsidRDefault="00000000">
      <w:pPr>
        <w:spacing w:after="240"/>
        <w:jc w:val="center"/>
      </w:pPr>
      <w:r>
        <w:rPr>
          <w:i/>
          <w:iCs/>
          <w:sz w:val="19"/>
          <w:szCs w:val="19"/>
        </w:rPr>
        <w:t>La costruzione corretta, U</w:t>
      </w:r>
      <w:r>
        <w:rPr>
          <w:i/>
          <w:iCs/>
          <w:sz w:val="19"/>
          <w:szCs w:val="19"/>
          <w:vertAlign w:val="subscript"/>
        </w:rPr>
        <w:t>anello</w:t>
      </w:r>
      <w:r>
        <w:rPr>
          <w:i/>
          <w:iCs/>
          <w:sz w:val="19"/>
          <w:szCs w:val="19"/>
        </w:rPr>
        <w:t>: le stesse SWAP e R</w:t>
      </w:r>
      <w:r>
        <w:rPr>
          <w:i/>
          <w:iCs/>
          <w:sz w:val="19"/>
          <w:szCs w:val="19"/>
          <w:vertAlign w:val="subscript"/>
        </w:rPr>
        <w:t>z</w:t>
      </w:r>
      <w:r>
        <w:rPr>
          <w:i/>
          <w:iCs/>
          <w:sz w:val="19"/>
          <w:szCs w:val="19"/>
        </w:rPr>
        <w:t>(π) di prima, più una terza R</w:t>
      </w:r>
      <w:r>
        <w:rPr>
          <w:i/>
          <w:iCs/>
          <w:sz w:val="19"/>
          <w:szCs w:val="19"/>
          <w:vertAlign w:val="subscript"/>
        </w:rPr>
        <w:t>z</w:t>
      </w:r>
      <w:r>
        <w:rPr>
          <w:i/>
          <w:iCs/>
          <w:sz w:val="19"/>
          <w:szCs w:val="19"/>
        </w:rPr>
        <w:t>(π) sul sito 3 — quello che sembrava dover restare a guardare. È proprio questa rotazione apparentemente superflua a far tornare i conti.</w:t>
      </w:r>
    </w:p>
    <w:p w14:paraId="01131057" w14:textId="77777777" w:rsidR="000E48B7" w:rsidRDefault="00000000">
      <w:pPr>
        <w:spacing w:after="200"/>
        <w:jc w:val="both"/>
      </w:pPr>
      <w:r>
        <w:rPr>
          <w:sz w:val="22"/>
          <w:szCs w:val="22"/>
        </w:rPr>
        <w:t xml:space="preserve">Con questa correzione l'operazione commuta esattamente con </w:t>
      </w:r>
      <w:r>
        <w:rPr>
          <w:i/>
          <w:iCs/>
          <w:sz w:val="22"/>
          <w:szCs w:val="22"/>
        </w:rPr>
        <w:t>H</w:t>
      </w:r>
      <w:r>
        <w:rPr>
          <w:sz w:val="22"/>
          <w:szCs w:val="22"/>
        </w:rPr>
        <w:t xml:space="preserve">, per qualunque valore dei parametri — verificato anche numericamente a precisione macchina. La tabella qui sotto riassume come si trasforma ciascuno dei tre termini DM (uno per legame del triangolo) nei tre casi discussi sopra, dove </w:t>
      </w:r>
      <w:r>
        <w:rPr>
          <w:i/>
          <w:iCs/>
          <w:sz w:val="22"/>
          <w:szCs w:val="22"/>
        </w:rPr>
        <w:t>T</w:t>
      </w:r>
      <w:r>
        <w:rPr>
          <w:sz w:val="22"/>
          <w:szCs w:val="22"/>
          <w:vertAlign w:val="subscript"/>
        </w:rPr>
        <w:t>ij</w:t>
      </w:r>
      <w:r>
        <w:rPr>
          <w:sz w:val="22"/>
          <w:szCs w:val="22"/>
        </w:rPr>
        <w:t>≡</w:t>
      </w:r>
      <w:r>
        <w:rPr>
          <w:i/>
          <w:iCs/>
          <w:sz w:val="22"/>
          <w:szCs w:val="22"/>
        </w:rPr>
        <w:t>X</w:t>
      </w:r>
      <w:r>
        <w:rPr>
          <w:sz w:val="22"/>
          <w:szCs w:val="22"/>
          <w:vertAlign w:val="subscript"/>
        </w:rPr>
        <w:t>i</w:t>
      </w:r>
      <w:r>
        <w:rPr>
          <w:i/>
          <w:iCs/>
          <w:sz w:val="22"/>
          <w:szCs w:val="22"/>
        </w:rPr>
        <w:t>Z</w:t>
      </w:r>
      <w:r>
        <w:rPr>
          <w:sz w:val="22"/>
          <w:szCs w:val="22"/>
          <w:vertAlign w:val="subscript"/>
        </w:rPr>
        <w:t>j</w:t>
      </w:r>
      <w:r>
        <w:rPr>
          <w:sz w:val="22"/>
          <w:szCs w:val="22"/>
        </w:rPr>
        <w:t>-</w:t>
      </w:r>
      <w:r>
        <w:rPr>
          <w:i/>
          <w:iCs/>
          <w:sz w:val="22"/>
          <w:szCs w:val="22"/>
        </w:rPr>
        <w:t>Z</w:t>
      </w:r>
      <w:r>
        <w:rPr>
          <w:sz w:val="22"/>
          <w:szCs w:val="22"/>
          <w:vertAlign w:val="subscript"/>
        </w:rPr>
        <w:t>i</w:t>
      </w:r>
      <w:r>
        <w:rPr>
          <w:i/>
          <w:iCs/>
          <w:sz w:val="22"/>
          <w:szCs w:val="22"/>
        </w:rPr>
        <w:t>X</w:t>
      </w:r>
      <w:r>
        <w:rPr>
          <w:sz w:val="22"/>
          <w:szCs w:val="22"/>
          <w:vertAlign w:val="subscript"/>
        </w:rPr>
        <w:t>j</w:t>
      </w:r>
      <w:r>
        <w:rPr>
          <w:sz w:val="22"/>
          <w:szCs w:val="22"/>
        </w:rPr>
        <w:t xml:space="preserve"> è l'operatore del legame DM (</w:t>
      </w:r>
      <w:r>
        <w:rPr>
          <w:i/>
          <w:iCs/>
          <w:sz w:val="22"/>
          <w:szCs w:val="22"/>
        </w:rPr>
        <w:t>i</w:t>
      </w:r>
      <w:r>
        <w:rPr>
          <w:sz w:val="22"/>
          <w:szCs w:val="22"/>
        </w:rPr>
        <w:t>,</w:t>
      </w:r>
      <w:r>
        <w:rPr>
          <w:i/>
          <w:iCs/>
          <w:sz w:val="22"/>
          <w:szCs w:val="22"/>
        </w:rPr>
        <w:t>j</w:t>
      </w:r>
      <w:r>
        <w:rPr>
          <w:sz w:val="22"/>
          <w:szCs w:val="22"/>
        </w:rPr>
        <w:t xml:space="preserve">) — non va confuso con il coefficiente </w:t>
      </w:r>
      <w:r>
        <w:rPr>
          <w:i/>
          <w:iCs/>
          <w:sz w:val="22"/>
          <w:szCs w:val="22"/>
        </w:rPr>
        <w:t>D</w:t>
      </w:r>
      <w:r>
        <w:rPr>
          <w:sz w:val="22"/>
          <w:szCs w:val="22"/>
          <w:vertAlign w:val="subscript"/>
        </w:rPr>
        <w:t>ij</w:t>
      </w:r>
      <w:r>
        <w:rPr>
          <w:sz w:val="22"/>
          <w:szCs w:val="22"/>
        </w:rPr>
        <w:t xml:space="preserve"> (che nell'Opzione B vale </w:t>
      </w:r>
      <w:r>
        <w:rPr>
          <w:i/>
          <w:iCs/>
          <w:sz w:val="22"/>
          <w:szCs w:val="22"/>
        </w:rPr>
        <w:t>D</w:t>
      </w:r>
      <w:r>
        <w:rPr>
          <w:sz w:val="22"/>
          <w:szCs w:val="22"/>
          <w:vertAlign w:val="subscript"/>
        </w:rPr>
        <w:t>12</w:t>
      </w:r>
      <w:r>
        <w:rPr>
          <w:sz w:val="22"/>
          <w:szCs w:val="22"/>
        </w:rPr>
        <w:t>=</w:t>
      </w:r>
      <w:r>
        <w:rPr>
          <w:i/>
          <w:iCs/>
          <w:sz w:val="22"/>
          <w:szCs w:val="22"/>
        </w:rPr>
        <w:t>DJ</w:t>
      </w:r>
      <w:r>
        <w:rPr>
          <w:sz w:val="22"/>
          <w:szCs w:val="22"/>
        </w:rPr>
        <w:t xml:space="preserve">, </w:t>
      </w:r>
      <w:r>
        <w:rPr>
          <w:i/>
          <w:iCs/>
          <w:sz w:val="22"/>
          <w:szCs w:val="22"/>
        </w:rPr>
        <w:t>D</w:t>
      </w:r>
      <w:r>
        <w:rPr>
          <w:sz w:val="22"/>
          <w:szCs w:val="22"/>
          <w:vertAlign w:val="subscript"/>
        </w:rPr>
        <w:t>23</w:t>
      </w:r>
      <w:r>
        <w:rPr>
          <w:sz w:val="22"/>
          <w:szCs w:val="22"/>
        </w:rPr>
        <w:t>=</w:t>
      </w:r>
      <w:r>
        <w:rPr>
          <w:i/>
          <w:iCs/>
          <w:sz w:val="22"/>
          <w:szCs w:val="22"/>
        </w:rPr>
        <w:t>D</w:t>
      </w:r>
      <w:r>
        <w:rPr>
          <w:sz w:val="22"/>
          <w:szCs w:val="22"/>
          <w:vertAlign w:val="subscript"/>
        </w:rPr>
        <w:t>31</w:t>
      </w:r>
      <w:r>
        <w:rPr>
          <w:sz w:val="22"/>
          <w:szCs w:val="22"/>
        </w:rPr>
        <w:t>=</w:t>
      </w:r>
      <w:r>
        <w:rPr>
          <w:i/>
          <w:iCs/>
          <w:sz w:val="22"/>
          <w:szCs w:val="22"/>
        </w:rPr>
        <w:t>DJ</w:t>
      </w:r>
      <w:r>
        <w:rPr>
          <w:sz w:val="22"/>
          <w:szCs w:val="22"/>
        </w:rPr>
        <w:t xml:space="preserve">'): quello resta fissato, è la forma dell'operatore </w:t>
      </w:r>
      <w:r>
        <w:rPr>
          <w:i/>
          <w:iCs/>
          <w:sz w:val="22"/>
          <w:szCs w:val="22"/>
        </w:rPr>
        <w:t>T</w:t>
      </w:r>
      <w:r>
        <w:rPr>
          <w:sz w:val="22"/>
          <w:szCs w:val="22"/>
          <w:vertAlign w:val="subscript"/>
        </w:rPr>
        <w:t>ij</w:t>
      </w:r>
      <w:r>
        <w:rPr>
          <w:sz w:val="22"/>
          <w:szCs w:val="22"/>
        </w:rPr>
        <w:t xml:space="preserve"> a cambiare sotto le operazioni qui sotto: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3800"/>
        <w:gridCol w:w="1900"/>
      </w:tblGrid>
      <w:tr w:rsidR="000E48B7" w14:paraId="7D02FB8C" w14:textId="77777777">
        <w:tblPrEx>
          <w:tblCellMar>
            <w:top w:w="0" w:type="dxa"/>
            <w:bottom w:w="0" w:type="dxa"/>
          </w:tblCellMar>
        </w:tblPrEx>
        <w:tc>
          <w:tcPr>
            <w:tcW w:w="1900" w:type="dxa"/>
            <w:shd w:val="clear" w:color="auto" w:fill="E8E8E8"/>
          </w:tcPr>
          <w:p w14:paraId="53668164" w14:textId="77777777" w:rsidR="000E48B7" w:rsidRDefault="00000000">
            <w:pPr>
              <w:jc w:val="center"/>
            </w:pPr>
            <w:r>
              <w:rPr>
                <w:b/>
                <w:bCs/>
                <w:sz w:val="19"/>
                <w:szCs w:val="19"/>
              </w:rPr>
              <w:t>termine</w:t>
            </w:r>
          </w:p>
        </w:tc>
        <w:tc>
          <w:tcPr>
            <w:tcW w:w="1900" w:type="dxa"/>
            <w:shd w:val="clear" w:color="auto" w:fill="E8E8E8"/>
          </w:tcPr>
          <w:p w14:paraId="1E7EC47B" w14:textId="77777777" w:rsidR="000E48B7" w:rsidRDefault="00000000">
            <w:pPr>
              <w:jc w:val="center"/>
            </w:pPr>
            <w:r>
              <w:rPr>
                <w:b/>
                <w:bCs/>
                <w:sz w:val="19"/>
                <w:szCs w:val="19"/>
              </w:rPr>
              <w:t xml:space="preserve">scambio puro </w:t>
            </w:r>
            <w:r>
              <w:rPr>
                <w:b/>
                <w:bCs/>
                <w:i/>
                <w:iCs/>
                <w:sz w:val="19"/>
                <w:szCs w:val="19"/>
              </w:rPr>
              <w:t>P</w:t>
            </w:r>
            <w:r>
              <w:rPr>
                <w:b/>
                <w:bCs/>
                <w:sz w:val="19"/>
                <w:szCs w:val="19"/>
                <w:vertAlign w:val="subscript"/>
              </w:rPr>
              <w:t>12</w:t>
            </w:r>
          </w:p>
        </w:tc>
        <w:tc>
          <w:tcPr>
            <w:tcW w:w="3800" w:type="dxa"/>
            <w:shd w:val="clear" w:color="auto" w:fill="E8E8E8"/>
          </w:tcPr>
          <w:p w14:paraId="004457E3" w14:textId="77777777" w:rsidR="000E48B7" w:rsidRDefault="00000000">
            <w:pPr>
              <w:jc w:val="center"/>
            </w:pPr>
            <w:r>
              <w:rPr>
                <w:b/>
                <w:bCs/>
                <w:i/>
                <w:iCs/>
                <w:sz w:val="19"/>
                <w:szCs w:val="19"/>
              </w:rPr>
              <w:t>U</w:t>
            </w:r>
            <w:r>
              <w:rPr>
                <w:b/>
                <w:bCs/>
                <w:sz w:val="19"/>
                <w:szCs w:val="19"/>
                <w:vertAlign w:val="subscript"/>
              </w:rPr>
              <w:t>naive</w:t>
            </w:r>
            <w:r>
              <w:rPr>
                <w:b/>
                <w:bCs/>
                <w:sz w:val="19"/>
                <w:szCs w:val="19"/>
              </w:rPr>
              <w:t xml:space="preserve"> (fallisce)</w:t>
            </w:r>
          </w:p>
        </w:tc>
        <w:tc>
          <w:tcPr>
            <w:tcW w:w="1900" w:type="dxa"/>
            <w:shd w:val="clear" w:color="auto" w:fill="E8E8E8"/>
          </w:tcPr>
          <w:p w14:paraId="58EC5197" w14:textId="77777777" w:rsidR="000E48B7" w:rsidRDefault="00000000">
            <w:pPr>
              <w:jc w:val="center"/>
            </w:pPr>
            <w:r>
              <w:rPr>
                <w:b/>
                <w:bCs/>
                <w:i/>
                <w:iCs/>
                <w:sz w:val="19"/>
                <w:szCs w:val="19"/>
              </w:rPr>
              <w:t>U</w:t>
            </w:r>
            <w:r>
              <w:rPr>
                <w:b/>
                <w:bCs/>
                <w:sz w:val="19"/>
                <w:szCs w:val="19"/>
                <w:vertAlign w:val="subscript"/>
              </w:rPr>
              <w:t>anello</w:t>
            </w:r>
            <w:r>
              <w:rPr>
                <w:b/>
                <w:bCs/>
                <w:sz w:val="19"/>
                <w:szCs w:val="19"/>
              </w:rPr>
              <w:t xml:space="preserve"> (corretto)</w:t>
            </w:r>
          </w:p>
        </w:tc>
      </w:tr>
      <w:tr w:rsidR="000E48B7" w14:paraId="443EB017" w14:textId="77777777">
        <w:tblPrEx>
          <w:tblCellMar>
            <w:top w:w="0" w:type="dxa"/>
            <w:bottom w:w="0" w:type="dxa"/>
          </w:tblCellMar>
        </w:tblPrEx>
        <w:tc>
          <w:tcPr>
            <w:tcW w:w="1900" w:type="dxa"/>
          </w:tcPr>
          <w:p w14:paraId="76793573" w14:textId="77777777" w:rsidR="000E48B7" w:rsidRDefault="00000000">
            <w:pPr>
              <w:jc w:val="center"/>
            </w:pPr>
            <w:r>
              <w:rPr>
                <w:i/>
                <w:iCs/>
                <w:sz w:val="19"/>
                <w:szCs w:val="19"/>
              </w:rPr>
              <w:t>T</w:t>
            </w:r>
            <w:r>
              <w:rPr>
                <w:sz w:val="19"/>
                <w:szCs w:val="19"/>
                <w:vertAlign w:val="subscript"/>
              </w:rPr>
              <w:t>12</w:t>
            </w:r>
            <w:r>
              <w:rPr>
                <w:sz w:val="19"/>
                <w:szCs w:val="19"/>
              </w:rPr>
              <w:t xml:space="preserve"> (legame base)</w:t>
            </w:r>
          </w:p>
        </w:tc>
        <w:tc>
          <w:tcPr>
            <w:tcW w:w="1900" w:type="dxa"/>
          </w:tcPr>
          <w:p w14:paraId="230465E7" w14:textId="77777777" w:rsidR="000E48B7" w:rsidRDefault="00000000">
            <w:pPr>
              <w:jc w:val="center"/>
            </w:pPr>
            <w:r>
              <w:rPr>
                <w:sz w:val="19"/>
                <w:szCs w:val="19"/>
              </w:rPr>
              <w:t>-</w:t>
            </w:r>
            <w:r>
              <w:rPr>
                <w:i/>
                <w:iCs/>
                <w:sz w:val="19"/>
                <w:szCs w:val="19"/>
              </w:rPr>
              <w:t>T</w:t>
            </w:r>
            <w:r>
              <w:rPr>
                <w:sz w:val="19"/>
                <w:szCs w:val="19"/>
                <w:vertAlign w:val="subscript"/>
              </w:rPr>
              <w:t>12</w:t>
            </w:r>
          </w:p>
        </w:tc>
        <w:tc>
          <w:tcPr>
            <w:tcW w:w="3800" w:type="dxa"/>
          </w:tcPr>
          <w:p w14:paraId="7AC622C2" w14:textId="77777777" w:rsidR="000E48B7" w:rsidRDefault="00000000">
            <w:pPr>
              <w:jc w:val="center"/>
            </w:pPr>
            <w:r>
              <w:rPr>
                <w:i/>
                <w:iCs/>
                <w:sz w:val="19"/>
                <w:szCs w:val="19"/>
              </w:rPr>
              <w:t>T</w:t>
            </w:r>
            <w:r>
              <w:rPr>
                <w:sz w:val="19"/>
                <w:szCs w:val="19"/>
                <w:vertAlign w:val="subscript"/>
              </w:rPr>
              <w:t>12</w:t>
            </w:r>
          </w:p>
        </w:tc>
        <w:tc>
          <w:tcPr>
            <w:tcW w:w="1900" w:type="dxa"/>
          </w:tcPr>
          <w:p w14:paraId="1E30767F" w14:textId="77777777" w:rsidR="000E48B7" w:rsidRDefault="00000000">
            <w:pPr>
              <w:jc w:val="center"/>
            </w:pPr>
            <w:r>
              <w:rPr>
                <w:i/>
                <w:iCs/>
                <w:sz w:val="19"/>
                <w:szCs w:val="19"/>
              </w:rPr>
              <w:t>T</w:t>
            </w:r>
            <w:r>
              <w:rPr>
                <w:sz w:val="19"/>
                <w:szCs w:val="19"/>
                <w:vertAlign w:val="subscript"/>
              </w:rPr>
              <w:t>12</w:t>
            </w:r>
          </w:p>
        </w:tc>
      </w:tr>
      <w:tr w:rsidR="000E48B7" w14:paraId="21ABDF49" w14:textId="77777777">
        <w:tblPrEx>
          <w:tblCellMar>
            <w:top w:w="0" w:type="dxa"/>
            <w:bottom w:w="0" w:type="dxa"/>
          </w:tblCellMar>
        </w:tblPrEx>
        <w:tc>
          <w:tcPr>
            <w:tcW w:w="1900" w:type="dxa"/>
          </w:tcPr>
          <w:p w14:paraId="33F646E9" w14:textId="77777777" w:rsidR="000E48B7" w:rsidRDefault="00000000">
            <w:pPr>
              <w:jc w:val="center"/>
            </w:pPr>
            <w:r>
              <w:rPr>
                <w:i/>
                <w:iCs/>
                <w:sz w:val="19"/>
                <w:szCs w:val="19"/>
              </w:rPr>
              <w:t>T</w:t>
            </w:r>
            <w:r>
              <w:rPr>
                <w:sz w:val="19"/>
                <w:szCs w:val="19"/>
                <w:vertAlign w:val="subscript"/>
              </w:rPr>
              <w:t>23</w:t>
            </w:r>
            <w:r>
              <w:rPr>
                <w:sz w:val="19"/>
                <w:szCs w:val="19"/>
              </w:rPr>
              <w:t xml:space="preserve"> (legame laterale)</w:t>
            </w:r>
          </w:p>
        </w:tc>
        <w:tc>
          <w:tcPr>
            <w:tcW w:w="1900" w:type="dxa"/>
          </w:tcPr>
          <w:p w14:paraId="0A0B2959" w14:textId="77777777" w:rsidR="000E48B7" w:rsidRDefault="00000000">
            <w:pPr>
              <w:jc w:val="center"/>
            </w:pPr>
            <w:r>
              <w:rPr>
                <w:sz w:val="19"/>
                <w:szCs w:val="19"/>
              </w:rPr>
              <w:t>-</w:t>
            </w:r>
            <w:r>
              <w:rPr>
                <w:i/>
                <w:iCs/>
                <w:sz w:val="19"/>
                <w:szCs w:val="19"/>
              </w:rPr>
              <w:t>T</w:t>
            </w:r>
            <w:r>
              <w:rPr>
                <w:sz w:val="19"/>
                <w:szCs w:val="19"/>
                <w:vertAlign w:val="subscript"/>
              </w:rPr>
              <w:t>31</w:t>
            </w:r>
          </w:p>
        </w:tc>
        <w:tc>
          <w:tcPr>
            <w:tcW w:w="3800" w:type="dxa"/>
          </w:tcPr>
          <w:p w14:paraId="693DE07F" w14:textId="77777777" w:rsidR="000E48B7" w:rsidRDefault="00000000">
            <w:pPr>
              <w:jc w:val="center"/>
            </w:pPr>
            <w:r>
              <w:rPr>
                <w:i/>
                <w:iCs/>
                <w:sz w:val="19"/>
                <w:szCs w:val="19"/>
              </w:rPr>
              <w:t>X</w:t>
            </w:r>
            <w:r>
              <w:rPr>
                <w:sz w:val="19"/>
                <w:szCs w:val="19"/>
                <w:vertAlign w:val="subscript"/>
              </w:rPr>
              <w:t>1</w:t>
            </w:r>
            <w:r>
              <w:rPr>
                <w:i/>
                <w:iCs/>
                <w:sz w:val="19"/>
                <w:szCs w:val="19"/>
              </w:rPr>
              <w:t>Z</w:t>
            </w:r>
            <w:r>
              <w:rPr>
                <w:sz w:val="19"/>
                <w:szCs w:val="19"/>
                <w:vertAlign w:val="subscript"/>
              </w:rPr>
              <w:t>3</w:t>
            </w:r>
            <w:r>
              <w:rPr>
                <w:sz w:val="19"/>
                <w:szCs w:val="19"/>
              </w:rPr>
              <w:t>+</w:t>
            </w:r>
            <w:r>
              <w:rPr>
                <w:i/>
                <w:iCs/>
                <w:sz w:val="19"/>
                <w:szCs w:val="19"/>
              </w:rPr>
              <w:t>Z</w:t>
            </w:r>
            <w:r>
              <w:rPr>
                <w:sz w:val="19"/>
                <w:szCs w:val="19"/>
                <w:vertAlign w:val="subscript"/>
              </w:rPr>
              <w:t>1</w:t>
            </w:r>
            <w:r>
              <w:rPr>
                <w:i/>
                <w:iCs/>
                <w:sz w:val="19"/>
                <w:szCs w:val="19"/>
              </w:rPr>
              <w:t>X</w:t>
            </w:r>
            <w:r>
              <w:rPr>
                <w:sz w:val="19"/>
                <w:szCs w:val="19"/>
                <w:vertAlign w:val="subscript"/>
              </w:rPr>
              <w:t>3</w:t>
            </w:r>
            <w:r>
              <w:rPr>
                <w:sz w:val="19"/>
                <w:szCs w:val="19"/>
              </w:rPr>
              <w:t xml:space="preserve"> (estraneo)</w:t>
            </w:r>
          </w:p>
        </w:tc>
        <w:tc>
          <w:tcPr>
            <w:tcW w:w="1900" w:type="dxa"/>
          </w:tcPr>
          <w:p w14:paraId="05DA4594" w14:textId="77777777" w:rsidR="000E48B7" w:rsidRDefault="00000000">
            <w:pPr>
              <w:jc w:val="center"/>
            </w:pPr>
            <w:r>
              <w:rPr>
                <w:i/>
                <w:iCs/>
                <w:sz w:val="19"/>
                <w:szCs w:val="19"/>
              </w:rPr>
              <w:t>T</w:t>
            </w:r>
            <w:r>
              <w:rPr>
                <w:sz w:val="19"/>
                <w:szCs w:val="19"/>
                <w:vertAlign w:val="subscript"/>
              </w:rPr>
              <w:t>31</w:t>
            </w:r>
          </w:p>
        </w:tc>
      </w:tr>
      <w:tr w:rsidR="000E48B7" w14:paraId="2684A113" w14:textId="77777777">
        <w:tblPrEx>
          <w:tblCellMar>
            <w:top w:w="0" w:type="dxa"/>
            <w:bottom w:w="0" w:type="dxa"/>
          </w:tblCellMar>
        </w:tblPrEx>
        <w:tc>
          <w:tcPr>
            <w:tcW w:w="1900" w:type="dxa"/>
          </w:tcPr>
          <w:p w14:paraId="59A1C6EA" w14:textId="77777777" w:rsidR="000E48B7" w:rsidRDefault="00000000">
            <w:pPr>
              <w:jc w:val="center"/>
            </w:pPr>
            <w:r>
              <w:rPr>
                <w:i/>
                <w:iCs/>
                <w:sz w:val="19"/>
                <w:szCs w:val="19"/>
              </w:rPr>
              <w:t>T</w:t>
            </w:r>
            <w:r>
              <w:rPr>
                <w:sz w:val="19"/>
                <w:szCs w:val="19"/>
                <w:vertAlign w:val="subscript"/>
              </w:rPr>
              <w:t>31</w:t>
            </w:r>
            <w:r>
              <w:rPr>
                <w:sz w:val="19"/>
                <w:szCs w:val="19"/>
              </w:rPr>
              <w:t xml:space="preserve"> (legame laterale)</w:t>
            </w:r>
          </w:p>
        </w:tc>
        <w:tc>
          <w:tcPr>
            <w:tcW w:w="1900" w:type="dxa"/>
          </w:tcPr>
          <w:p w14:paraId="2E58DF38" w14:textId="77777777" w:rsidR="000E48B7" w:rsidRDefault="00000000">
            <w:pPr>
              <w:jc w:val="center"/>
            </w:pPr>
            <w:r>
              <w:rPr>
                <w:sz w:val="19"/>
                <w:szCs w:val="19"/>
              </w:rPr>
              <w:t>-</w:t>
            </w:r>
            <w:r>
              <w:rPr>
                <w:i/>
                <w:iCs/>
                <w:sz w:val="19"/>
                <w:szCs w:val="19"/>
              </w:rPr>
              <w:t>T</w:t>
            </w:r>
            <w:r>
              <w:rPr>
                <w:sz w:val="19"/>
                <w:szCs w:val="19"/>
                <w:vertAlign w:val="subscript"/>
              </w:rPr>
              <w:t>23</w:t>
            </w:r>
          </w:p>
        </w:tc>
        <w:tc>
          <w:tcPr>
            <w:tcW w:w="3800" w:type="dxa"/>
          </w:tcPr>
          <w:p w14:paraId="22782383" w14:textId="77777777" w:rsidR="000E48B7" w:rsidRDefault="00000000">
            <w:pPr>
              <w:jc w:val="center"/>
            </w:pPr>
            <w:r>
              <w:rPr>
                <w:i/>
                <w:iCs/>
                <w:sz w:val="19"/>
                <w:szCs w:val="19"/>
              </w:rPr>
              <w:t>X</w:t>
            </w:r>
            <w:r>
              <w:rPr>
                <w:sz w:val="19"/>
                <w:szCs w:val="19"/>
                <w:vertAlign w:val="subscript"/>
              </w:rPr>
              <w:t>3</w:t>
            </w:r>
            <w:r>
              <w:rPr>
                <w:i/>
                <w:iCs/>
                <w:sz w:val="19"/>
                <w:szCs w:val="19"/>
              </w:rPr>
              <w:t>Z</w:t>
            </w:r>
            <w:r>
              <w:rPr>
                <w:sz w:val="19"/>
                <w:szCs w:val="19"/>
                <w:vertAlign w:val="subscript"/>
              </w:rPr>
              <w:t>2</w:t>
            </w:r>
            <w:r>
              <w:rPr>
                <w:sz w:val="19"/>
                <w:szCs w:val="19"/>
              </w:rPr>
              <w:t>+</w:t>
            </w:r>
            <w:r>
              <w:rPr>
                <w:i/>
                <w:iCs/>
                <w:sz w:val="19"/>
                <w:szCs w:val="19"/>
              </w:rPr>
              <w:t>Z</w:t>
            </w:r>
            <w:r>
              <w:rPr>
                <w:sz w:val="19"/>
                <w:szCs w:val="19"/>
                <w:vertAlign w:val="subscript"/>
              </w:rPr>
              <w:t>3</w:t>
            </w:r>
            <w:r>
              <w:rPr>
                <w:i/>
                <w:iCs/>
                <w:sz w:val="19"/>
                <w:szCs w:val="19"/>
              </w:rPr>
              <w:t>X</w:t>
            </w:r>
            <w:r>
              <w:rPr>
                <w:sz w:val="19"/>
                <w:szCs w:val="19"/>
                <w:vertAlign w:val="subscript"/>
              </w:rPr>
              <w:t>2</w:t>
            </w:r>
            <w:r>
              <w:rPr>
                <w:sz w:val="19"/>
                <w:szCs w:val="19"/>
              </w:rPr>
              <w:t xml:space="preserve"> (estraneo)</w:t>
            </w:r>
          </w:p>
        </w:tc>
        <w:tc>
          <w:tcPr>
            <w:tcW w:w="1900" w:type="dxa"/>
          </w:tcPr>
          <w:p w14:paraId="75F72CF5" w14:textId="77777777" w:rsidR="000E48B7" w:rsidRDefault="00000000">
            <w:pPr>
              <w:jc w:val="center"/>
            </w:pPr>
            <w:r>
              <w:rPr>
                <w:i/>
                <w:iCs/>
                <w:sz w:val="19"/>
                <w:szCs w:val="19"/>
              </w:rPr>
              <w:t>T</w:t>
            </w:r>
            <w:r>
              <w:rPr>
                <w:sz w:val="19"/>
                <w:szCs w:val="19"/>
                <w:vertAlign w:val="subscript"/>
              </w:rPr>
              <w:t>23</w:t>
            </w:r>
          </w:p>
        </w:tc>
      </w:tr>
    </w:tbl>
    <w:p w14:paraId="4924294C" w14:textId="77777777" w:rsidR="000E48B7" w:rsidRDefault="000E48B7">
      <w:pPr>
        <w:spacing w:after="200"/>
      </w:pPr>
    </w:p>
    <w:p w14:paraId="0B5128D2" w14:textId="77777777" w:rsidR="000E48B7" w:rsidRDefault="00000000">
      <w:pPr>
        <w:spacing w:after="200"/>
        <w:jc w:val="both"/>
      </w:pPr>
      <w:r>
        <w:rPr>
          <w:sz w:val="22"/>
          <w:szCs w:val="22"/>
        </w:rPr>
        <w:lastRenderedPageBreak/>
        <w:t xml:space="preserve">Il legame di base (1-2) è già a posto nel tentativo fallito — non è quello il problema. Il problema sta tutto nei due legami laterali: sotto </w:t>
      </w:r>
      <w:r>
        <w:rPr>
          <w:i/>
          <w:iCs/>
          <w:sz w:val="22"/>
          <w:szCs w:val="22"/>
        </w:rPr>
        <w:t>U</w:t>
      </w:r>
      <w:r>
        <w:rPr>
          <w:sz w:val="22"/>
          <w:szCs w:val="22"/>
          <w:vertAlign w:val="subscript"/>
        </w:rPr>
        <w:t>naive</w:t>
      </w:r>
      <w:r>
        <w:rPr>
          <w:sz w:val="22"/>
          <w:szCs w:val="22"/>
        </w:rPr>
        <w:t xml:space="preserve"> finiscono entrambi in un operatore che nell'Hamiltoniana non esiste, mentre sotto </w:t>
      </w:r>
      <w:r>
        <w:rPr>
          <w:i/>
          <w:iCs/>
          <w:sz w:val="22"/>
          <w:szCs w:val="22"/>
        </w:rPr>
        <w:t>U</w:t>
      </w:r>
      <w:r>
        <w:rPr>
          <w:sz w:val="22"/>
          <w:szCs w:val="22"/>
          <w:vertAlign w:val="subscript"/>
        </w:rPr>
        <w:t>anello</w:t>
      </w:r>
      <w:r>
        <w:rPr>
          <w:sz w:val="22"/>
          <w:szCs w:val="22"/>
        </w:rPr>
        <w:t xml:space="preserve"> si scambiano esattamente fra loro. E siccome nell'Opzione B i due legami laterali hanno lo stesso coefficiente, la loro somma resta invariata: è proprio questo scambio reciproco, invece che l'aver "riparato" ciascun termine singolarmente, a far funzionare la simmetria.</w:t>
      </w:r>
    </w:p>
    <w:p w14:paraId="4397BC75" w14:textId="77777777" w:rsidR="000E48B7" w:rsidRDefault="00000000">
      <w:pPr>
        <w:spacing w:after="200"/>
        <w:jc w:val="both"/>
      </w:pPr>
      <w:r>
        <w:rPr>
          <w:sz w:val="22"/>
          <w:szCs w:val="22"/>
        </w:rPr>
        <w:t xml:space="preserve">La parte utile per questa relazione è la conseguenza sul sito 3, quello che resta fisso nello scambio. Di norma una relazione di simmetria lega un correlatore a un correlatore diverso (per esempio quello del sito 1 a quello del sito 2, che essendo distinti si limitano a dirci che i due sono uguali o opposti). Ma per il sito 3, che non si scambia con nessuno, la relazione lega un'autocorrelazione a se stessa: si ottiene </w:t>
      </w:r>
      <w:r>
        <w:rPr>
          <w:i/>
          <w:iCs/>
          <w:sz w:val="22"/>
          <w:szCs w:val="22"/>
        </w:rPr>
        <w:t>C</w:t>
      </w:r>
      <w:r>
        <w:rPr>
          <w:sz w:val="22"/>
          <w:szCs w:val="22"/>
          <w:vertAlign w:val="subscript"/>
        </w:rPr>
        <w:t>33</w:t>
      </w:r>
      <w:r>
        <w:rPr>
          <w:sz w:val="22"/>
          <w:szCs w:val="22"/>
          <w:vertAlign w:val="superscript"/>
        </w:rPr>
        <w:t>αβ</w:t>
      </w:r>
      <w:r>
        <w:rPr>
          <w:sz w:val="22"/>
          <w:szCs w:val="22"/>
        </w:rPr>
        <w:t>(</w:t>
      </w:r>
      <w:r>
        <w:rPr>
          <w:i/>
          <w:iCs/>
          <w:sz w:val="22"/>
          <w:szCs w:val="22"/>
        </w:rPr>
        <w:t>t</w:t>
      </w:r>
      <w:r>
        <w:rPr>
          <w:sz w:val="22"/>
          <w:szCs w:val="22"/>
        </w:rPr>
        <w:t>) = -</w:t>
      </w:r>
      <w:r>
        <w:rPr>
          <w:i/>
          <w:iCs/>
          <w:sz w:val="22"/>
          <w:szCs w:val="22"/>
        </w:rPr>
        <w:t>C</w:t>
      </w:r>
      <w:r>
        <w:rPr>
          <w:sz w:val="22"/>
          <w:szCs w:val="22"/>
          <w:vertAlign w:val="subscript"/>
        </w:rPr>
        <w:t>33</w:t>
      </w:r>
      <w:r>
        <w:rPr>
          <w:sz w:val="22"/>
          <w:szCs w:val="22"/>
          <w:vertAlign w:val="superscript"/>
        </w:rPr>
        <w:t>αβ</w:t>
      </w:r>
      <w:r>
        <w:rPr>
          <w:sz w:val="22"/>
          <w:szCs w:val="22"/>
        </w:rPr>
        <w:t>(</w:t>
      </w:r>
      <w:r>
        <w:rPr>
          <w:i/>
          <w:iCs/>
          <w:sz w:val="22"/>
          <w:szCs w:val="22"/>
        </w:rPr>
        <w:t>t</w:t>
      </w:r>
      <w:r>
        <w:rPr>
          <w:sz w:val="22"/>
          <w:szCs w:val="22"/>
        </w:rPr>
        <w:t xml:space="preserve">) ogni volta che una delle due componenti α,β è </w:t>
      </w:r>
      <w:r>
        <w:rPr>
          <w:i/>
          <w:iCs/>
          <w:sz w:val="22"/>
          <w:szCs w:val="22"/>
        </w:rPr>
        <w:t>z</w:t>
      </w:r>
      <w:r>
        <w:rPr>
          <w:sz w:val="22"/>
          <w:szCs w:val="22"/>
        </w:rPr>
        <w:t xml:space="preserve"> e l'altra è </w:t>
      </w:r>
      <w:r>
        <w:rPr>
          <w:i/>
          <w:iCs/>
          <w:sz w:val="22"/>
          <w:szCs w:val="22"/>
        </w:rPr>
        <w:t>x</w:t>
      </w:r>
      <w:r>
        <w:rPr>
          <w:sz w:val="22"/>
          <w:szCs w:val="22"/>
        </w:rPr>
        <w:t xml:space="preserve"> o </w:t>
      </w:r>
      <w:r>
        <w:rPr>
          <w:i/>
          <w:iCs/>
          <w:sz w:val="22"/>
          <w:szCs w:val="22"/>
        </w:rPr>
        <w:t>y</w:t>
      </w:r>
      <w:r>
        <w:rPr>
          <w:sz w:val="22"/>
          <w:szCs w:val="22"/>
        </w:rPr>
        <w:t xml:space="preserve">, il che forza il correlatore a essere zero per ogni </w:t>
      </w:r>
      <w:r>
        <w:rPr>
          <w:i/>
          <w:iCs/>
          <w:sz w:val="22"/>
          <w:szCs w:val="22"/>
        </w:rPr>
        <w:t>t</w:t>
      </w:r>
      <w:r>
        <w:rPr>
          <w:sz w:val="22"/>
          <w:szCs w:val="22"/>
        </w:rPr>
        <w:t xml:space="preserve">, non solo a </w:t>
      </w:r>
      <w:r>
        <w:rPr>
          <w:i/>
          <w:iCs/>
          <w:sz w:val="22"/>
          <w:szCs w:val="22"/>
        </w:rPr>
        <w:t>t</w:t>
      </w:r>
      <w:r>
        <w:rPr>
          <w:sz w:val="22"/>
          <w:szCs w:val="22"/>
        </w:rPr>
        <w:t xml:space="preserve">=0. Nel dimero un annullamento di questo tipo non poteva presentarsi: lo scambio muoveva sempre entrambi i siti, non c'era un punto fisso su cui la relazione potesse richiudersi da sola. Le quattro combinazioni previste nulle per ogni </w:t>
      </w:r>
      <w:r>
        <w:rPr>
          <w:i/>
          <w:iCs/>
          <w:sz w:val="22"/>
          <w:szCs w:val="22"/>
        </w:rPr>
        <w:t>t</w:t>
      </w:r>
      <w:r>
        <w:rPr>
          <w:sz w:val="22"/>
          <w:szCs w:val="22"/>
        </w:rPr>
        <w:t xml:space="preserve"> sono </w:t>
      </w:r>
      <w:r>
        <w:rPr>
          <w:i/>
          <w:iCs/>
          <w:sz w:val="22"/>
          <w:szCs w:val="22"/>
        </w:rPr>
        <w:t>C</w:t>
      </w:r>
      <w:r>
        <w:rPr>
          <w:sz w:val="22"/>
          <w:szCs w:val="22"/>
          <w:vertAlign w:val="subscript"/>
        </w:rPr>
        <w:t>33</w:t>
      </w:r>
      <w:r>
        <w:rPr>
          <w:sz w:val="22"/>
          <w:szCs w:val="22"/>
          <w:vertAlign w:val="superscript"/>
        </w:rPr>
        <w:t>xz</w:t>
      </w:r>
      <w:r>
        <w:rPr>
          <w:sz w:val="22"/>
          <w:szCs w:val="22"/>
        </w:rPr>
        <w:t xml:space="preserve">, </w:t>
      </w:r>
      <w:r>
        <w:rPr>
          <w:i/>
          <w:iCs/>
          <w:sz w:val="22"/>
          <w:szCs w:val="22"/>
        </w:rPr>
        <w:t>C</w:t>
      </w:r>
      <w:r>
        <w:rPr>
          <w:sz w:val="22"/>
          <w:szCs w:val="22"/>
          <w:vertAlign w:val="subscript"/>
        </w:rPr>
        <w:t>33</w:t>
      </w:r>
      <w:r>
        <w:rPr>
          <w:sz w:val="22"/>
          <w:szCs w:val="22"/>
          <w:vertAlign w:val="superscript"/>
        </w:rPr>
        <w:t>zx</w:t>
      </w:r>
      <w:r>
        <w:rPr>
          <w:sz w:val="22"/>
          <w:szCs w:val="22"/>
        </w:rPr>
        <w:t xml:space="preserve">, </w:t>
      </w:r>
      <w:r>
        <w:rPr>
          <w:i/>
          <w:iCs/>
          <w:sz w:val="22"/>
          <w:szCs w:val="22"/>
        </w:rPr>
        <w:t>C</w:t>
      </w:r>
      <w:r>
        <w:rPr>
          <w:sz w:val="22"/>
          <w:szCs w:val="22"/>
          <w:vertAlign w:val="subscript"/>
        </w:rPr>
        <w:t>33</w:t>
      </w:r>
      <w:r>
        <w:rPr>
          <w:sz w:val="22"/>
          <w:szCs w:val="22"/>
          <w:vertAlign w:val="superscript"/>
        </w:rPr>
        <w:t>yz</w:t>
      </w:r>
      <w:r>
        <w:rPr>
          <w:sz w:val="22"/>
          <w:szCs w:val="22"/>
        </w:rPr>
        <w:t xml:space="preserve">, </w:t>
      </w:r>
      <w:r>
        <w:rPr>
          <w:i/>
          <w:iCs/>
          <w:sz w:val="22"/>
          <w:szCs w:val="22"/>
        </w:rPr>
        <w:t>C</w:t>
      </w:r>
      <w:r>
        <w:rPr>
          <w:sz w:val="22"/>
          <w:szCs w:val="22"/>
          <w:vertAlign w:val="subscript"/>
        </w:rPr>
        <w:t>33</w:t>
      </w:r>
      <w:r>
        <w:rPr>
          <w:sz w:val="22"/>
          <w:szCs w:val="22"/>
          <w:vertAlign w:val="superscript"/>
        </w:rPr>
        <w:t>zy</w:t>
      </w:r>
      <w:r>
        <w:rPr>
          <w:sz w:val="22"/>
          <w:szCs w:val="22"/>
        </w:rPr>
        <w:t>. Le ho comunque misurate tutte via circuito, non solo dedotte dalla teoria, per controllare dall'inizio alla fine — dalla previsione teorica fino alla misura sul circuito — che tutto tornasse davvero d'accordo.</w:t>
      </w:r>
    </w:p>
    <w:p w14:paraId="2F25A8E0" w14:textId="77777777" w:rsidR="000E48B7" w:rsidRDefault="00000000">
      <w:pPr>
        <w:spacing w:after="200"/>
        <w:jc w:val="both"/>
      </w:pPr>
      <w:r>
        <w:rPr>
          <w:sz w:val="22"/>
          <w:szCs w:val="22"/>
        </w:rPr>
        <w:t>Per distinguere le altre 77 combinazioni (quelle non fissate a zero da questa simmetria) conviene guardare esplicitamente da dove viene il profilo temporale. Inserendo la relazione di completezza sugli autostati |</w:t>
      </w:r>
      <w:r>
        <w:rPr>
          <w:i/>
          <w:iCs/>
          <w:sz w:val="22"/>
          <w:szCs w:val="22"/>
        </w:rPr>
        <w:t>k</w:t>
      </w:r>
      <w:r>
        <w:rPr>
          <w:sz w:val="22"/>
          <w:szCs w:val="22"/>
        </w:rPr>
        <w:t xml:space="preserve">⟩ di </w:t>
      </w:r>
      <w:r>
        <w:rPr>
          <w:i/>
          <w:iCs/>
          <w:sz w:val="22"/>
          <w:szCs w:val="22"/>
        </w:rPr>
        <w:t>H</w:t>
      </w:r>
      <w:r>
        <w:rPr>
          <w:sz w:val="22"/>
          <w:szCs w:val="22"/>
        </w:rPr>
        <w:t xml:space="preserve"> (energie </w:t>
      </w:r>
      <w:r>
        <w:rPr>
          <w:i/>
          <w:iCs/>
          <w:sz w:val="22"/>
          <w:szCs w:val="22"/>
        </w:rPr>
        <w:t>E</w:t>
      </w:r>
      <w:r>
        <w:rPr>
          <w:sz w:val="22"/>
          <w:szCs w:val="22"/>
          <w:vertAlign w:val="subscript"/>
        </w:rPr>
        <w:t>k</w:t>
      </w:r>
      <w:r>
        <w:rPr>
          <w:sz w:val="22"/>
          <w:szCs w:val="22"/>
        </w:rPr>
        <w:t xml:space="preserve">, </w:t>
      </w:r>
      <w:r>
        <w:rPr>
          <w:i/>
          <w:iCs/>
          <w:sz w:val="22"/>
          <w:szCs w:val="22"/>
        </w:rPr>
        <w:t>k</w:t>
      </w:r>
      <w:r>
        <w:rPr>
          <w:sz w:val="22"/>
          <w:szCs w:val="22"/>
        </w:rPr>
        <w:t xml:space="preserve">=0 il fondamentale) fra le due misure che compongono il correlatore, </w:t>
      </w:r>
      <w:r>
        <w:rPr>
          <w:i/>
          <w:iCs/>
          <w:sz w:val="22"/>
          <w:szCs w:val="22"/>
        </w:rPr>
        <w:t>C</w:t>
      </w:r>
      <w:r>
        <w:rPr>
          <w:sz w:val="22"/>
          <w:szCs w:val="22"/>
          <w:vertAlign w:val="subscript"/>
        </w:rPr>
        <w:t>ij</w:t>
      </w:r>
      <w:r>
        <w:rPr>
          <w:sz w:val="22"/>
          <w:szCs w:val="22"/>
          <w:vertAlign w:val="superscript"/>
        </w:rPr>
        <w:t>αβ</w:t>
      </w:r>
      <w:r>
        <w:rPr>
          <w:sz w:val="22"/>
          <w:szCs w:val="22"/>
        </w:rPr>
        <w:t>(</w:t>
      </w:r>
      <w:r>
        <w:rPr>
          <w:i/>
          <w:iCs/>
          <w:sz w:val="22"/>
          <w:szCs w:val="22"/>
        </w:rPr>
        <w:t>t</w:t>
      </w:r>
      <w:r>
        <w:rPr>
          <w:sz w:val="22"/>
          <w:szCs w:val="22"/>
        </w:rPr>
        <w:t xml:space="preserve">) si scompone in una somma di 8 termini oscillanti, uno per ciascun autostato del trimero: il termine </w:t>
      </w:r>
      <w:r>
        <w:rPr>
          <w:i/>
          <w:iCs/>
          <w:sz w:val="22"/>
          <w:szCs w:val="22"/>
        </w:rPr>
        <w:t>k</w:t>
      </w:r>
      <w:r>
        <w:rPr>
          <w:sz w:val="22"/>
          <w:szCs w:val="22"/>
        </w:rPr>
        <w:t>-esimo oscilla alla frequenza Δ</w:t>
      </w:r>
      <w:r>
        <w:rPr>
          <w:i/>
          <w:iCs/>
          <w:sz w:val="22"/>
          <w:szCs w:val="22"/>
        </w:rPr>
        <w:t>E</w:t>
      </w:r>
      <w:r>
        <w:rPr>
          <w:sz w:val="22"/>
          <w:szCs w:val="22"/>
          <w:vertAlign w:val="subscript"/>
        </w:rPr>
        <w:t>k</w:t>
      </w:r>
      <w:r>
        <w:rPr>
          <w:sz w:val="22"/>
          <w:szCs w:val="22"/>
        </w:rPr>
        <w:t>=</w:t>
      </w:r>
      <w:r>
        <w:rPr>
          <w:i/>
          <w:iCs/>
          <w:sz w:val="22"/>
          <w:szCs w:val="22"/>
        </w:rPr>
        <w:t>E</w:t>
      </w:r>
      <w:r>
        <w:rPr>
          <w:sz w:val="22"/>
          <w:szCs w:val="22"/>
          <w:vertAlign w:val="subscript"/>
        </w:rPr>
        <w:t>k</w:t>
      </w:r>
      <w:r>
        <w:rPr>
          <w:sz w:val="22"/>
          <w:szCs w:val="22"/>
        </w:rPr>
        <w:t>-</w:t>
      </w:r>
      <w:r>
        <w:rPr>
          <w:i/>
          <w:iCs/>
          <w:sz w:val="22"/>
          <w:szCs w:val="22"/>
        </w:rPr>
        <w:t>E</w:t>
      </w:r>
      <w:r>
        <w:rPr>
          <w:sz w:val="22"/>
          <w:szCs w:val="22"/>
          <w:vertAlign w:val="subscript"/>
        </w:rPr>
        <w:t>0</w:t>
      </w:r>
      <w:r>
        <w:rPr>
          <w:sz w:val="22"/>
          <w:szCs w:val="22"/>
        </w:rPr>
        <w:t xml:space="preserve"> con ampiezza |</w:t>
      </w:r>
      <w:r>
        <w:rPr>
          <w:i/>
          <w:iCs/>
          <w:sz w:val="22"/>
          <w:szCs w:val="22"/>
        </w:rPr>
        <w:t>a</w:t>
      </w:r>
      <w:r>
        <w:rPr>
          <w:sz w:val="22"/>
          <w:szCs w:val="22"/>
          <w:vertAlign w:val="subscript"/>
        </w:rPr>
        <w:t>k</w:t>
      </w:r>
      <w:r>
        <w:rPr>
          <w:i/>
          <w:iCs/>
          <w:sz w:val="22"/>
          <w:szCs w:val="22"/>
        </w:rPr>
        <w:t>b</w:t>
      </w:r>
      <w:r>
        <w:rPr>
          <w:sz w:val="22"/>
          <w:szCs w:val="22"/>
          <w:vertAlign w:val="subscript"/>
        </w:rPr>
        <w:t>k</w:t>
      </w:r>
      <w:r>
        <w:rPr>
          <w:sz w:val="22"/>
          <w:szCs w:val="22"/>
        </w:rPr>
        <w:t xml:space="preserve">|, dove </w:t>
      </w:r>
      <w:r>
        <w:rPr>
          <w:i/>
          <w:iCs/>
          <w:sz w:val="22"/>
          <w:szCs w:val="22"/>
        </w:rPr>
        <w:t>a</w:t>
      </w:r>
      <w:r>
        <w:rPr>
          <w:sz w:val="22"/>
          <w:szCs w:val="22"/>
          <w:vertAlign w:val="subscript"/>
        </w:rPr>
        <w:t>k</w:t>
      </w:r>
      <w:r>
        <w:rPr>
          <w:sz w:val="22"/>
          <w:szCs w:val="22"/>
        </w:rPr>
        <w:t>=⟨</w:t>
      </w:r>
      <w:r>
        <w:rPr>
          <w:i/>
          <w:iCs/>
          <w:sz w:val="22"/>
          <w:szCs w:val="22"/>
        </w:rPr>
        <w:t>ψ</w:t>
      </w:r>
      <w:r>
        <w:rPr>
          <w:sz w:val="22"/>
          <w:szCs w:val="22"/>
          <w:vertAlign w:val="subscript"/>
        </w:rPr>
        <w:t>0</w:t>
      </w:r>
      <w:r>
        <w:rPr>
          <w:sz w:val="22"/>
          <w:szCs w:val="22"/>
        </w:rPr>
        <w:t>|</w:t>
      </w:r>
      <w:r>
        <w:rPr>
          <w:i/>
          <w:iCs/>
          <w:sz w:val="22"/>
          <w:szCs w:val="22"/>
        </w:rPr>
        <w:t>σ</w:t>
      </w:r>
      <w:r>
        <w:rPr>
          <w:sz w:val="22"/>
          <w:szCs w:val="22"/>
          <w:vertAlign w:val="subscript"/>
        </w:rPr>
        <w:t>i</w:t>
      </w:r>
      <w:r>
        <w:rPr>
          <w:sz w:val="22"/>
          <w:szCs w:val="22"/>
          <w:vertAlign w:val="superscript"/>
        </w:rPr>
        <w:t>α</w:t>
      </w:r>
      <w:r>
        <w:rPr>
          <w:sz w:val="22"/>
          <w:szCs w:val="22"/>
        </w:rPr>
        <w:t>|</w:t>
      </w:r>
      <w:r>
        <w:rPr>
          <w:i/>
          <w:iCs/>
          <w:sz w:val="22"/>
          <w:szCs w:val="22"/>
        </w:rPr>
        <w:t>k</w:t>
      </w:r>
      <w:r>
        <w:rPr>
          <w:sz w:val="22"/>
          <w:szCs w:val="22"/>
        </w:rPr>
        <w:t xml:space="preserve">⟩ e </w:t>
      </w:r>
      <w:r>
        <w:rPr>
          <w:i/>
          <w:iCs/>
          <w:sz w:val="22"/>
          <w:szCs w:val="22"/>
        </w:rPr>
        <w:t>b</w:t>
      </w:r>
      <w:r>
        <w:rPr>
          <w:sz w:val="22"/>
          <w:szCs w:val="22"/>
          <w:vertAlign w:val="subscript"/>
        </w:rPr>
        <w:t>k</w:t>
      </w:r>
      <w:r>
        <w:rPr>
          <w:sz w:val="22"/>
          <w:szCs w:val="22"/>
        </w:rPr>
        <w:t>=⟨</w:t>
      </w:r>
      <w:r>
        <w:rPr>
          <w:i/>
          <w:iCs/>
          <w:sz w:val="22"/>
          <w:szCs w:val="22"/>
        </w:rPr>
        <w:t>k</w:t>
      </w:r>
      <w:r>
        <w:rPr>
          <w:sz w:val="22"/>
          <w:szCs w:val="22"/>
        </w:rPr>
        <w:t>|</w:t>
      </w:r>
      <w:r>
        <w:rPr>
          <w:i/>
          <w:iCs/>
          <w:sz w:val="22"/>
          <w:szCs w:val="22"/>
        </w:rPr>
        <w:t>σ</w:t>
      </w:r>
      <w:r>
        <w:rPr>
          <w:sz w:val="22"/>
          <w:szCs w:val="22"/>
          <w:vertAlign w:val="subscript"/>
        </w:rPr>
        <w:t>j</w:t>
      </w:r>
      <w:r>
        <w:rPr>
          <w:sz w:val="22"/>
          <w:szCs w:val="22"/>
          <w:vertAlign w:val="superscript"/>
        </w:rPr>
        <w:t>β</w:t>
      </w:r>
      <w:r>
        <w:rPr>
          <w:sz w:val="22"/>
          <w:szCs w:val="22"/>
        </w:rPr>
        <w:t>|</w:t>
      </w:r>
      <w:r>
        <w:rPr>
          <w:i/>
          <w:iCs/>
          <w:sz w:val="22"/>
          <w:szCs w:val="22"/>
        </w:rPr>
        <w:t>ψ</w:t>
      </w:r>
      <w:r>
        <w:rPr>
          <w:sz w:val="22"/>
          <w:szCs w:val="22"/>
          <w:vertAlign w:val="subscript"/>
        </w:rPr>
        <w:t>0</w:t>
      </w:r>
      <w:r>
        <w:rPr>
          <w:sz w:val="22"/>
          <w:szCs w:val="22"/>
        </w:rPr>
        <w:t xml:space="preserve">⟩ (il termine </w:t>
      </w:r>
      <w:r>
        <w:rPr>
          <w:i/>
          <w:iCs/>
          <w:sz w:val="22"/>
          <w:szCs w:val="22"/>
        </w:rPr>
        <w:t>k</w:t>
      </w:r>
      <w:r>
        <w:rPr>
          <w:sz w:val="22"/>
          <w:szCs w:val="22"/>
        </w:rPr>
        <w:t xml:space="preserve">=0 è quello costante, a frequenza nulla). Uso lo stesso criterio già discusso per il dimero per distinguere i due comportamenti tipici: il rapporto </w:t>
      </w:r>
      <w:r>
        <w:rPr>
          <w:i/>
          <w:iCs/>
          <w:sz w:val="22"/>
          <w:szCs w:val="22"/>
        </w:rPr>
        <w:t>a</w:t>
      </w:r>
      <w:r>
        <w:rPr>
          <w:sz w:val="22"/>
          <w:szCs w:val="22"/>
          <w:vertAlign w:val="subscript"/>
        </w:rPr>
        <w:t>2</w:t>
      </w:r>
      <w:r>
        <w:rPr>
          <w:sz w:val="22"/>
          <w:szCs w:val="22"/>
        </w:rPr>
        <w:t>/</w:t>
      </w:r>
      <w:r>
        <w:rPr>
          <w:i/>
          <w:iCs/>
          <w:sz w:val="22"/>
          <w:szCs w:val="22"/>
        </w:rPr>
        <w:t>a</w:t>
      </w:r>
      <w:r>
        <w:rPr>
          <w:sz w:val="22"/>
          <w:szCs w:val="22"/>
          <w:vertAlign w:val="subscript"/>
        </w:rPr>
        <w:t>1</w:t>
      </w:r>
      <w:r>
        <w:rPr>
          <w:sz w:val="22"/>
          <w:szCs w:val="22"/>
        </w:rPr>
        <w:t xml:space="preserve"> fra le ampiezze spettrali dei due modi dominanti. Vicino a 1 vuol dire segnale “ricco” (più frequenze pesano in modo confrontabile, forma irregolare); vicino a 0 vuol dire segnale “piatto” (quasi monocromatico, un solo modo domina — non è detto che l'ampiezza sia piccola, solo che la forma è semplice). Ecco due esempi opposti, con lo spettro |</w:t>
      </w:r>
      <w:r>
        <w:rPr>
          <w:i/>
          <w:iCs/>
          <w:sz w:val="22"/>
          <w:szCs w:val="22"/>
        </w:rPr>
        <w:t>a</w:t>
      </w:r>
      <w:r>
        <w:rPr>
          <w:sz w:val="22"/>
          <w:szCs w:val="22"/>
          <w:vertAlign w:val="subscript"/>
        </w:rPr>
        <w:t>k</w:t>
      </w:r>
      <w:r>
        <w:rPr>
          <w:i/>
          <w:iCs/>
          <w:sz w:val="22"/>
          <w:szCs w:val="22"/>
        </w:rPr>
        <w:t>b</w:t>
      </w:r>
      <w:r>
        <w:rPr>
          <w:sz w:val="22"/>
          <w:szCs w:val="22"/>
          <w:vertAlign w:val="subscript"/>
        </w:rPr>
        <w:t>k</w:t>
      </w:r>
      <w:r>
        <w:rPr>
          <w:sz w:val="22"/>
          <w:szCs w:val="22"/>
        </w:rPr>
        <w:t>| subito sotto il profilo temporale, questa volta in funzione dell'energia reale Δ</w:t>
      </w:r>
      <w:r>
        <w:rPr>
          <w:i/>
          <w:iCs/>
          <w:sz w:val="22"/>
          <w:szCs w:val="22"/>
        </w:rPr>
        <w:t>E</w:t>
      </w:r>
      <w:r>
        <w:rPr>
          <w:sz w:val="22"/>
          <w:szCs w:val="22"/>
          <w:vertAlign w:val="subscript"/>
        </w:rPr>
        <w:t>k</w:t>
      </w:r>
      <w:r>
        <w:rPr>
          <w:sz w:val="22"/>
          <w:szCs w:val="22"/>
        </w:rPr>
        <w:t xml:space="preserve"> e non del solo indice </w:t>
      </w:r>
      <w:r>
        <w:rPr>
          <w:i/>
          <w:iCs/>
          <w:sz w:val="22"/>
          <w:szCs w:val="22"/>
        </w:rPr>
        <w:t>k</w:t>
      </w:r>
      <w:r>
        <w:rPr>
          <w:sz w:val="22"/>
          <w:szCs w:val="22"/>
        </w:rPr>
        <w:t xml:space="preserve"> (il puntino blu è sempre il termine costante </w:t>
      </w:r>
      <w:r>
        <w:rPr>
          <w:i/>
          <w:iCs/>
          <w:sz w:val="22"/>
          <w:szCs w:val="22"/>
        </w:rPr>
        <w:t>k</w:t>
      </w:r>
      <w:r>
        <w:rPr>
          <w:sz w:val="22"/>
          <w:szCs w:val="22"/>
        </w:rPr>
        <w:t>=0):</w:t>
      </w:r>
    </w:p>
    <w:p w14:paraId="52CC6115" w14:textId="77777777" w:rsidR="000E48B7" w:rsidRDefault="00000000">
      <w:pPr>
        <w:spacing w:after="60"/>
        <w:jc w:val="center"/>
      </w:pPr>
      <w:r>
        <w:rPr>
          <w:noProof/>
        </w:rPr>
        <w:drawing>
          <wp:inline distT="0" distB="0" distL="0" distR="0" wp14:anchorId="3CD096EC" wp14:editId="293AC024">
            <wp:extent cx="5486400" cy="1914525"/>
            <wp:effectExtent l="0" t="0" r="0" b="0"/>
            <wp:docPr id="633142378" name="Picture 63314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914525"/>
                    </a:xfrm>
                    <a:prstGeom prst="rect">
                      <a:avLst/>
                    </a:prstGeom>
                  </pic:spPr>
                </pic:pic>
              </a:graphicData>
            </a:graphic>
          </wp:inline>
        </w:drawing>
      </w:r>
    </w:p>
    <w:p w14:paraId="05B535F4" w14:textId="77777777" w:rsidR="000E48B7" w:rsidRDefault="00000000">
      <w:pPr>
        <w:spacing w:after="240"/>
        <w:jc w:val="center"/>
      </w:pPr>
      <w:r>
        <w:rPr>
          <w:i/>
          <w:iCs/>
          <w:sz w:val="19"/>
          <w:szCs w:val="19"/>
        </w:rPr>
        <w:t>C</w:t>
      </w:r>
      <w:r>
        <w:rPr>
          <w:i/>
          <w:iCs/>
          <w:sz w:val="19"/>
          <w:szCs w:val="19"/>
          <w:vertAlign w:val="subscript"/>
        </w:rPr>
        <w:t>11</w:t>
      </w:r>
      <w:r>
        <w:rPr>
          <w:i/>
          <w:iCs/>
          <w:sz w:val="19"/>
          <w:szCs w:val="19"/>
          <w:vertAlign w:val="superscript"/>
        </w:rPr>
        <w:t>yy</w:t>
      </w:r>
      <w:r>
        <w:rPr>
          <w:i/>
          <w:iCs/>
          <w:sz w:val="19"/>
          <w:szCs w:val="19"/>
        </w:rPr>
        <w:t>(t): un esempio di segnale “ricco”. In verde il classico esatto, in rosso i punti dal circuito (N=200 passi di Trotter). Le due righe tratteggiate segnano i due istanti usati come riferimento più avanti: t=1.3 (grigia) e t=2.7 (blu).</w:t>
      </w:r>
    </w:p>
    <w:p w14:paraId="13E38485" w14:textId="77777777" w:rsidR="000E48B7" w:rsidRDefault="00000000">
      <w:pPr>
        <w:spacing w:after="60"/>
        <w:jc w:val="center"/>
      </w:pPr>
      <w:r>
        <w:rPr>
          <w:noProof/>
        </w:rPr>
        <w:lastRenderedPageBreak/>
        <w:drawing>
          <wp:inline distT="0" distB="0" distL="0" distR="0" wp14:anchorId="4DE9E7D7" wp14:editId="216FF6E1">
            <wp:extent cx="4933950" cy="1685925"/>
            <wp:effectExtent l="0" t="0" r="0" b="0"/>
            <wp:docPr id="1232990339" name="Picture 123299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1685925"/>
                    </a:xfrm>
                    <a:prstGeom prst="rect">
                      <a:avLst/>
                    </a:prstGeom>
                  </pic:spPr>
                </pic:pic>
              </a:graphicData>
            </a:graphic>
          </wp:inline>
        </w:drawing>
      </w:r>
    </w:p>
    <w:p w14:paraId="1A5FA29C" w14:textId="77777777" w:rsidR="000E48B7" w:rsidRDefault="00000000">
      <w:pPr>
        <w:spacing w:after="240"/>
        <w:jc w:val="center"/>
      </w:pPr>
      <w:r>
        <w:rPr>
          <w:i/>
          <w:iCs/>
          <w:sz w:val="19"/>
          <w:szCs w:val="19"/>
        </w:rPr>
        <w:t>A sinistra lo spettro di C</w:t>
      </w:r>
      <w:r>
        <w:rPr>
          <w:i/>
          <w:iCs/>
          <w:sz w:val="19"/>
          <w:szCs w:val="19"/>
          <w:vertAlign w:val="subscript"/>
        </w:rPr>
        <w:t>11</w:t>
      </w:r>
      <w:r>
        <w:rPr>
          <w:i/>
          <w:iCs/>
          <w:sz w:val="19"/>
          <w:szCs w:val="19"/>
          <w:vertAlign w:val="superscript"/>
        </w:rPr>
        <w:t>yy</w:t>
      </w:r>
      <w:r>
        <w:rPr>
          <w:i/>
          <w:iCs/>
          <w:sz w:val="19"/>
          <w:szCs w:val="19"/>
        </w:rPr>
        <w:t>: non due soli canali comparabili, ma sei canali non trascurabili (k=1,2,3,4,5,6). Il canale k=1 (ΔE=0.25) domina, ma il secondo per peso (k=5, ΔE=7.35, circa il 39% del massimo) e gli altri quattro (10-21% del massimo) restano ben visibili: è questa sovrapposizione di più frequenze, non un semplice battimento a due termini, a dare la forma irregolare vista sopra. A destra, per confronto, lo spettro di C</w:t>
      </w:r>
      <w:r>
        <w:rPr>
          <w:i/>
          <w:iCs/>
          <w:sz w:val="19"/>
          <w:szCs w:val="19"/>
          <w:vertAlign w:val="subscript"/>
        </w:rPr>
        <w:t>33</w:t>
      </w:r>
      <w:r>
        <w:rPr>
          <w:i/>
          <w:iCs/>
          <w:sz w:val="19"/>
          <w:szCs w:val="19"/>
          <w:vertAlign w:val="superscript"/>
        </w:rPr>
        <w:t>zz</w:t>
      </w:r>
      <w:r>
        <w:rPr>
          <w:i/>
          <w:iCs/>
          <w:sz w:val="19"/>
          <w:szCs w:val="19"/>
        </w:rPr>
        <w:t>, di cui parlo subito sotto: qui invece un solo canale (k=0, il termine costante) porta il 99.9% del peso, tutti gli altri sono numericamente nulli.</w:t>
      </w:r>
    </w:p>
    <w:p w14:paraId="61EDE84D" w14:textId="77777777" w:rsidR="000E48B7" w:rsidRDefault="00000000">
      <w:pPr>
        <w:spacing w:after="200"/>
        <w:jc w:val="both"/>
      </w:pPr>
      <w:r>
        <w:rPr>
          <w:sz w:val="22"/>
          <w:szCs w:val="22"/>
        </w:rPr>
        <w:t xml:space="preserve">L'autocorrelazione del sito 3, </w:t>
      </w:r>
      <w:r>
        <w:rPr>
          <w:i/>
          <w:iCs/>
          <w:sz w:val="22"/>
          <w:szCs w:val="22"/>
        </w:rPr>
        <w:t>C</w:t>
      </w:r>
      <w:r>
        <w:rPr>
          <w:sz w:val="22"/>
          <w:szCs w:val="22"/>
          <w:vertAlign w:val="subscript"/>
        </w:rPr>
        <w:t>33</w:t>
      </w:r>
      <w:r>
        <w:rPr>
          <w:sz w:val="22"/>
          <w:szCs w:val="22"/>
          <w:vertAlign w:val="superscript"/>
        </w:rPr>
        <w:t>zz</w:t>
      </w:r>
      <w:r>
        <w:rPr>
          <w:sz w:val="22"/>
          <w:szCs w:val="22"/>
        </w:rPr>
        <w:t>, è invece il caso “piatto” più estremo di tutta la scansione — e qui salta fuori un risultato che la sola analisi di simmetria non prevedeva:</w:t>
      </w:r>
    </w:p>
    <w:p w14:paraId="7EF5C38F" w14:textId="77777777" w:rsidR="000E48B7" w:rsidRDefault="00000000">
      <w:pPr>
        <w:spacing w:after="60"/>
        <w:jc w:val="center"/>
      </w:pPr>
      <w:r>
        <w:rPr>
          <w:noProof/>
        </w:rPr>
        <w:drawing>
          <wp:inline distT="0" distB="0" distL="0" distR="0" wp14:anchorId="5F5ECC0F" wp14:editId="52C74FBD">
            <wp:extent cx="5486400" cy="1943100"/>
            <wp:effectExtent l="0" t="0" r="0" b="0"/>
            <wp:docPr id="713190631" name="Picture 7131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943100"/>
                    </a:xfrm>
                    <a:prstGeom prst="rect">
                      <a:avLst/>
                    </a:prstGeom>
                  </pic:spPr>
                </pic:pic>
              </a:graphicData>
            </a:graphic>
          </wp:inline>
        </w:drawing>
      </w:r>
    </w:p>
    <w:p w14:paraId="355C533D" w14:textId="77777777" w:rsidR="000E48B7" w:rsidRDefault="00000000">
      <w:pPr>
        <w:spacing w:after="240"/>
        <w:jc w:val="center"/>
      </w:pPr>
      <w:r>
        <w:rPr>
          <w:i/>
          <w:iCs/>
          <w:sz w:val="19"/>
          <w:szCs w:val="19"/>
        </w:rPr>
        <w:t>C</w:t>
      </w:r>
      <w:r>
        <w:rPr>
          <w:i/>
          <w:iCs/>
          <w:sz w:val="19"/>
          <w:szCs w:val="19"/>
          <w:vertAlign w:val="subscript"/>
        </w:rPr>
        <w:t>33</w:t>
      </w:r>
      <w:r>
        <w:rPr>
          <w:i/>
          <w:iCs/>
          <w:sz w:val="19"/>
          <w:szCs w:val="19"/>
          <w:vertAlign w:val="superscript"/>
        </w:rPr>
        <w:t>zz</w:t>
      </w:r>
      <w:r>
        <w:rPr>
          <w:i/>
          <w:iCs/>
          <w:sz w:val="19"/>
          <w:szCs w:val="19"/>
        </w:rPr>
        <w:t>(t): attenzione alla scala verticale, va da 0.9985 a 1.0000 — l'oscillazione vera è appena 0.0015, molto meno di quanto sembri a colpo d'occhio. Le righe tratteggiate segnano t=1.3 (grigia) e t=2.7 (blu), gli stessi due istanti del grafico precedente. Domina un solo canale spettrale (k=0, peso 1.000, tutti gli altri sotto 0.11).</w:t>
      </w:r>
    </w:p>
    <w:p w14:paraId="31F2229A" w14:textId="77777777" w:rsidR="000E48B7" w:rsidRDefault="00000000">
      <w:pPr>
        <w:spacing w:after="200"/>
        <w:jc w:val="both"/>
      </w:pPr>
      <w:r>
        <w:rPr>
          <w:sz w:val="22"/>
          <w:szCs w:val="22"/>
        </w:rPr>
        <w:t>Come si vede dal grafico appena sopra, questo quasi-congelamento non è un fatto isolato a un singolo istante: per tutto l'intervallo di tempo esaminato (</w:t>
      </w:r>
      <w:r>
        <w:rPr>
          <w:i/>
          <w:iCs/>
          <w:sz w:val="22"/>
          <w:szCs w:val="22"/>
        </w:rPr>
        <w:t>t</w:t>
      </w:r>
      <w:r>
        <w:rPr>
          <w:sz w:val="22"/>
          <w:szCs w:val="22"/>
        </w:rPr>
        <w:t xml:space="preserve"> da 0 a 10) </w:t>
      </w:r>
      <w:r>
        <w:rPr>
          <w:i/>
          <w:iCs/>
          <w:sz w:val="22"/>
          <w:szCs w:val="22"/>
        </w:rPr>
        <w:t>C</w:t>
      </w:r>
      <w:r>
        <w:rPr>
          <w:sz w:val="22"/>
          <w:szCs w:val="22"/>
          <w:vertAlign w:val="subscript"/>
        </w:rPr>
        <w:t>33</w:t>
      </w:r>
      <w:r>
        <w:rPr>
          <w:sz w:val="22"/>
          <w:szCs w:val="22"/>
          <w:vertAlign w:val="superscript"/>
        </w:rPr>
        <w:t>zz</w:t>
      </w:r>
      <w:r>
        <w:rPr>
          <w:sz w:val="22"/>
          <w:szCs w:val="22"/>
        </w:rPr>
        <w:t xml:space="preserve"> resta sempre entro l'intervallo 0.9985-1.0000, quindi oscilla di appena 0.0015 per tutta la durata della simulazione, non solo in un punto. Il valore </w:t>
      </w:r>
      <w:r>
        <w:rPr>
          <w:i/>
          <w:iCs/>
          <w:sz w:val="22"/>
          <w:szCs w:val="22"/>
        </w:rPr>
        <w:t>C</w:t>
      </w:r>
      <w:r>
        <w:rPr>
          <w:sz w:val="22"/>
          <w:szCs w:val="22"/>
          <w:vertAlign w:val="subscript"/>
        </w:rPr>
        <w:t>33</w:t>
      </w:r>
      <w:r>
        <w:rPr>
          <w:sz w:val="22"/>
          <w:szCs w:val="22"/>
          <w:vertAlign w:val="superscript"/>
        </w:rPr>
        <w:t>zz</w:t>
      </w:r>
      <w:r>
        <w:rPr>
          <w:sz w:val="22"/>
          <w:szCs w:val="22"/>
        </w:rPr>
        <w:t xml:space="preserve">≈0.9995 al tempo </w:t>
      </w:r>
      <w:r>
        <w:rPr>
          <w:i/>
          <w:iCs/>
          <w:sz w:val="22"/>
          <w:szCs w:val="22"/>
        </w:rPr>
        <w:t>t</w:t>
      </w:r>
      <w:r>
        <w:rPr>
          <w:sz w:val="22"/>
          <w:szCs w:val="22"/>
        </w:rPr>
        <w:t xml:space="preserve">=1.3 (indicato dalla riga tratteggiata nel grafico) è solo l'istantanea che uso come riferimento nel resto della relazione, per coerenza con la heatmap e con il confronto VQE più avanti — non è un valore speciale rispetto agli altri istanti. Nessuna delle simmetrie che ho derivato impone questo comportamento: è un fatto puramente dinamico di questo punto di lavoro (il DM è piccolo rispetto a scambio e campo, quindi </w:t>
      </w:r>
      <w:r>
        <w:rPr>
          <w:i/>
          <w:iCs/>
          <w:sz w:val="22"/>
          <w:szCs w:val="22"/>
        </w:rPr>
        <w:t>σ</w:t>
      </w:r>
      <w:r>
        <w:rPr>
          <w:sz w:val="22"/>
          <w:szCs w:val="22"/>
          <w:vertAlign w:val="subscript"/>
        </w:rPr>
        <w:t>3</w:t>
      </w:r>
      <w:r>
        <w:rPr>
          <w:sz w:val="22"/>
          <w:szCs w:val="22"/>
          <w:vertAlign w:val="superscript"/>
        </w:rPr>
        <w:t>z</w:t>
      </w:r>
      <w:r>
        <w:rPr>
          <w:sz w:val="22"/>
          <w:szCs w:val="22"/>
        </w:rPr>
        <w:t xml:space="preserve"> è quasi conservato per tutta l'evoluzione), diverso quindi dai quattro zeri strutturali, che sono invece una conseguenza della simmetria appena descritta e valgono per costruzione a ogni </w:t>
      </w:r>
      <w:r>
        <w:rPr>
          <w:i/>
          <w:iCs/>
          <w:sz w:val="22"/>
          <w:szCs w:val="22"/>
        </w:rPr>
        <w:t>t</w:t>
      </w:r>
      <w:r>
        <w:rPr>
          <w:sz w:val="22"/>
          <w:szCs w:val="22"/>
        </w:rPr>
        <w:t xml:space="preserve">. Fra i correlatori non banali, non sono le autocorrelazioni del sito 1 (il mio esempio principale sopra) a essere le più intense a </w:t>
      </w:r>
      <w:r>
        <w:rPr>
          <w:i/>
          <w:iCs/>
          <w:sz w:val="22"/>
          <w:szCs w:val="22"/>
        </w:rPr>
        <w:t>t</w:t>
      </w:r>
      <w:r>
        <w:rPr>
          <w:sz w:val="22"/>
          <w:szCs w:val="22"/>
        </w:rPr>
        <w:t>=1.3, ma le coppie sito-1/sito-3: |</w:t>
      </w:r>
      <w:r>
        <w:rPr>
          <w:i/>
          <w:iCs/>
          <w:sz w:val="22"/>
          <w:szCs w:val="22"/>
        </w:rPr>
        <w:t>C</w:t>
      </w:r>
      <w:r>
        <w:rPr>
          <w:sz w:val="22"/>
          <w:szCs w:val="22"/>
          <w:vertAlign w:val="subscript"/>
        </w:rPr>
        <w:t>31</w:t>
      </w:r>
      <w:r>
        <w:rPr>
          <w:sz w:val="22"/>
          <w:szCs w:val="22"/>
          <w:vertAlign w:val="superscript"/>
        </w:rPr>
        <w:t>zx</w:t>
      </w:r>
      <w:r>
        <w:rPr>
          <w:sz w:val="22"/>
          <w:szCs w:val="22"/>
        </w:rPr>
        <w:t>|,|</w:t>
      </w:r>
      <w:r>
        <w:rPr>
          <w:i/>
          <w:iCs/>
          <w:sz w:val="22"/>
          <w:szCs w:val="22"/>
        </w:rPr>
        <w:t>C</w:t>
      </w:r>
      <w:r>
        <w:rPr>
          <w:sz w:val="22"/>
          <w:szCs w:val="22"/>
          <w:vertAlign w:val="subscript"/>
        </w:rPr>
        <w:t>13</w:t>
      </w:r>
      <w:r>
        <w:rPr>
          <w:sz w:val="22"/>
          <w:szCs w:val="22"/>
          <w:vertAlign w:val="superscript"/>
        </w:rPr>
        <w:t>xz</w:t>
      </w:r>
      <w:r>
        <w:rPr>
          <w:sz w:val="22"/>
          <w:szCs w:val="22"/>
        </w:rPr>
        <w:t>|≈0.663.</w:t>
      </w:r>
    </w:p>
    <w:p w14:paraId="312646D0" w14:textId="77777777" w:rsidR="000E48B7" w:rsidRDefault="00000000">
      <w:pPr>
        <w:spacing w:after="200"/>
        <w:jc w:val="both"/>
      </w:pPr>
      <w:r>
        <w:rPr>
          <w:sz w:val="22"/>
          <w:szCs w:val="22"/>
        </w:rPr>
        <w:t>Una vista d'insieme sulle 81 combinazioni, |</w:t>
      </w:r>
      <w:r>
        <w:rPr>
          <w:i/>
          <w:iCs/>
          <w:sz w:val="22"/>
          <w:szCs w:val="22"/>
        </w:rPr>
        <w:t>C</w:t>
      </w:r>
      <w:r>
        <w:rPr>
          <w:sz w:val="22"/>
          <w:szCs w:val="22"/>
          <w:vertAlign w:val="subscript"/>
        </w:rPr>
        <w:t>ij</w:t>
      </w:r>
      <w:r>
        <w:rPr>
          <w:sz w:val="22"/>
          <w:szCs w:val="22"/>
          <w:vertAlign w:val="superscript"/>
        </w:rPr>
        <w:t>αβ</w:t>
      </w:r>
      <w:r>
        <w:rPr>
          <w:sz w:val="22"/>
          <w:szCs w:val="22"/>
        </w:rPr>
        <w:t>(</w:t>
      </w:r>
      <w:r>
        <w:rPr>
          <w:i/>
          <w:iCs/>
          <w:sz w:val="22"/>
          <w:szCs w:val="22"/>
        </w:rPr>
        <w:t>t</w:t>
      </w:r>
      <w:r>
        <w:rPr>
          <w:sz w:val="22"/>
          <w:szCs w:val="22"/>
        </w:rPr>
        <w:t>=1.3)| = |⟨</w:t>
      </w:r>
      <w:r>
        <w:rPr>
          <w:i/>
          <w:iCs/>
          <w:sz w:val="22"/>
          <w:szCs w:val="22"/>
        </w:rPr>
        <w:t>σ</w:t>
      </w:r>
      <w:r>
        <w:rPr>
          <w:sz w:val="22"/>
          <w:szCs w:val="22"/>
          <w:vertAlign w:val="subscript"/>
        </w:rPr>
        <w:t>i</w:t>
      </w:r>
      <w:r>
        <w:rPr>
          <w:sz w:val="22"/>
          <w:szCs w:val="22"/>
          <w:vertAlign w:val="superscript"/>
        </w:rPr>
        <w:t>α</w:t>
      </w:r>
      <w:r>
        <w:rPr>
          <w:sz w:val="22"/>
          <w:szCs w:val="22"/>
        </w:rPr>
        <w:t xml:space="preserve">(1.3) </w:t>
      </w:r>
      <w:r>
        <w:rPr>
          <w:i/>
          <w:iCs/>
          <w:sz w:val="22"/>
          <w:szCs w:val="22"/>
        </w:rPr>
        <w:t>σ</w:t>
      </w:r>
      <w:r>
        <w:rPr>
          <w:sz w:val="22"/>
          <w:szCs w:val="22"/>
          <w:vertAlign w:val="subscript"/>
        </w:rPr>
        <w:t>j</w:t>
      </w:r>
      <w:r>
        <w:rPr>
          <w:sz w:val="22"/>
          <w:szCs w:val="22"/>
          <w:vertAlign w:val="superscript"/>
        </w:rPr>
        <w:t>β</w:t>
      </w:r>
      <w:r>
        <w:rPr>
          <w:sz w:val="22"/>
          <w:szCs w:val="22"/>
        </w:rPr>
        <w:t xml:space="preserve">(0)⟩| (il modulo del correlatore definito all'inizio, valutato a questo istante particolare) misurate dal circuito. Come si legge: ogni riga corrisponde a una coppia (sito </w:t>
      </w:r>
      <w:r>
        <w:rPr>
          <w:i/>
          <w:iCs/>
          <w:sz w:val="22"/>
          <w:szCs w:val="22"/>
        </w:rPr>
        <w:t>i</w:t>
      </w:r>
      <w:r>
        <w:rPr>
          <w:sz w:val="22"/>
          <w:szCs w:val="22"/>
        </w:rPr>
        <w:t xml:space="preserve">, componente α) misurata al tempo </w:t>
      </w:r>
      <w:r>
        <w:rPr>
          <w:i/>
          <w:iCs/>
          <w:sz w:val="22"/>
          <w:szCs w:val="22"/>
        </w:rPr>
        <w:t>t</w:t>
      </w:r>
      <w:r>
        <w:rPr>
          <w:sz w:val="22"/>
          <w:szCs w:val="22"/>
        </w:rPr>
        <w:t xml:space="preserve">, ogni colonna a una coppia (sito </w:t>
      </w:r>
      <w:r>
        <w:rPr>
          <w:i/>
          <w:iCs/>
          <w:sz w:val="22"/>
          <w:szCs w:val="22"/>
        </w:rPr>
        <w:t>j</w:t>
      </w:r>
      <w:r>
        <w:rPr>
          <w:sz w:val="22"/>
          <w:szCs w:val="22"/>
        </w:rPr>
        <w:t>, componente β) preparata al tempo 0 — la cella all'incrocio fra riga e colonna riporta |</w:t>
      </w:r>
      <w:r>
        <w:rPr>
          <w:i/>
          <w:iCs/>
          <w:sz w:val="22"/>
          <w:szCs w:val="22"/>
        </w:rPr>
        <w:t>C</w:t>
      </w:r>
      <w:r>
        <w:rPr>
          <w:sz w:val="22"/>
          <w:szCs w:val="22"/>
          <w:vertAlign w:val="subscript"/>
        </w:rPr>
        <w:t>ij</w:t>
      </w:r>
      <w:r>
        <w:rPr>
          <w:sz w:val="22"/>
          <w:szCs w:val="22"/>
          <w:vertAlign w:val="superscript"/>
        </w:rPr>
        <w:t>αβ</w:t>
      </w:r>
      <w:r>
        <w:rPr>
          <w:sz w:val="22"/>
          <w:szCs w:val="22"/>
        </w:rPr>
        <w:t>(</w:t>
      </w:r>
      <w:r>
        <w:rPr>
          <w:i/>
          <w:iCs/>
          <w:sz w:val="22"/>
          <w:szCs w:val="22"/>
        </w:rPr>
        <w:t>t</w:t>
      </w:r>
      <w:r>
        <w:rPr>
          <w:sz w:val="22"/>
          <w:szCs w:val="22"/>
        </w:rPr>
        <w:t xml:space="preserve">=1.3)|, con il colore che ne indica il valore secondo la scala mostrata a lato (viola scuro = vicino a zero, giallo = vicino al massimo misurato in tutta la griglia). La heatmap non è simmetrica rispetto alla diagonale: scambiare riga e colonna scambia anche i ruoli temporali dei due operatori (uno a </w:t>
      </w:r>
      <w:r>
        <w:rPr>
          <w:i/>
          <w:iCs/>
          <w:sz w:val="22"/>
          <w:szCs w:val="22"/>
        </w:rPr>
        <w:t>t</w:t>
      </w:r>
      <w:r>
        <w:rPr>
          <w:sz w:val="22"/>
          <w:szCs w:val="22"/>
        </w:rPr>
        <w:t xml:space="preserve">, l'altro a 0), quindi in generale </w:t>
      </w:r>
      <w:r>
        <w:rPr>
          <w:i/>
          <w:iCs/>
          <w:sz w:val="22"/>
          <w:szCs w:val="22"/>
        </w:rPr>
        <w:t>C</w:t>
      </w:r>
      <w:r>
        <w:rPr>
          <w:sz w:val="22"/>
          <w:szCs w:val="22"/>
          <w:vertAlign w:val="subscript"/>
        </w:rPr>
        <w:t>ij</w:t>
      </w:r>
      <w:r>
        <w:rPr>
          <w:sz w:val="22"/>
          <w:szCs w:val="22"/>
          <w:vertAlign w:val="superscript"/>
        </w:rPr>
        <w:t>αβ</w:t>
      </w:r>
      <w:r>
        <w:rPr>
          <w:sz w:val="22"/>
          <w:szCs w:val="22"/>
        </w:rPr>
        <w:t>≠</w:t>
      </w:r>
      <w:r>
        <w:rPr>
          <w:i/>
          <w:iCs/>
          <w:sz w:val="22"/>
          <w:szCs w:val="22"/>
        </w:rPr>
        <w:t>C</w:t>
      </w:r>
      <w:r>
        <w:rPr>
          <w:sz w:val="22"/>
          <w:szCs w:val="22"/>
          <w:vertAlign w:val="subscript"/>
        </w:rPr>
        <w:t>ji</w:t>
      </w:r>
      <w:r>
        <w:rPr>
          <w:sz w:val="22"/>
          <w:szCs w:val="22"/>
          <w:vertAlign w:val="superscript"/>
        </w:rPr>
        <w:t>βα</w:t>
      </w:r>
      <w:r>
        <w:rPr>
          <w:sz w:val="22"/>
          <w:szCs w:val="22"/>
        </w:rPr>
        <w:t xml:space="preserve">. I quattro riquadri con bordo rosso sono i quattro zeri strutturali previsti </w:t>
      </w:r>
      <w:r>
        <w:rPr>
          <w:sz w:val="22"/>
          <w:szCs w:val="22"/>
        </w:rPr>
        <w:lastRenderedPageBreak/>
        <w:t xml:space="preserve">(coinvolgono tutti il sito 3, con una componente z e una x o y), mentre il riquadro giallo in basso a destra è proprio </w:t>
      </w:r>
      <w:r>
        <w:rPr>
          <w:i/>
          <w:iCs/>
          <w:sz w:val="22"/>
          <w:szCs w:val="22"/>
        </w:rPr>
        <w:t>C</w:t>
      </w:r>
      <w:r>
        <w:rPr>
          <w:sz w:val="22"/>
          <w:szCs w:val="22"/>
          <w:vertAlign w:val="subscript"/>
        </w:rPr>
        <w:t>33</w:t>
      </w:r>
      <w:r>
        <w:rPr>
          <w:sz w:val="22"/>
          <w:szCs w:val="22"/>
          <w:vertAlign w:val="superscript"/>
        </w:rPr>
        <w:t>zz</w:t>
      </w:r>
      <w:r>
        <w:rPr>
          <w:sz w:val="22"/>
          <w:szCs w:val="22"/>
        </w:rPr>
        <w:t xml:space="preserve"> di cui ho appena parlato.</w:t>
      </w:r>
    </w:p>
    <w:p w14:paraId="24775D60" w14:textId="77777777" w:rsidR="000E48B7" w:rsidRDefault="00000000">
      <w:pPr>
        <w:spacing w:after="60"/>
        <w:jc w:val="center"/>
      </w:pPr>
      <w:r>
        <w:rPr>
          <w:noProof/>
        </w:rPr>
        <w:drawing>
          <wp:inline distT="0" distB="0" distL="0" distR="0" wp14:anchorId="434ADBE7" wp14:editId="29E30962">
            <wp:extent cx="4210050" cy="3895725"/>
            <wp:effectExtent l="0" t="0" r="0" b="0"/>
            <wp:docPr id="587838168" name="Picture 58783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895725"/>
                    </a:xfrm>
                    <a:prstGeom prst="rect">
                      <a:avLst/>
                    </a:prstGeom>
                  </pic:spPr>
                </pic:pic>
              </a:graphicData>
            </a:graphic>
          </wp:inline>
        </w:drawing>
      </w:r>
    </w:p>
    <w:p w14:paraId="1245EE1D" w14:textId="77777777" w:rsidR="000E48B7" w:rsidRDefault="00000000">
      <w:pPr>
        <w:spacing w:after="240"/>
        <w:jc w:val="center"/>
      </w:pPr>
      <w:r>
        <w:rPr>
          <w:i/>
          <w:iCs/>
          <w:sz w:val="19"/>
          <w:szCs w:val="19"/>
        </w:rPr>
        <w:t>Heatmap di |C</w:t>
      </w:r>
      <w:r>
        <w:rPr>
          <w:i/>
          <w:iCs/>
          <w:sz w:val="19"/>
          <w:szCs w:val="19"/>
          <w:vertAlign w:val="subscript"/>
        </w:rPr>
        <w:t>ij</w:t>
      </w:r>
      <w:r>
        <w:rPr>
          <w:i/>
          <w:iCs/>
          <w:sz w:val="19"/>
          <w:szCs w:val="19"/>
          <w:vertAlign w:val="superscript"/>
        </w:rPr>
        <w:t>αβ</w:t>
      </w:r>
      <w:r>
        <w:rPr>
          <w:i/>
          <w:iCs/>
          <w:sz w:val="19"/>
          <w:szCs w:val="19"/>
        </w:rPr>
        <w:t>(t=1.3)|. I quattro zeri strutturali (bordo rosso) sono confermati esattamente: il valore più alto misurato lì è 2.6×10⁻³ a statevector, compatibile con solo errore di Trotter, non con una simmetria violata.</w:t>
      </w:r>
    </w:p>
    <w:p w14:paraId="1FCC97E4" w14:textId="77777777" w:rsidR="000E48B7" w:rsidRDefault="00000000">
      <w:pPr>
        <w:spacing w:after="200"/>
        <w:jc w:val="both"/>
      </w:pPr>
      <w:r>
        <w:rPr>
          <w:sz w:val="22"/>
          <w:szCs w:val="22"/>
        </w:rPr>
        <w:t xml:space="preserve">Per essere sicuro che quanto visto sopra non sia un caso particolare del singolo istante </w:t>
      </w:r>
      <w:r>
        <w:rPr>
          <w:i/>
          <w:iCs/>
          <w:sz w:val="22"/>
          <w:szCs w:val="22"/>
        </w:rPr>
        <w:t>t</w:t>
      </w:r>
      <w:r>
        <w:rPr>
          <w:sz w:val="22"/>
          <w:szCs w:val="22"/>
        </w:rPr>
        <w:t xml:space="preserve">=1.3, ripeto esattamente la stessa heatmap a un secondo tempo, </w:t>
      </w:r>
      <w:r>
        <w:rPr>
          <w:i/>
          <w:iCs/>
          <w:sz w:val="22"/>
          <w:szCs w:val="22"/>
        </w:rPr>
        <w:t>t</w:t>
      </w:r>
      <w:r>
        <w:rPr>
          <w:sz w:val="22"/>
          <w:szCs w:val="22"/>
        </w:rPr>
        <w:t>=2.7 (uno dei tre punti già usati altrove nel progetto per la validazione circuito-vs-esatto):</w:t>
      </w:r>
    </w:p>
    <w:p w14:paraId="06EBD901" w14:textId="77777777" w:rsidR="000E48B7" w:rsidRDefault="00000000">
      <w:pPr>
        <w:spacing w:after="60"/>
        <w:jc w:val="center"/>
      </w:pPr>
      <w:r>
        <w:rPr>
          <w:noProof/>
        </w:rPr>
        <w:lastRenderedPageBreak/>
        <w:drawing>
          <wp:inline distT="0" distB="0" distL="0" distR="0" wp14:anchorId="05EBADA0" wp14:editId="3D708F5E">
            <wp:extent cx="4210050" cy="3895725"/>
            <wp:effectExtent l="0" t="0" r="0" b="0"/>
            <wp:docPr id="109678299" name="Picture 109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895725"/>
                    </a:xfrm>
                    <a:prstGeom prst="rect">
                      <a:avLst/>
                    </a:prstGeom>
                  </pic:spPr>
                </pic:pic>
              </a:graphicData>
            </a:graphic>
          </wp:inline>
        </w:drawing>
      </w:r>
    </w:p>
    <w:p w14:paraId="20F0A04E" w14:textId="77777777" w:rsidR="000E48B7" w:rsidRDefault="00000000">
      <w:pPr>
        <w:spacing w:after="240"/>
        <w:jc w:val="center"/>
      </w:pPr>
      <w:r>
        <w:rPr>
          <w:i/>
          <w:iCs/>
          <w:sz w:val="19"/>
          <w:szCs w:val="19"/>
        </w:rPr>
        <w:t>Heatmap di |C</w:t>
      </w:r>
      <w:r>
        <w:rPr>
          <w:i/>
          <w:iCs/>
          <w:sz w:val="19"/>
          <w:szCs w:val="19"/>
          <w:vertAlign w:val="subscript"/>
        </w:rPr>
        <w:t>ij</w:t>
      </w:r>
      <w:r>
        <w:rPr>
          <w:i/>
          <w:iCs/>
          <w:sz w:val="19"/>
          <w:szCs w:val="19"/>
          <w:vertAlign w:val="superscript"/>
        </w:rPr>
        <w:t>αβ</w:t>
      </w:r>
      <w:r>
        <w:rPr>
          <w:i/>
          <w:iCs/>
          <w:sz w:val="19"/>
          <w:szCs w:val="19"/>
        </w:rPr>
        <w:t>(t=2.7)|, stessa scala e stessa convenzione della precedente. Il pattern colorato è quasi completamente diverso — a t=2.7 il blocco (3x,3y) del sito 3 è quasi saturo, mentre a t=1.3 era su valori intermedi — ma i quattro riquadri col bordo rosso restano scuri: il valore più alto lì è 1.2×10⁻³, di nuovo solo errore di Trotter.</w:t>
      </w:r>
    </w:p>
    <w:p w14:paraId="4A4298DE" w14:textId="77777777" w:rsidR="000E48B7" w:rsidRDefault="00000000">
      <w:pPr>
        <w:spacing w:after="200"/>
        <w:jc w:val="both"/>
      </w:pPr>
      <w:r>
        <w:rPr>
          <w:sz w:val="22"/>
          <w:szCs w:val="22"/>
        </w:rPr>
        <w:t xml:space="preserve">Questo è il controllo che volevo: i quattro zeri strutturali non sono una coincidenza dell'istante scelto per il resto della relazione, restano esattamente zero (a meno di Trotter) a un tempo completamente diverso, come deve essere per una relazione di simmetria che vale per ogni </w:t>
      </w:r>
      <w:r>
        <w:rPr>
          <w:i/>
          <w:iCs/>
          <w:sz w:val="22"/>
          <w:szCs w:val="22"/>
        </w:rPr>
        <w:t>t</w:t>
      </w:r>
      <w:r>
        <w:rPr>
          <w:sz w:val="22"/>
          <w:szCs w:val="22"/>
        </w:rPr>
        <w:t xml:space="preserve"> e non solo puntualmente. Il resto della heatmap invece cambia parecchio, ed è coerente con quanto visto nei due esempi sopra: </w:t>
      </w:r>
      <w:r>
        <w:rPr>
          <w:i/>
          <w:iCs/>
          <w:sz w:val="22"/>
          <w:szCs w:val="22"/>
        </w:rPr>
        <w:t>C</w:t>
      </w:r>
      <w:r>
        <w:rPr>
          <w:sz w:val="22"/>
          <w:szCs w:val="22"/>
          <w:vertAlign w:val="subscript"/>
        </w:rPr>
        <w:t>33</w:t>
      </w:r>
      <w:r>
        <w:rPr>
          <w:sz w:val="22"/>
          <w:szCs w:val="22"/>
          <w:vertAlign w:val="superscript"/>
        </w:rPr>
        <w:t>zz</w:t>
      </w:r>
      <w:r>
        <w:rPr>
          <w:sz w:val="22"/>
          <w:szCs w:val="22"/>
        </w:rPr>
        <w:t xml:space="preserve"> resta quasi fermo (0.999612 a </w:t>
      </w:r>
      <w:r>
        <w:rPr>
          <w:i/>
          <w:iCs/>
          <w:sz w:val="22"/>
          <w:szCs w:val="22"/>
        </w:rPr>
        <w:t>t</w:t>
      </w:r>
      <w:r>
        <w:rPr>
          <w:sz w:val="22"/>
          <w:szCs w:val="22"/>
        </w:rPr>
        <w:t xml:space="preserve">=2.7 contro 0.999525 a </w:t>
      </w:r>
      <w:r>
        <w:rPr>
          <w:i/>
          <w:iCs/>
          <w:sz w:val="22"/>
          <w:szCs w:val="22"/>
        </w:rPr>
        <w:t>t</w:t>
      </w:r>
      <w:r>
        <w:rPr>
          <w:sz w:val="22"/>
          <w:szCs w:val="22"/>
        </w:rPr>
        <w:t xml:space="preserve">=1.3, entrambi dentro la stessa banda 0.9985-1.0000), mentre </w:t>
      </w:r>
      <w:r>
        <w:rPr>
          <w:i/>
          <w:iCs/>
          <w:sz w:val="22"/>
          <w:szCs w:val="22"/>
        </w:rPr>
        <w:t>C</w:t>
      </w:r>
      <w:r>
        <w:rPr>
          <w:sz w:val="22"/>
          <w:szCs w:val="22"/>
          <w:vertAlign w:val="subscript"/>
        </w:rPr>
        <w:t>11</w:t>
      </w:r>
      <w:r>
        <w:rPr>
          <w:sz w:val="22"/>
          <w:szCs w:val="22"/>
          <w:vertAlign w:val="superscript"/>
        </w:rPr>
        <w:t>yy</w:t>
      </w:r>
      <w:r>
        <w:rPr>
          <w:sz w:val="22"/>
          <w:szCs w:val="22"/>
        </w:rPr>
        <w:t xml:space="preserve"> cambia in modo sostanziale (da 0.452-0.156</w:t>
      </w:r>
      <w:r>
        <w:rPr>
          <w:i/>
          <w:iCs/>
          <w:sz w:val="22"/>
          <w:szCs w:val="22"/>
        </w:rPr>
        <w:t>i</w:t>
      </w:r>
      <w:r>
        <w:rPr>
          <w:sz w:val="22"/>
          <w:szCs w:val="22"/>
        </w:rPr>
        <w:t xml:space="preserve"> a </w:t>
      </w:r>
      <w:r>
        <w:rPr>
          <w:i/>
          <w:iCs/>
          <w:sz w:val="22"/>
          <w:szCs w:val="22"/>
        </w:rPr>
        <w:t>t</w:t>
      </w:r>
      <w:r>
        <w:rPr>
          <w:sz w:val="22"/>
          <w:szCs w:val="22"/>
        </w:rPr>
        <w:t>=1.3 a 0.699-0.688</w:t>
      </w:r>
      <w:r>
        <w:rPr>
          <w:i/>
          <w:iCs/>
          <w:sz w:val="22"/>
          <w:szCs w:val="22"/>
        </w:rPr>
        <w:t>i</w:t>
      </w:r>
      <w:r>
        <w:rPr>
          <w:sz w:val="22"/>
          <w:szCs w:val="22"/>
        </w:rPr>
        <w:t xml:space="preserve"> a </w:t>
      </w:r>
      <w:r>
        <w:rPr>
          <w:i/>
          <w:iCs/>
          <w:sz w:val="22"/>
          <w:szCs w:val="22"/>
        </w:rPr>
        <w:t>t</w:t>
      </w:r>
      <w:r>
        <w:rPr>
          <w:sz w:val="22"/>
          <w:szCs w:val="22"/>
        </w:rPr>
        <w:t>=2.7) — esattamente il contrasto “piatto” contro “ricco” di cui parlavo, ora visibile anche confrontando due istantanee anziché solo le curve continue.</w:t>
      </w:r>
    </w:p>
    <w:p w14:paraId="77EF4FE4" w14:textId="77777777" w:rsidR="000E48B7" w:rsidRDefault="00000000">
      <w:pPr>
        <w:spacing w:after="200"/>
        <w:jc w:val="both"/>
      </w:pPr>
      <w:r>
        <w:rPr>
          <w:sz w:val="22"/>
          <w:szCs w:val="22"/>
        </w:rPr>
        <w:t xml:space="preserve">Tutte e 81 insieme, questa volta nel tempo (griglia 9×9, </w:t>
      </w:r>
      <w:r>
        <w:rPr>
          <w:i/>
          <w:iCs/>
          <w:sz w:val="22"/>
          <w:szCs w:val="22"/>
        </w:rPr>
        <w:t>N</w:t>
      </w:r>
      <w:r>
        <w:rPr>
          <w:sz w:val="22"/>
          <w:szCs w:val="22"/>
        </w:rPr>
        <w:t xml:space="preserve">=100, 8 punti di </w:t>
      </w:r>
      <w:r>
        <w:rPr>
          <w:i/>
          <w:iCs/>
          <w:sz w:val="22"/>
          <w:szCs w:val="22"/>
        </w:rPr>
        <w:t>t</w:t>
      </w:r>
      <w:r>
        <w:rPr>
          <w:sz w:val="22"/>
          <w:szCs w:val="22"/>
        </w:rPr>
        <w:t xml:space="preserve"> tra 0.3 e 10 — meno passi e meno punti rispetto alla scansione puntuale sopra, per non appesantire troppo il calcolo; in verde il classico esatto, in magenta il circuito):</w:t>
      </w:r>
    </w:p>
    <w:p w14:paraId="32D8D677" w14:textId="77777777" w:rsidR="000E48B7" w:rsidRDefault="00000000">
      <w:pPr>
        <w:spacing w:after="60"/>
        <w:jc w:val="center"/>
      </w:pPr>
      <w:r>
        <w:rPr>
          <w:noProof/>
        </w:rPr>
        <w:lastRenderedPageBreak/>
        <w:drawing>
          <wp:inline distT="0" distB="0" distL="0" distR="0" wp14:anchorId="2238E47D" wp14:editId="7BA252FE">
            <wp:extent cx="4572000" cy="4572000"/>
            <wp:effectExtent l="0" t="0" r="0" b="0"/>
            <wp:docPr id="558676347" name="Picture 55867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572000"/>
                    </a:xfrm>
                    <a:prstGeom prst="rect">
                      <a:avLst/>
                    </a:prstGeom>
                  </pic:spPr>
                </pic:pic>
              </a:graphicData>
            </a:graphic>
          </wp:inline>
        </w:drawing>
      </w:r>
    </w:p>
    <w:p w14:paraId="43A857CA" w14:textId="77777777" w:rsidR="000E48B7" w:rsidRDefault="00000000">
      <w:pPr>
        <w:spacing w:after="240"/>
        <w:jc w:val="center"/>
      </w:pPr>
      <w:r>
        <w:rPr>
          <w:i/>
          <w:iCs/>
          <w:sz w:val="19"/>
          <w:szCs w:val="19"/>
        </w:rPr>
        <w:t>Si vede a colpo d'occhio lo stesso pattern già emerso dai numeri: la riga e la colonna del sito 3 mostrano i quattro pannelli piatti a zero e la cella C</w:t>
      </w:r>
      <w:r>
        <w:rPr>
          <w:i/>
          <w:iCs/>
          <w:sz w:val="19"/>
          <w:szCs w:val="19"/>
          <w:vertAlign w:val="subscript"/>
        </w:rPr>
        <w:t>33</w:t>
      </w:r>
      <w:r>
        <w:rPr>
          <w:i/>
          <w:iCs/>
          <w:sz w:val="19"/>
          <w:szCs w:val="19"/>
          <w:vertAlign w:val="superscript"/>
        </w:rPr>
        <w:t>zz</w:t>
      </w:r>
      <w:r>
        <w:rPr>
          <w:i/>
          <w:iCs/>
          <w:sz w:val="19"/>
          <w:szCs w:val="19"/>
        </w:rPr>
        <w:t xml:space="preserve"> quasi costante, mentre le combinazioni con x,y misti sono visibilmente più irregolari di quelle con z da sola. Nessuna combinazione è piatta nel senso di “non succede nulla” — anche C</w:t>
      </w:r>
      <w:r>
        <w:rPr>
          <w:i/>
          <w:iCs/>
          <w:sz w:val="19"/>
          <w:szCs w:val="19"/>
          <w:vertAlign w:val="subscript"/>
        </w:rPr>
        <w:t>33</w:t>
      </w:r>
      <w:r>
        <w:rPr>
          <w:i/>
          <w:iCs/>
          <w:sz w:val="19"/>
          <w:szCs w:val="19"/>
          <w:vertAlign w:val="superscript"/>
        </w:rPr>
        <w:t>zz</w:t>
      </w:r>
      <w:r>
        <w:rPr>
          <w:i/>
          <w:iCs/>
          <w:sz w:val="19"/>
          <w:szCs w:val="19"/>
        </w:rPr>
        <w:t xml:space="preserve"> oscilla, solo con un'ampiezza minuscola.</w:t>
      </w:r>
    </w:p>
    <w:p w14:paraId="2C3CC1F1" w14:textId="77777777" w:rsidR="000E48B7" w:rsidRDefault="00000000">
      <w:pPr>
        <w:spacing w:after="200"/>
        <w:jc w:val="both"/>
      </w:pPr>
      <w:r>
        <w:rPr>
          <w:sz w:val="22"/>
          <w:szCs w:val="22"/>
        </w:rPr>
        <w:t>Ho confrontato circuito e classico esatto su tutte le 81, non solo sugli esempi mostrati sopra: l'errore di Trotter medio è 8.8×10⁻⁴, il massimo 2.6×10⁻³ (</w:t>
      </w:r>
      <w:r>
        <w:rPr>
          <w:i/>
          <w:iCs/>
          <w:sz w:val="22"/>
          <w:szCs w:val="22"/>
        </w:rPr>
        <w:t>N</w:t>
      </w:r>
      <w:r>
        <w:rPr>
          <w:sz w:val="22"/>
          <w:szCs w:val="22"/>
        </w:rPr>
        <w:t>=200). Un punto onesto da segnalare: il residuo peggiore di tutta la scansione cade proprio su uno dei quattro zeri strutturali — lì il valore vero è 0, quindi qualunque residuo di Trotter, per quanto piccolo, è per definizione tutto il segnale che si misura, senza nient'altro a diluirlo. Non lo leggo come un campanello d'allarme: è esattamente il comportamento che ci si aspetta confrontando un errore assoluto con un valore vero nullo.</w:t>
      </w:r>
    </w:p>
    <w:p w14:paraId="31E9010F" w14:textId="77777777" w:rsidR="000E48B7" w:rsidRDefault="00000000">
      <w:pPr>
        <w:spacing w:after="200"/>
        <w:jc w:val="both"/>
      </w:pPr>
      <w:r>
        <w:rPr>
          <w:sz w:val="22"/>
          <w:szCs w:val="22"/>
        </w:rPr>
        <w:t>Ho ripetuto la stessa scansione anche a shot finiti (8192 shot, AerSimulator): l'errore statistico medio è 1.4×10⁻², il massimo 3.7×10⁻² — resta il contributo dominante sul totale, di oltre un ordine di grandezza sopra l'errore di Trotter, coerente con quanto avevo già visto controllando l'errore statistico su un pugno di casi rappresentativi.</w:t>
      </w:r>
    </w:p>
    <w:p w14:paraId="52DA735D" w14:textId="77777777" w:rsidR="000E48B7" w:rsidRDefault="00000000">
      <w:pPr>
        <w:spacing w:after="200"/>
        <w:jc w:val="both"/>
      </w:pPr>
      <w:r>
        <w:rPr>
          <w:sz w:val="22"/>
          <w:szCs w:val="22"/>
        </w:rPr>
        <w:t xml:space="preserve">Infine ho chiuso la pipeline VQE→correlazioni, sostituendo la preparazione dello stato con il circuito VQE reale (ansatz “W-2q.6”, </w:t>
      </w:r>
      <w:r>
        <w:rPr>
          <w:i/>
          <w:iCs/>
          <w:sz w:val="22"/>
          <w:szCs w:val="22"/>
        </w:rPr>
        <w:t>F</w:t>
      </w:r>
      <w:r>
        <w:rPr>
          <w:sz w:val="22"/>
          <w:szCs w:val="22"/>
        </w:rPr>
        <w:t>=0.99999999999961 dopo l'ottimizzazione) al posto della preparazione a ampiezze esatte usata fin qui: il residuo che introduce è 3.0×10⁻⁷ in media, 8.3×10⁻⁷ al massimo su tutte le 81 — tre-quattro ordini di grandezza sotto Trotter, quindi non cambia nessuna delle conclusioni scritte sopra. Il circuito e l'ottimizzazione sono descritti per esteso nella relazione a parte sul VQE.</w:t>
      </w:r>
    </w:p>
    <w:p w14:paraId="2188AB9A" w14:textId="197349C3" w:rsidR="000E48B7" w:rsidRDefault="00000000">
      <w:pPr>
        <w:spacing w:after="200"/>
        <w:jc w:val="both"/>
      </w:pPr>
      <w:r>
        <w:rPr>
          <w:sz w:val="22"/>
          <w:szCs w:val="22"/>
        </w:rPr>
        <w:t xml:space="preserve">Una domanda su cui vorrei un parere: l'autocorrelazione </w:t>
      </w:r>
      <w:r>
        <w:rPr>
          <w:i/>
          <w:iCs/>
          <w:sz w:val="22"/>
          <w:szCs w:val="22"/>
        </w:rPr>
        <w:t>C</w:t>
      </w:r>
      <w:r>
        <w:rPr>
          <w:sz w:val="22"/>
          <w:szCs w:val="22"/>
          <w:vertAlign w:val="subscript"/>
        </w:rPr>
        <w:t>33</w:t>
      </w:r>
      <w:r>
        <w:rPr>
          <w:sz w:val="22"/>
          <w:szCs w:val="22"/>
          <w:vertAlign w:val="superscript"/>
        </w:rPr>
        <w:t>zz</w:t>
      </w:r>
      <w:r>
        <w:rPr>
          <w:sz w:val="22"/>
          <w:szCs w:val="22"/>
        </w:rPr>
        <w:t xml:space="preserve">, quasi congelata nel caso ideale (oscillazione reale ≈0.0015), mi sembra il candidato migliore per cominciare a caratterizzare il rumore in Parte 2, proprio perché nel caso ideale è già quasi costante. Le sembra un banco di prova sensato per </w:t>
      </w:r>
      <w:r>
        <w:rPr>
          <w:sz w:val="22"/>
          <w:szCs w:val="22"/>
        </w:rPr>
        <w:lastRenderedPageBreak/>
        <w:t xml:space="preserve">iniziare, o </w:t>
      </w:r>
      <w:r w:rsidR="00FE5B72">
        <w:rPr>
          <w:sz w:val="22"/>
          <w:szCs w:val="22"/>
        </w:rPr>
        <w:t xml:space="preserve"> </w:t>
      </w:r>
      <w:r>
        <w:rPr>
          <w:sz w:val="22"/>
          <w:szCs w:val="22"/>
        </w:rPr>
        <w:t xml:space="preserve">preferisce che parta invece da un correlatore “ricco” come </w:t>
      </w:r>
      <w:r>
        <w:rPr>
          <w:i/>
          <w:iCs/>
          <w:sz w:val="22"/>
          <w:szCs w:val="22"/>
        </w:rPr>
        <w:t>C</w:t>
      </w:r>
      <w:r>
        <w:rPr>
          <w:sz w:val="22"/>
          <w:szCs w:val="22"/>
          <w:vertAlign w:val="subscript"/>
        </w:rPr>
        <w:t>11</w:t>
      </w:r>
      <w:r>
        <w:rPr>
          <w:sz w:val="22"/>
          <w:szCs w:val="22"/>
          <w:vertAlign w:val="superscript"/>
        </w:rPr>
        <w:t>yy</w:t>
      </w:r>
      <w:r>
        <w:rPr>
          <w:sz w:val="22"/>
          <w:szCs w:val="22"/>
        </w:rPr>
        <w:t>, dove la dinamica ideale è già più articolata?</w:t>
      </w:r>
    </w:p>
    <w:sectPr w:rsidR="000E48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913"/>
    <w:multiLevelType w:val="hybridMultilevel"/>
    <w:tmpl w:val="90C0C1BA"/>
    <w:lvl w:ilvl="0" w:tplc="7C96F6B8">
      <w:start w:val="1"/>
      <w:numFmt w:val="bullet"/>
      <w:lvlText w:val="●"/>
      <w:lvlJc w:val="left"/>
      <w:pPr>
        <w:ind w:left="720" w:hanging="360"/>
      </w:pPr>
    </w:lvl>
    <w:lvl w:ilvl="1" w:tplc="9362A468">
      <w:start w:val="1"/>
      <w:numFmt w:val="bullet"/>
      <w:lvlText w:val="○"/>
      <w:lvlJc w:val="left"/>
      <w:pPr>
        <w:ind w:left="1440" w:hanging="360"/>
      </w:pPr>
    </w:lvl>
    <w:lvl w:ilvl="2" w:tplc="C58AD928">
      <w:start w:val="1"/>
      <w:numFmt w:val="bullet"/>
      <w:lvlText w:val="■"/>
      <w:lvlJc w:val="left"/>
      <w:pPr>
        <w:ind w:left="2160" w:hanging="360"/>
      </w:pPr>
    </w:lvl>
    <w:lvl w:ilvl="3" w:tplc="705A8EAE">
      <w:start w:val="1"/>
      <w:numFmt w:val="bullet"/>
      <w:lvlText w:val="●"/>
      <w:lvlJc w:val="left"/>
      <w:pPr>
        <w:ind w:left="2880" w:hanging="360"/>
      </w:pPr>
    </w:lvl>
    <w:lvl w:ilvl="4" w:tplc="0E701F4E">
      <w:start w:val="1"/>
      <w:numFmt w:val="bullet"/>
      <w:lvlText w:val="○"/>
      <w:lvlJc w:val="left"/>
      <w:pPr>
        <w:ind w:left="3600" w:hanging="360"/>
      </w:pPr>
    </w:lvl>
    <w:lvl w:ilvl="5" w:tplc="4042B30C">
      <w:start w:val="1"/>
      <w:numFmt w:val="bullet"/>
      <w:lvlText w:val="■"/>
      <w:lvlJc w:val="left"/>
      <w:pPr>
        <w:ind w:left="4320" w:hanging="360"/>
      </w:pPr>
    </w:lvl>
    <w:lvl w:ilvl="6" w:tplc="4AFC0254">
      <w:start w:val="1"/>
      <w:numFmt w:val="bullet"/>
      <w:lvlText w:val="●"/>
      <w:lvlJc w:val="left"/>
      <w:pPr>
        <w:ind w:left="5040" w:hanging="360"/>
      </w:pPr>
    </w:lvl>
    <w:lvl w:ilvl="7" w:tplc="A8C05F4E">
      <w:start w:val="1"/>
      <w:numFmt w:val="bullet"/>
      <w:lvlText w:val="●"/>
      <w:lvlJc w:val="left"/>
      <w:pPr>
        <w:ind w:left="5760" w:hanging="360"/>
      </w:pPr>
    </w:lvl>
    <w:lvl w:ilvl="8" w:tplc="BA861CA2">
      <w:start w:val="1"/>
      <w:numFmt w:val="bullet"/>
      <w:lvlText w:val="●"/>
      <w:lvlJc w:val="left"/>
      <w:pPr>
        <w:ind w:left="6480" w:hanging="360"/>
      </w:pPr>
    </w:lvl>
  </w:abstractNum>
  <w:num w:numId="1" w16cid:durableId="629895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8B7"/>
    <w:rsid w:val="000E48B7"/>
    <w:rsid w:val="009645B5"/>
    <w:rsid w:val="00FE5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3925"/>
  <w15:docId w15:val="{8F48B192-2693-4D17-BA11-2153BB21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2208</Words>
  <Characters>12588</Characters>
  <Application>Microsoft Office Word</Application>
  <DocSecurity>0</DocSecurity>
  <Lines>104</Lines>
  <Paragraphs>29</Paragraphs>
  <ScaleCrop>false</ScaleCrop>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Samuele Schiavi</dc:creator>
  <cp:lastModifiedBy>Samuele SCHIAVI</cp:lastModifiedBy>
  <cp:revision>2</cp:revision>
  <dcterms:created xsi:type="dcterms:W3CDTF">2026-08-24T15:54:00Z</dcterms:created>
  <dcterms:modified xsi:type="dcterms:W3CDTF">2026-08-24T17:29:00Z</dcterms:modified>
</cp:coreProperties>
</file>